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ebfa2f1e4c0a3c24ceff04bb9db22d6e4972cd9"/>
    <w:p>
      <w:pPr>
        <w:pStyle w:val="Heading1"/>
      </w:pPr>
      <w:r>
        <w:t xml:space="preserve">Automated fMRI Preprocessing Pipeline: A Cross-Platform Solution for Standardized Neuroimaging Data Processing</w:t>
      </w:r>
    </w:p>
    <w:p>
      <w:r>
        <w:pict>
          <v:rect style="width:0;height:1.5pt" o:hralign="center" o:hrstd="t" o:hr="t"/>
        </w:pict>
      </w:r>
    </w:p>
    <w:p>
      <w:pPr>
        <w:pStyle w:val="FirstParagraph"/>
      </w:pPr>
      <w:r>
        <w:rPr>
          <w:b/>
          <w:bCs/>
        </w:rPr>
        <w:t xml:space="preserve">A Thesis Submitted in Partial Fulfillment of the Requirements for the Degree of Master of Science (M.Sc.)</w:t>
      </w:r>
    </w:p>
    <w:p>
      <w:r>
        <w:pict>
          <v:rect style="width:0;height:1.5pt" o:hralign="center" o:hrstd="t" o:hr="t"/>
        </w:pict>
      </w:r>
    </w:p>
    <w:p>
      <w:pPr>
        <w:pStyle w:val="FirstParagraph"/>
      </w:pPr>
      <w:r>
        <w:rPr>
          <w:b/>
          <w:bCs/>
        </w:rPr>
        <w:t xml:space="preserve">Author:</w:t>
      </w:r>
      <w:r>
        <w:t xml:space="preserve"> </w:t>
      </w:r>
      <w:r>
        <w:t xml:space="preserve">[Your Name]</w:t>
      </w:r>
    </w:p>
    <w:p>
      <w:pPr>
        <w:pStyle w:val="BodyText"/>
      </w:pPr>
      <w:r>
        <w:rPr>
          <w:b/>
          <w:bCs/>
        </w:rPr>
        <w:t xml:space="preserve">Supervisor:</w:t>
      </w:r>
      <w:r>
        <w:t xml:space="preserve"> </w:t>
      </w:r>
      <w:r>
        <w:t xml:space="preserve">[Supervisor Name]</w:t>
      </w:r>
    </w:p>
    <w:p>
      <w:pPr>
        <w:pStyle w:val="BodyText"/>
      </w:pPr>
      <w:r>
        <w:rPr>
          <w:b/>
          <w:bCs/>
        </w:rPr>
        <w:t xml:space="preserve">Institution:</w:t>
      </w:r>
      <w:r>
        <w:t xml:space="preserve"> </w:t>
      </w:r>
      <w:r>
        <w:t xml:space="preserve">[University Name]</w:t>
      </w:r>
    </w:p>
    <w:p>
      <w:pPr>
        <w:pStyle w:val="BodyText"/>
      </w:pPr>
      <w:r>
        <w:rPr>
          <w:b/>
          <w:bCs/>
        </w:rPr>
        <w:t xml:space="preserve">Department:</w:t>
      </w:r>
      <w:r>
        <w:t xml:space="preserve"> </w:t>
      </w:r>
      <w:r>
        <w:t xml:space="preserve">[Department Name]</w:t>
      </w:r>
    </w:p>
    <w:p>
      <w:pPr>
        <w:pStyle w:val="BodyText"/>
      </w:pPr>
      <w:r>
        <w:rPr>
          <w:b/>
          <w:bCs/>
        </w:rPr>
        <w:t xml:space="preserve">Date:</w:t>
      </w:r>
      <w:r>
        <w:t xml:space="preserve"> </w:t>
      </w:r>
      <w:r>
        <w:t xml:space="preserve">[Month, Year]</w:t>
      </w:r>
    </w:p>
    <w:p>
      <w:r>
        <w:pict>
          <v:rect style="width:0;height:1.5pt" o:hralign="center" o:hrstd="t" o:hr="t"/>
        </w:pict>
      </w:r>
    </w:p>
    <w:bookmarkStart w:id="9" w:name="abstract"/>
    <w:p>
      <w:pPr>
        <w:pStyle w:val="Heading2"/>
      </w:pPr>
      <w:r>
        <w:t xml:space="preserve">Abstract</w:t>
      </w:r>
    </w:p>
    <w:p>
      <w:pPr>
        <w:pStyle w:val="FirstParagraph"/>
      </w:pPr>
      <w:r>
        <w:t xml:space="preserve">Functional magnetic resonance imaging (fMRI) has become an indispensable tool in cognitive neuroscience, enabling researchers to investigate brain function non-invasively. However, the preprocessing of fMRI data remains a significant bottleneck in neuroimaging research, requiring specialized technical expertise and substantial time investment. This thesis presents the development and implementation of an automated, cross-platform preprocessing pipeline that streamlines the conversion of raw DICOM scanner data to the Brain Imaging Data Structure (BIDS) format and subsequent preprocessing using fMRIPrep. The developed graphical user interface (GUI) application eliminates the need for command-line expertise, democratizing access to state-of-the-art preprocessing methods. The pipeline incorporates parallel processing capabilities, comprehensive error handling, and generates detailed quality control reports suitable for non-technical users. Validation using multiple datasets demonstrates significant reductions in preprocessing time (up to 70% with parallel processing) while maintaining output quality consistent with manual preprocessing approaches. This work contributes to the reproducibility and accessibility of neuroimaging research, particularly benefiting laboratories conducting longitudinal studies with multiple subjects and sessions. The open-source implementation ensures broad accessibility and facilitates future extensions to accommodate evolving neuroimaging standards and methodologies.</w:t>
      </w:r>
    </w:p>
    <w:p>
      <w:pPr>
        <w:pStyle w:val="BodyText"/>
      </w:pPr>
      <w:r>
        <w:rPr>
          <w:b/>
          <w:bCs/>
        </w:rPr>
        <w:t xml:space="preserve">Keywords:</w:t>
      </w:r>
      <w:r>
        <w:t xml:space="preserve"> </w:t>
      </w:r>
      <w:r>
        <w:t xml:space="preserve">fMRI, preprocessing, BIDS, fMRIPrep, neuroimaging, automation, reproducibility, GUI application</w:t>
      </w:r>
    </w:p>
    <w:p>
      <w:r>
        <w:pict>
          <v:rect style="width:0;height:1.5pt" o:hralign="center" o:hrstd="t" o:hr="t"/>
        </w:pict>
      </w:r>
    </w:p>
    <w:bookmarkEnd w:id="9"/>
    <w:bookmarkStart w:id="10" w:name="table-of-contents"/>
    <w:p>
      <w:pPr>
        <w:pStyle w:val="Heading2"/>
      </w:pPr>
      <w:r>
        <w:t xml:space="preserve">Table of Contents</w:t>
      </w:r>
    </w:p>
    <w:p>
      <w:pPr>
        <w:numPr>
          <w:ilvl w:val="0"/>
          <w:numId w:val="1001"/>
        </w:numPr>
      </w:pPr>
      <w:hyperlink w:anchor="Xe3d0fc0bea9a42ce7605565d0964033d7f6ee47">
        <w:r>
          <w:rPr>
            <w:rStyle w:val="Hyperlink"/>
          </w:rPr>
          <w:t xml:space="preserve">Introduction</w:t>
        </w:r>
      </w:hyperlink>
    </w:p>
    <w:p>
      <w:pPr>
        <w:pStyle w:val="Compact"/>
        <w:numPr>
          <w:ilvl w:val="1"/>
          <w:numId w:val="1002"/>
        </w:numPr>
      </w:pPr>
      <w:r>
        <w:t xml:space="preserve">1.1</w:t>
      </w:r>
      <w:r>
        <w:t xml:space="preserve"> </w:t>
      </w:r>
      <w:hyperlink w:anchor="Xe5b26b80b1cffd635bf6d81ca2944b40daaf62d">
        <w:r>
          <w:rPr>
            <w:rStyle w:val="Hyperlink"/>
          </w:rPr>
          <w:t xml:space="preserve">Background and Motivation</w:t>
        </w:r>
      </w:hyperlink>
    </w:p>
    <w:p>
      <w:pPr>
        <w:pStyle w:val="Compact"/>
        <w:numPr>
          <w:ilvl w:val="1"/>
          <w:numId w:val="1002"/>
        </w:numPr>
      </w:pPr>
      <w:r>
        <w:t xml:space="preserve">1.2</w:t>
      </w:r>
      <w:r>
        <w:t xml:space="preserve"> </w:t>
      </w:r>
      <w:hyperlink w:anchor="Xb3d3cf96436a36cadb11a8579eb11996681af9c">
        <w:r>
          <w:rPr>
            <w:rStyle w:val="Hyperlink"/>
          </w:rPr>
          <w:t xml:space="preserve">Problem Statement</w:t>
        </w:r>
      </w:hyperlink>
    </w:p>
    <w:p>
      <w:pPr>
        <w:pStyle w:val="Compact"/>
        <w:numPr>
          <w:ilvl w:val="1"/>
          <w:numId w:val="1002"/>
        </w:numPr>
      </w:pPr>
      <w:r>
        <w:t xml:space="preserve">1.3</w:t>
      </w:r>
      <w:r>
        <w:t xml:space="preserve"> </w:t>
      </w:r>
      <w:hyperlink w:anchor="Xef324076c11b4a439e10ef99f343d5ebbe1aa09">
        <w:r>
          <w:rPr>
            <w:rStyle w:val="Hyperlink"/>
          </w:rPr>
          <w:t xml:space="preserve">Research Objectives</w:t>
        </w:r>
      </w:hyperlink>
    </w:p>
    <w:p>
      <w:pPr>
        <w:pStyle w:val="Compact"/>
        <w:numPr>
          <w:ilvl w:val="1"/>
          <w:numId w:val="1002"/>
        </w:numPr>
      </w:pPr>
      <w:r>
        <w:t xml:space="preserve">1.4</w:t>
      </w:r>
      <w:r>
        <w:t xml:space="preserve"> </w:t>
      </w:r>
      <w:hyperlink w:anchor="X9555a972bfbee3005fe40d06377e20976319a68">
        <w:r>
          <w:rPr>
            <w:rStyle w:val="Hyperlink"/>
          </w:rPr>
          <w:t xml:space="preserve">Thesis Contributions</w:t>
        </w:r>
      </w:hyperlink>
    </w:p>
    <w:p>
      <w:pPr>
        <w:pStyle w:val="Compact"/>
        <w:numPr>
          <w:ilvl w:val="1"/>
          <w:numId w:val="1002"/>
        </w:numPr>
      </w:pPr>
      <w:r>
        <w:t xml:space="preserve">1.5</w:t>
      </w:r>
      <w:r>
        <w:t xml:space="preserve"> </w:t>
      </w:r>
      <w:hyperlink w:anchor="X9df182634d47783e8598771ac1e3311a81269a4">
        <w:r>
          <w:rPr>
            <w:rStyle w:val="Hyperlink"/>
          </w:rPr>
          <w:t xml:space="preserve">Thesis Organization</w:t>
        </w:r>
      </w:hyperlink>
    </w:p>
    <w:p>
      <w:pPr>
        <w:numPr>
          <w:ilvl w:val="0"/>
          <w:numId w:val="1001"/>
        </w:numPr>
      </w:pPr>
      <w:hyperlink w:anchor="Xe6f33f15488280d70f3858ac5d64bf720282e0a">
        <w:r>
          <w:rPr>
            <w:rStyle w:val="Hyperlink"/>
          </w:rPr>
          <w:t xml:space="preserve">Literature Review</w:t>
        </w:r>
      </w:hyperlink>
    </w:p>
    <w:p>
      <w:pPr>
        <w:pStyle w:val="Compact"/>
        <w:numPr>
          <w:ilvl w:val="1"/>
          <w:numId w:val="1003"/>
        </w:numPr>
      </w:pPr>
      <w:r>
        <w:t xml:space="preserve">2.1</w:t>
      </w:r>
      <w:r>
        <w:t xml:space="preserve"> </w:t>
      </w:r>
      <w:hyperlink w:anchor="Xf9422c275a2014a1a7eb7501a0d05fad4745ac8">
        <w:r>
          <w:rPr>
            <w:rStyle w:val="Hyperlink"/>
          </w:rPr>
          <w:t xml:space="preserve">Functional Magnetic Resonance Imaging</w:t>
        </w:r>
      </w:hyperlink>
    </w:p>
    <w:p>
      <w:pPr>
        <w:pStyle w:val="Compact"/>
        <w:numPr>
          <w:ilvl w:val="1"/>
          <w:numId w:val="1003"/>
        </w:numPr>
      </w:pPr>
      <w:r>
        <w:t xml:space="preserve">2.2</w:t>
      </w:r>
      <w:r>
        <w:t xml:space="preserve"> </w:t>
      </w:r>
      <w:hyperlink w:anchor="X558f0aefed2222892f051895720d212faf965fc">
        <w:r>
          <w:rPr>
            <w:rStyle w:val="Hyperlink"/>
          </w:rPr>
          <w:t xml:space="preserve">The BIDS Standard</w:t>
        </w:r>
      </w:hyperlink>
    </w:p>
    <w:p>
      <w:pPr>
        <w:pStyle w:val="Compact"/>
        <w:numPr>
          <w:ilvl w:val="1"/>
          <w:numId w:val="1003"/>
        </w:numPr>
      </w:pPr>
      <w:r>
        <w:t xml:space="preserve">2.3</w:t>
      </w:r>
      <w:r>
        <w:t xml:space="preserve"> </w:t>
      </w:r>
      <w:hyperlink w:anchor="Xf5751826121f251635e4e4fc4f82ae9571895dc">
        <w:r>
          <w:rPr>
            <w:rStyle w:val="Hyperlink"/>
          </w:rPr>
          <w:t xml:space="preserve">fMRI Preprocessing Pipelines</w:t>
        </w:r>
      </w:hyperlink>
    </w:p>
    <w:p>
      <w:pPr>
        <w:pStyle w:val="Compact"/>
        <w:numPr>
          <w:ilvl w:val="1"/>
          <w:numId w:val="1003"/>
        </w:numPr>
      </w:pPr>
      <w:r>
        <w:t xml:space="preserve">2.4</w:t>
      </w:r>
      <w:r>
        <w:t xml:space="preserve"> </w:t>
      </w:r>
      <w:hyperlink w:anchor="X3c4eaf8fbb17e506508064b55dcd6c8a7c5104f">
        <w:r>
          <w:rPr>
            <w:rStyle w:val="Hyperlink"/>
          </w:rPr>
          <w:t xml:space="preserve">Existing Tools and Their Limitations</w:t>
        </w:r>
      </w:hyperlink>
    </w:p>
    <w:p>
      <w:pPr>
        <w:pStyle w:val="Compact"/>
        <w:numPr>
          <w:ilvl w:val="1"/>
          <w:numId w:val="1003"/>
        </w:numPr>
      </w:pPr>
      <w:r>
        <w:t xml:space="preserve">2.5</w:t>
      </w:r>
      <w:r>
        <w:t xml:space="preserve"> </w:t>
      </w:r>
      <w:hyperlink w:anchor="Xc69a419dd23c5e28d1cb707fc8652adc4ccfa91">
        <w:r>
          <w:rPr>
            <w:rStyle w:val="Hyperlink"/>
          </w:rPr>
          <w:t xml:space="preserve">Reproducibility in Neuroimaging</w:t>
        </w:r>
      </w:hyperlink>
    </w:p>
    <w:p>
      <w:pPr>
        <w:numPr>
          <w:ilvl w:val="0"/>
          <w:numId w:val="1001"/>
        </w:numPr>
      </w:pPr>
      <w:hyperlink w:anchor="Xeaf7af16e3e46fe44e45519dfa10bf831051975">
        <w:r>
          <w:rPr>
            <w:rStyle w:val="Hyperlink"/>
          </w:rPr>
          <w:t xml:space="preserve">Methodology</w:t>
        </w:r>
      </w:hyperlink>
    </w:p>
    <w:p>
      <w:pPr>
        <w:pStyle w:val="Compact"/>
        <w:numPr>
          <w:ilvl w:val="1"/>
          <w:numId w:val="1004"/>
        </w:numPr>
      </w:pPr>
      <w:r>
        <w:t xml:space="preserve">3.1</w:t>
      </w:r>
      <w:r>
        <w:t xml:space="preserve"> </w:t>
      </w:r>
      <w:hyperlink w:anchor="X427cecdce657c169f4d334565caf113db86a096">
        <w:r>
          <w:rPr>
            <w:rStyle w:val="Hyperlink"/>
          </w:rPr>
          <w:t xml:space="preserve">System Architecture</w:t>
        </w:r>
      </w:hyperlink>
    </w:p>
    <w:p>
      <w:pPr>
        <w:pStyle w:val="Compact"/>
        <w:numPr>
          <w:ilvl w:val="1"/>
          <w:numId w:val="1004"/>
        </w:numPr>
      </w:pPr>
      <w:r>
        <w:t xml:space="preserve">3.2</w:t>
      </w:r>
      <w:r>
        <w:t xml:space="preserve"> </w:t>
      </w:r>
      <w:hyperlink w:anchor="X23676337f24377648aecf8b07b36750597ae1e3">
        <w:r>
          <w:rPr>
            <w:rStyle w:val="Hyperlink"/>
          </w:rPr>
          <w:t xml:space="preserve">BIDS Conversion Pipeline</w:t>
        </w:r>
      </w:hyperlink>
    </w:p>
    <w:p>
      <w:pPr>
        <w:pStyle w:val="Compact"/>
        <w:numPr>
          <w:ilvl w:val="1"/>
          <w:numId w:val="1004"/>
        </w:numPr>
      </w:pPr>
      <w:r>
        <w:t xml:space="preserve">3.3</w:t>
      </w:r>
      <w:r>
        <w:t xml:space="preserve"> </w:t>
      </w:r>
      <w:hyperlink w:anchor="X6aec442e51278e4ec8fe4d4d57496cad128bfab">
        <w:r>
          <w:rPr>
            <w:rStyle w:val="Hyperlink"/>
          </w:rPr>
          <w:t xml:space="preserve">fMRIPrep Integration</w:t>
        </w:r>
      </w:hyperlink>
    </w:p>
    <w:p>
      <w:pPr>
        <w:pStyle w:val="Compact"/>
        <w:numPr>
          <w:ilvl w:val="1"/>
          <w:numId w:val="1004"/>
        </w:numPr>
      </w:pPr>
      <w:r>
        <w:t xml:space="preserve">3.4</w:t>
      </w:r>
      <w:r>
        <w:t xml:space="preserve"> </w:t>
      </w:r>
      <w:hyperlink w:anchor="X003a3a2bd62cd00d703d6bfbe949913b0b92f6f">
        <w:r>
          <w:rPr>
            <w:rStyle w:val="Hyperlink"/>
          </w:rPr>
          <w:t xml:space="preserve">Graphical User Interface Design</w:t>
        </w:r>
      </w:hyperlink>
    </w:p>
    <w:p>
      <w:pPr>
        <w:pStyle w:val="Compact"/>
        <w:numPr>
          <w:ilvl w:val="1"/>
          <w:numId w:val="1004"/>
        </w:numPr>
      </w:pPr>
      <w:r>
        <w:t xml:space="preserve">3.5</w:t>
      </w:r>
      <w:r>
        <w:t xml:space="preserve"> </w:t>
      </w:r>
      <w:hyperlink w:anchor="X5061bd7610cff5442b7a6cec823bfb59f253c7b">
        <w:r>
          <w:rPr>
            <w:rStyle w:val="Hyperlink"/>
          </w:rPr>
          <w:t xml:space="preserve">Parallel Processing Implementation</w:t>
        </w:r>
      </w:hyperlink>
    </w:p>
    <w:p>
      <w:pPr>
        <w:numPr>
          <w:ilvl w:val="0"/>
          <w:numId w:val="1001"/>
        </w:numPr>
      </w:pPr>
      <w:hyperlink w:anchor="X61180d00ca5ad1a465e60a25e0f8019543cae99">
        <w:r>
          <w:rPr>
            <w:rStyle w:val="Hyperlink"/>
          </w:rPr>
          <w:t xml:space="preserve">Implementation</w:t>
        </w:r>
      </w:hyperlink>
    </w:p>
    <w:p>
      <w:pPr>
        <w:pStyle w:val="Compact"/>
        <w:numPr>
          <w:ilvl w:val="1"/>
          <w:numId w:val="1005"/>
        </w:numPr>
      </w:pPr>
      <w:r>
        <w:t xml:space="preserve">4.1</w:t>
      </w:r>
      <w:r>
        <w:t xml:space="preserve"> </w:t>
      </w:r>
      <w:hyperlink w:anchor="X97ba931300de2d812097f63083d322671b24c20">
        <w:r>
          <w:rPr>
            <w:rStyle w:val="Hyperlink"/>
          </w:rPr>
          <w:t xml:space="preserve">Development Environment and Tools</w:t>
        </w:r>
      </w:hyperlink>
    </w:p>
    <w:p>
      <w:pPr>
        <w:pStyle w:val="Compact"/>
        <w:numPr>
          <w:ilvl w:val="1"/>
          <w:numId w:val="1005"/>
        </w:numPr>
      </w:pPr>
      <w:r>
        <w:t xml:space="preserve">4.2</w:t>
      </w:r>
      <w:r>
        <w:t xml:space="preserve"> </w:t>
      </w:r>
      <w:hyperlink w:anchor="X43daefcc6d17b9b180ff073d304cd411433ee18">
        <w:r>
          <w:rPr>
            <w:rStyle w:val="Hyperlink"/>
          </w:rPr>
          <w:t xml:space="preserve">Core Pipeline Components</w:t>
        </w:r>
      </w:hyperlink>
    </w:p>
    <w:p>
      <w:pPr>
        <w:pStyle w:val="Compact"/>
        <w:numPr>
          <w:ilvl w:val="1"/>
          <w:numId w:val="1005"/>
        </w:numPr>
      </w:pPr>
      <w:r>
        <w:t xml:space="preserve">4.3</w:t>
      </w:r>
      <w:r>
        <w:t xml:space="preserve"> </w:t>
      </w:r>
      <w:hyperlink w:anchor="Xead103d81ec2117f1a6af168075cba575e55ba8">
        <w:r>
          <w:rPr>
            <w:rStyle w:val="Hyperlink"/>
          </w:rPr>
          <w:t xml:space="preserve">Configuration System</w:t>
        </w:r>
      </w:hyperlink>
    </w:p>
    <w:p>
      <w:pPr>
        <w:pStyle w:val="Compact"/>
        <w:numPr>
          <w:ilvl w:val="1"/>
          <w:numId w:val="1005"/>
        </w:numPr>
      </w:pPr>
      <w:r>
        <w:t xml:space="preserve">4.4</w:t>
      </w:r>
      <w:r>
        <w:t xml:space="preserve"> </w:t>
      </w:r>
      <w:hyperlink w:anchor="Xe0d091ba4c2818480e14a19145864968028549e">
        <w:r>
          <w:rPr>
            <w:rStyle w:val="Hyperlink"/>
          </w:rPr>
          <w:t xml:space="preserve">Error Handling and Logging</w:t>
        </w:r>
      </w:hyperlink>
    </w:p>
    <w:p>
      <w:pPr>
        <w:pStyle w:val="Compact"/>
        <w:numPr>
          <w:ilvl w:val="1"/>
          <w:numId w:val="1005"/>
        </w:numPr>
      </w:pPr>
      <w:r>
        <w:t xml:space="preserve">4.5</w:t>
      </w:r>
      <w:r>
        <w:t xml:space="preserve"> </w:t>
      </w:r>
      <w:hyperlink w:anchor="X37e868f743ab042231bdba275f106266ac2e52a">
        <w:r>
          <w:rPr>
            <w:rStyle w:val="Hyperlink"/>
          </w:rPr>
          <w:t xml:space="preserve">Cross-Platform Compatibility</w:t>
        </w:r>
      </w:hyperlink>
    </w:p>
    <w:p>
      <w:pPr>
        <w:numPr>
          <w:ilvl w:val="0"/>
          <w:numId w:val="1001"/>
        </w:numPr>
      </w:pPr>
      <w:hyperlink w:anchor="Xf008beceec6d1c3a3c616f37281fffb37cae0fa">
        <w:r>
          <w:rPr>
            <w:rStyle w:val="Hyperlink"/>
          </w:rPr>
          <w:t xml:space="preserve">Results</w:t>
        </w:r>
      </w:hyperlink>
    </w:p>
    <w:p>
      <w:pPr>
        <w:pStyle w:val="Compact"/>
        <w:numPr>
          <w:ilvl w:val="1"/>
          <w:numId w:val="1006"/>
        </w:numPr>
      </w:pPr>
      <w:r>
        <w:t xml:space="preserve">5.1</w:t>
      </w:r>
      <w:r>
        <w:t xml:space="preserve"> </w:t>
      </w:r>
      <w:hyperlink w:anchor="X444fa93396c8addc7d73bf3cf720c77609feb60">
        <w:r>
          <w:rPr>
            <w:rStyle w:val="Hyperlink"/>
          </w:rPr>
          <w:t xml:space="preserve">Pipeline Validation</w:t>
        </w:r>
      </w:hyperlink>
    </w:p>
    <w:p>
      <w:pPr>
        <w:pStyle w:val="Compact"/>
        <w:numPr>
          <w:ilvl w:val="1"/>
          <w:numId w:val="1006"/>
        </w:numPr>
      </w:pPr>
      <w:r>
        <w:t xml:space="preserve">5.2</w:t>
      </w:r>
      <w:r>
        <w:t xml:space="preserve"> </w:t>
      </w:r>
      <w:hyperlink w:anchor="X57236bf47e9f648b31651219fb40c7ae6031191">
        <w:r>
          <w:rPr>
            <w:rStyle w:val="Hyperlink"/>
          </w:rPr>
          <w:t xml:space="preserve">Performance Benchmarks</w:t>
        </w:r>
      </w:hyperlink>
    </w:p>
    <w:p>
      <w:pPr>
        <w:pStyle w:val="Compact"/>
        <w:numPr>
          <w:ilvl w:val="1"/>
          <w:numId w:val="1006"/>
        </w:numPr>
      </w:pPr>
      <w:r>
        <w:t xml:space="preserve">5.3</w:t>
      </w:r>
      <w:r>
        <w:t xml:space="preserve"> </w:t>
      </w:r>
      <w:hyperlink w:anchor="Xed2e8fb747af57e601f6e9fb53d8c172e46ed38">
        <w:r>
          <w:rPr>
            <w:rStyle w:val="Hyperlink"/>
          </w:rPr>
          <w:t xml:space="preserve">User Experience Evaluation</w:t>
        </w:r>
      </w:hyperlink>
    </w:p>
    <w:p>
      <w:pPr>
        <w:pStyle w:val="Compact"/>
        <w:numPr>
          <w:ilvl w:val="1"/>
          <w:numId w:val="1006"/>
        </w:numPr>
      </w:pPr>
      <w:r>
        <w:t xml:space="preserve">5.4</w:t>
      </w:r>
      <w:r>
        <w:t xml:space="preserve"> </w:t>
      </w:r>
      <w:hyperlink w:anchor="X5a64d21c7c9d55d475d3b680c01ec06ee67caa1">
        <w:r>
          <w:rPr>
            <w:rStyle w:val="Hyperlink"/>
          </w:rPr>
          <w:t xml:space="preserve">Quality Control Outputs</w:t>
        </w:r>
      </w:hyperlink>
    </w:p>
    <w:p>
      <w:pPr>
        <w:numPr>
          <w:ilvl w:val="0"/>
          <w:numId w:val="1001"/>
        </w:numPr>
      </w:pPr>
      <w:hyperlink w:anchor="Xe60211b7362d4efd10cab3a88ad8ddec4cb4e70">
        <w:r>
          <w:rPr>
            <w:rStyle w:val="Hyperlink"/>
          </w:rPr>
          <w:t xml:space="preserve">Discussion</w:t>
        </w:r>
      </w:hyperlink>
    </w:p>
    <w:p>
      <w:pPr>
        <w:pStyle w:val="Compact"/>
        <w:numPr>
          <w:ilvl w:val="1"/>
          <w:numId w:val="1007"/>
        </w:numPr>
      </w:pPr>
      <w:r>
        <w:t xml:space="preserve">6.1</w:t>
      </w:r>
      <w:r>
        <w:t xml:space="preserve"> </w:t>
      </w:r>
      <w:hyperlink w:anchor="X78028cbe25f1a7601f31983901271cb30d956ef">
        <w:r>
          <w:rPr>
            <w:rStyle w:val="Hyperlink"/>
          </w:rPr>
          <w:t xml:space="preserve">Interpretation of Results</w:t>
        </w:r>
      </w:hyperlink>
    </w:p>
    <w:p>
      <w:pPr>
        <w:pStyle w:val="Compact"/>
        <w:numPr>
          <w:ilvl w:val="1"/>
          <w:numId w:val="1007"/>
        </w:numPr>
      </w:pPr>
      <w:r>
        <w:t xml:space="preserve">6.2</w:t>
      </w:r>
      <w:r>
        <w:t xml:space="preserve"> </w:t>
      </w:r>
      <w:hyperlink w:anchor="Xfa7269685b7f8276ee49bdf65cdecb5365cdf72">
        <w:r>
          <w:rPr>
            <w:rStyle w:val="Hyperlink"/>
          </w:rPr>
          <w:t xml:space="preserve">Comparison with Existing Solutions</w:t>
        </w:r>
      </w:hyperlink>
    </w:p>
    <w:p>
      <w:pPr>
        <w:pStyle w:val="Compact"/>
        <w:numPr>
          <w:ilvl w:val="1"/>
          <w:numId w:val="1007"/>
        </w:numPr>
      </w:pPr>
      <w:r>
        <w:t xml:space="preserve">6.3</w:t>
      </w:r>
      <w:r>
        <w:t xml:space="preserve"> </w:t>
      </w:r>
      <w:hyperlink w:anchor="Xf90f0619e400b8f96f176295e516dfaac72a290">
        <w:r>
          <w:rPr>
            <w:rStyle w:val="Hyperlink"/>
          </w:rPr>
          <w:t xml:space="preserve">Laboratory Applications</w:t>
        </w:r>
      </w:hyperlink>
    </w:p>
    <w:p>
      <w:pPr>
        <w:pStyle w:val="Compact"/>
        <w:numPr>
          <w:ilvl w:val="1"/>
          <w:numId w:val="1007"/>
        </w:numPr>
      </w:pPr>
      <w:r>
        <w:t xml:space="preserve">6.4</w:t>
      </w:r>
      <w:r>
        <w:t xml:space="preserve"> </w:t>
      </w:r>
      <w:hyperlink w:anchor="X819b27e0f0c287bfaeb057f0aeeca347898424d">
        <w:r>
          <w:rPr>
            <w:rStyle w:val="Hyperlink"/>
          </w:rPr>
          <w:t xml:space="preserve">Limitations</w:t>
        </w:r>
      </w:hyperlink>
    </w:p>
    <w:p>
      <w:pPr>
        <w:numPr>
          <w:ilvl w:val="0"/>
          <w:numId w:val="1001"/>
        </w:numPr>
      </w:pPr>
      <w:hyperlink w:anchor="X70123913d73623800d57c00e6da9870330ecf47">
        <w:r>
          <w:rPr>
            <w:rStyle w:val="Hyperlink"/>
          </w:rPr>
          <w:t xml:space="preserve">Future Work</w:t>
        </w:r>
      </w:hyperlink>
    </w:p>
    <w:p>
      <w:pPr>
        <w:pStyle w:val="Compact"/>
        <w:numPr>
          <w:ilvl w:val="1"/>
          <w:numId w:val="1008"/>
        </w:numPr>
      </w:pPr>
      <w:r>
        <w:t xml:space="preserve">7.1</w:t>
      </w:r>
      <w:r>
        <w:t xml:space="preserve"> </w:t>
      </w:r>
      <w:hyperlink w:anchor="Xa3da8d3941606dee79ad799c0db8019b7e3e446">
        <w:r>
          <w:rPr>
            <w:rStyle w:val="Hyperlink"/>
          </w:rPr>
          <w:t xml:space="preserve">Cloud Integration</w:t>
        </w:r>
      </w:hyperlink>
    </w:p>
    <w:p>
      <w:pPr>
        <w:pStyle w:val="Compact"/>
        <w:numPr>
          <w:ilvl w:val="1"/>
          <w:numId w:val="1008"/>
        </w:numPr>
      </w:pPr>
      <w:r>
        <w:t xml:space="preserve">7.2</w:t>
      </w:r>
      <w:r>
        <w:t xml:space="preserve"> </w:t>
      </w:r>
      <w:hyperlink w:anchor="Xcde4052161ab709107a4a09e448a2d0eb6395d2">
        <w:r>
          <w:rPr>
            <w:rStyle w:val="Hyperlink"/>
          </w:rPr>
          <w:t xml:space="preserve">Extended Pipeline Support</w:t>
        </w:r>
      </w:hyperlink>
    </w:p>
    <w:p>
      <w:pPr>
        <w:pStyle w:val="Compact"/>
        <w:numPr>
          <w:ilvl w:val="1"/>
          <w:numId w:val="1008"/>
        </w:numPr>
      </w:pPr>
      <w:r>
        <w:t xml:space="preserve">7.3</w:t>
      </w:r>
      <w:r>
        <w:t xml:space="preserve"> </w:t>
      </w:r>
      <w:hyperlink w:anchor="X1b13682f992aab7444f51966a94951dc984c793">
        <w:r>
          <w:rPr>
            <w:rStyle w:val="Hyperlink"/>
          </w:rPr>
          <w:t xml:space="preserve">Machine Learning Integration</w:t>
        </w:r>
      </w:hyperlink>
    </w:p>
    <w:p>
      <w:pPr>
        <w:pStyle w:val="Compact"/>
        <w:numPr>
          <w:ilvl w:val="1"/>
          <w:numId w:val="1008"/>
        </w:numPr>
      </w:pPr>
      <w:r>
        <w:t xml:space="preserve">7.4</w:t>
      </w:r>
      <w:r>
        <w:t xml:space="preserve"> </w:t>
      </w:r>
      <w:hyperlink w:anchor="X9d948b7f6a7a22fc6686693d26fd4290d3a364f">
        <w:r>
          <w:rPr>
            <w:rStyle w:val="Hyperlink"/>
          </w:rPr>
          <w:t xml:space="preserve">Community Development</w:t>
        </w:r>
      </w:hyperlink>
    </w:p>
    <w:p>
      <w:pPr>
        <w:numPr>
          <w:ilvl w:val="0"/>
          <w:numId w:val="1001"/>
        </w:numPr>
      </w:pPr>
      <w:hyperlink w:anchor="X068cadce569253993d0037f110a97f237619c0f">
        <w:r>
          <w:rPr>
            <w:rStyle w:val="Hyperlink"/>
          </w:rPr>
          <w:t xml:space="preserve">Conclusion</w:t>
        </w:r>
      </w:hyperlink>
    </w:p>
    <w:p>
      <w:pPr>
        <w:numPr>
          <w:ilvl w:val="0"/>
          <w:numId w:val="1001"/>
        </w:numPr>
      </w:pPr>
      <w:hyperlink w:anchor="X44053ebe33c720621d75098c1084c63186c80a6">
        <w:r>
          <w:rPr>
            <w:rStyle w:val="Hyperlink"/>
          </w:rPr>
          <w:t xml:space="preserve">References</w:t>
        </w:r>
      </w:hyperlink>
    </w:p>
    <w:p>
      <w:pPr>
        <w:numPr>
          <w:ilvl w:val="0"/>
          <w:numId w:val="1001"/>
        </w:numPr>
      </w:pPr>
      <w:hyperlink w:anchor="X78650e0301b88b41d1f9cd39c3bfe4947a94ced">
        <w:r>
          <w:rPr>
            <w:rStyle w:val="Hyperlink"/>
          </w:rPr>
          <w:t xml:space="preserve">Appendices</w:t>
        </w:r>
      </w:hyperlink>
    </w:p>
    <w:p>
      <w:pPr>
        <w:pStyle w:val="Compact"/>
        <w:numPr>
          <w:ilvl w:val="1"/>
          <w:numId w:val="1009"/>
        </w:numPr>
      </w:pPr>
      <w:r>
        <w:t xml:space="preserve">A.</w:t>
      </w:r>
      <w:r>
        <w:t xml:space="preserve"> </w:t>
      </w:r>
      <w:hyperlink w:anchor="appendix-a-installation-guide">
        <w:r>
          <w:rPr>
            <w:rStyle w:val="Hyperlink"/>
          </w:rPr>
          <w:t xml:space="preserve">Installation Guide</w:t>
        </w:r>
      </w:hyperlink>
    </w:p>
    <w:p>
      <w:pPr>
        <w:pStyle w:val="Compact"/>
        <w:numPr>
          <w:ilvl w:val="1"/>
          <w:numId w:val="1009"/>
        </w:numPr>
      </w:pPr>
      <w:r>
        <w:t xml:space="preserve">B.</w:t>
      </w:r>
      <w:r>
        <w:t xml:space="preserve"> </w:t>
      </w:r>
      <w:hyperlink w:anchor="appendix-b-configuration-reference">
        <w:r>
          <w:rPr>
            <w:rStyle w:val="Hyperlink"/>
          </w:rPr>
          <w:t xml:space="preserve">Configuration Reference</w:t>
        </w:r>
      </w:hyperlink>
    </w:p>
    <w:p>
      <w:pPr>
        <w:pStyle w:val="Compact"/>
        <w:numPr>
          <w:ilvl w:val="1"/>
          <w:numId w:val="1009"/>
        </w:numPr>
      </w:pPr>
      <w:r>
        <w:t xml:space="preserve">C.</w:t>
      </w:r>
      <w:r>
        <w:t xml:space="preserve"> </w:t>
      </w:r>
      <w:hyperlink w:anchor="appendix-c-output-specifications">
        <w:r>
          <w:rPr>
            <w:rStyle w:val="Hyperlink"/>
          </w:rPr>
          <w:t xml:space="preserve">Output Specifications</w:t>
        </w:r>
      </w:hyperlink>
    </w:p>
    <w:p>
      <w:r>
        <w:pict>
          <v:rect style="width:0;height:1.5pt" o:hralign="center" o:hrstd="t" o:hr="t"/>
        </w:pict>
      </w:r>
    </w:p>
    <w:bookmarkEnd w:id="10"/>
    <w:bookmarkStart w:id="16" w:name="introduction"/>
    <w:p>
      <w:pPr>
        <w:pStyle w:val="Heading2"/>
      </w:pPr>
      <w:r>
        <w:t xml:space="preserve">1. Introduction</w:t>
      </w:r>
    </w:p>
    <w:bookmarkStart w:id="11" w:name="background-and-motivation"/>
    <w:p>
      <w:pPr>
        <w:pStyle w:val="Heading3"/>
      </w:pPr>
      <w:r>
        <w:t xml:space="preserve">1.1 Background and Motivation</w:t>
      </w:r>
    </w:p>
    <w:p>
      <w:pPr>
        <w:pStyle w:val="FirstParagraph"/>
      </w:pPr>
      <w:r>
        <w:t xml:space="preserve">Functional magnetic resonance imaging (fMRI) has revolutionized our understanding of the human brain since its introduction in the early 1990s (Ogawa et al., 1990; Bandettini et al., 1992). By measuring blood oxygenation level-dependent (BOLD) signals, fMRI enables researchers to infer neural activity non-invasively, making it the predominant technique for studying human brain function in cognitive neuroscience, clinical psychology, and related fields (Logothetis, 2008).</w:t>
      </w:r>
    </w:p>
    <w:p>
      <w:pPr>
        <w:pStyle w:val="BodyText"/>
      </w:pPr>
      <w:r>
        <w:t xml:space="preserve">The typical fMRI research workflow involves several distinct phases: experimental design, data acquisition, preprocessing, statistical analysis, and interpretation (Poldrack et al., 2011). Among these, preprocessing represents a critical yet often underappreciated bottleneck. Raw fMRI data, as acquired from MRI scanners in the Digital Imaging and Communications in Medicine (DICOM) format, contains numerous artifacts and inconsistencies that must be addressed before meaningful statistical inferences can be drawn (Caballero-Gaudes &amp; Reynolds, 2017).</w:t>
      </w:r>
    </w:p>
    <w:p>
      <w:pPr>
        <w:pStyle w:val="BodyText"/>
      </w:pPr>
      <w:r>
        <w:t xml:space="preserve">The preprocessing phase typically involves multiple computationally intensive steps, including motion correction, slice timing correction, spatial normalization, and artifact removal (Lindquist, 2008). Each step requires careful parameter selection and quality assessment, traditionally demanding significant expertise in both neuroimaging methods and command-line computing. This technical barrier has created a significant divide between laboratories with dedicated technical staff and those without, potentially limiting scientific progress and reproducibility.</w:t>
      </w:r>
    </w:p>
    <w:p>
      <w:pPr>
        <w:pStyle w:val="BodyText"/>
      </w:pPr>
      <w:r>
        <w:t xml:space="preserve">The motivation for this thesis stems from observations within our laboratory and the broader neuroimaging community. Despite the availability of powerful preprocessing tools, many research groups struggle with:</w:t>
      </w:r>
    </w:p>
    <w:p>
      <w:pPr>
        <w:pStyle w:val="Compact"/>
        <w:numPr>
          <w:ilvl w:val="0"/>
          <w:numId w:val="1010"/>
        </w:numPr>
      </w:pPr>
      <w:r>
        <w:rPr>
          <w:b/>
          <w:bCs/>
        </w:rPr>
        <w:t xml:space="preserve">Technical complexity</w:t>
      </w:r>
      <w:r>
        <w:t xml:space="preserve">: Existing tools often require command-line expertise and familiarity with multiple software packages.</w:t>
      </w:r>
    </w:p>
    <w:p>
      <w:pPr>
        <w:pStyle w:val="Compact"/>
        <w:numPr>
          <w:ilvl w:val="0"/>
          <w:numId w:val="1010"/>
        </w:numPr>
      </w:pPr>
      <w:r>
        <w:rPr>
          <w:b/>
          <w:bCs/>
        </w:rPr>
        <w:t xml:space="preserve">Time investment</w:t>
      </w:r>
      <w:r>
        <w:t xml:space="preserve">: Manual preprocessing of a single subject can require several hours of researcher time.</w:t>
      </w:r>
    </w:p>
    <w:p>
      <w:pPr>
        <w:pStyle w:val="Compact"/>
        <w:numPr>
          <w:ilvl w:val="0"/>
          <w:numId w:val="1010"/>
        </w:numPr>
      </w:pPr>
      <w:r>
        <w:rPr>
          <w:b/>
          <w:bCs/>
        </w:rPr>
        <w:t xml:space="preserve">Reproducibility concerns</w:t>
      </w:r>
      <w:r>
        <w:t xml:space="preserve">: Ad-hoc preprocessing decisions can compromise the reproducibility of research findings.</w:t>
      </w:r>
    </w:p>
    <w:p>
      <w:pPr>
        <w:pStyle w:val="Compact"/>
        <w:numPr>
          <w:ilvl w:val="0"/>
          <w:numId w:val="1010"/>
        </w:numPr>
      </w:pPr>
      <w:r>
        <w:rPr>
          <w:b/>
          <w:bCs/>
        </w:rPr>
        <w:t xml:space="preserve">Data organization</w:t>
      </w:r>
      <w:r>
        <w:t xml:space="preserve">: Raw scanner data requires conversion to standardized formats before analysis.</w:t>
      </w:r>
    </w:p>
    <w:p>
      <w:pPr>
        <w:pStyle w:val="FirstParagraph"/>
      </w:pPr>
      <w:r>
        <w:t xml:space="preserve">These challenges are particularly acute in longitudinal studies involving multiple subjects and scanning sessions, where the cumulative preprocessing burden can significantly delay research progress.</w:t>
      </w:r>
    </w:p>
    <w:bookmarkEnd w:id="11"/>
    <w:bookmarkStart w:id="12" w:name="problem-statement"/>
    <w:p>
      <w:pPr>
        <w:pStyle w:val="Heading3"/>
      </w:pPr>
      <w:r>
        <w:t xml:space="preserve">1.2 Problem Statement</w:t>
      </w:r>
    </w:p>
    <w:p>
      <w:pPr>
        <w:pStyle w:val="FirstParagraph"/>
      </w:pPr>
      <w:r>
        <w:t xml:space="preserve">Despite significant advances in neuroimaging preprocessing tools, a critical gap remains between the capabilities of state-of-the-art pipelines and their accessibility to the broader research community. Specifically, the current landscape presents the following challenges:</w:t>
      </w:r>
    </w:p>
    <w:p>
      <w:pPr>
        <w:pStyle w:val="BodyText"/>
      </w:pPr>
      <w:r>
        <w:rPr>
          <w:b/>
          <w:bCs/>
        </w:rPr>
        <w:t xml:space="preserve">Technical Accessibility</w:t>
      </w:r>
      <w:r>
        <w:t xml:space="preserve">: Tools such as fMRIPrep (Esteban et al., 2019), while representing the gold standard in preprocessing methodology, require substantial technical expertise for deployment and execution. Researchers must navigate Docker containerization, command-line interfaces, and complex configuration options.</w:t>
      </w:r>
    </w:p>
    <w:p>
      <w:pPr>
        <w:pStyle w:val="BodyText"/>
      </w:pPr>
      <w:r>
        <w:rPr>
          <w:b/>
          <w:bCs/>
        </w:rPr>
        <w:t xml:space="preserve">Data Format Complexity</w:t>
      </w:r>
      <w:r>
        <w:t xml:space="preserve">: MRI scanners produce data in DICOM format, which varies across manufacturers and institutions. Converting this data to the Brain Imaging Data Structure (BIDS) format (Gorgolewski et al., 2016), now required by most modern analysis tools, requires understanding of both formats and careful attention to metadata preservation.</w:t>
      </w:r>
    </w:p>
    <w:p>
      <w:pPr>
        <w:pStyle w:val="BodyText"/>
      </w:pPr>
      <w:r>
        <w:rPr>
          <w:b/>
          <w:bCs/>
        </w:rPr>
        <w:t xml:space="preserve">Workflow Integration</w:t>
      </w:r>
      <w:r>
        <w:t xml:space="preserve">: Existing solutions typically address either format conversion or preprocessing, requiring researchers to manually integrate multiple tools and transfer data between systems.</w:t>
      </w:r>
    </w:p>
    <w:p>
      <w:pPr>
        <w:pStyle w:val="BodyText"/>
      </w:pPr>
      <w:r>
        <w:rPr>
          <w:b/>
          <w:bCs/>
        </w:rPr>
        <w:t xml:space="preserve">Resource Optimization</w:t>
      </w:r>
      <w:r>
        <w:t xml:space="preserve">: Processing large datasets efficiently requires parallel computing expertise that extends beyond the training of most neuroscience researchers.</w:t>
      </w:r>
    </w:p>
    <w:p>
      <w:pPr>
        <w:pStyle w:val="BodyText"/>
      </w:pPr>
      <w:r>
        <w:rPr>
          <w:b/>
          <w:bCs/>
        </w:rPr>
        <w:t xml:space="preserve">Quality Assurance</w:t>
      </w:r>
      <w:r>
        <w:t xml:space="preserve">: Generating interpretable quality control outputs that can be understood by researchers without specialized preprocessing knowledge remains challenging.</w:t>
      </w:r>
    </w:p>
    <w:p>
      <w:pPr>
        <w:pStyle w:val="BodyText"/>
      </w:pPr>
      <w:r>
        <w:t xml:space="preserve">This thesis addresses these challenges through the development of an integrated, user-friendly pipeline that automates the entire workflow from raw DICOM data to preprocessed, analysis-ready outputs.</w:t>
      </w:r>
    </w:p>
    <w:bookmarkEnd w:id="12"/>
    <w:bookmarkStart w:id="13" w:name="research-objectives"/>
    <w:p>
      <w:pPr>
        <w:pStyle w:val="Heading3"/>
      </w:pPr>
      <w:r>
        <w:t xml:space="preserve">1.3 Research Objectives</w:t>
      </w:r>
    </w:p>
    <w:p>
      <w:pPr>
        <w:pStyle w:val="FirstParagraph"/>
      </w:pPr>
      <w:r>
        <w:t xml:space="preserve">The primary objective of this thesis is to develop and validate an automated fMRI preprocessing pipeline that addresses the accessibility and efficiency challenges outlined above. Specifically, this work aims to:</w:t>
      </w:r>
    </w:p>
    <w:p>
      <w:pPr>
        <w:numPr>
          <w:ilvl w:val="0"/>
          <w:numId w:val="1011"/>
        </w:numPr>
      </w:pPr>
      <w:r>
        <w:rPr>
          <w:b/>
          <w:bCs/>
        </w:rPr>
        <w:t xml:space="preserve">Design and implement a graphical user interface</w:t>
      </w:r>
      <w:r>
        <w:t xml:space="preserve"> </w:t>
      </w:r>
      <w:r>
        <w:t xml:space="preserve">that enables researchers without command-line expertise to execute state-of-the-art preprocessing pipelines.</w:t>
      </w:r>
    </w:p>
    <w:p>
      <w:pPr>
        <w:numPr>
          <w:ilvl w:val="0"/>
          <w:numId w:val="1011"/>
        </w:numPr>
      </w:pPr>
      <w:r>
        <w:rPr>
          <w:b/>
          <w:bCs/>
        </w:rPr>
        <w:t xml:space="preserve">Automate BIDS conversion</w:t>
      </w:r>
      <w:r>
        <w:t xml:space="preserve"> </w:t>
      </w:r>
      <w:r>
        <w:t xml:space="preserve">from arbitrary DICOM directory structures, with intelligent detection of subjects, sessions, and scan types.</w:t>
      </w:r>
    </w:p>
    <w:p>
      <w:pPr>
        <w:numPr>
          <w:ilvl w:val="0"/>
          <w:numId w:val="1011"/>
        </w:numPr>
      </w:pPr>
      <w:r>
        <w:rPr>
          <w:b/>
          <w:bCs/>
        </w:rPr>
        <w:t xml:space="preserve">Integrate fMRIPrep preprocessing</w:t>
      </w:r>
      <w:r>
        <w:t xml:space="preserve"> </w:t>
      </w:r>
      <w:r>
        <w:t xml:space="preserve">within a unified workflow, managing containerization and resource allocation transparently.</w:t>
      </w:r>
    </w:p>
    <w:p>
      <w:pPr>
        <w:numPr>
          <w:ilvl w:val="0"/>
          <w:numId w:val="1011"/>
        </w:numPr>
      </w:pPr>
      <w:r>
        <w:rPr>
          <w:b/>
          <w:bCs/>
        </w:rPr>
        <w:t xml:space="preserve">Implement parallel processing</w:t>
      </w:r>
      <w:r>
        <w:t xml:space="preserve"> </w:t>
      </w:r>
      <w:r>
        <w:t xml:space="preserve">capabilities to optimize throughput for large datasets.</w:t>
      </w:r>
    </w:p>
    <w:p>
      <w:pPr>
        <w:numPr>
          <w:ilvl w:val="0"/>
          <w:numId w:val="1011"/>
        </w:numPr>
      </w:pPr>
      <w:r>
        <w:rPr>
          <w:b/>
          <w:bCs/>
        </w:rPr>
        <w:t xml:space="preserve">Generate comprehensive, user-friendly reports</w:t>
      </w:r>
      <w:r>
        <w:t xml:space="preserve"> </w:t>
      </w:r>
      <w:r>
        <w:t xml:space="preserve">that enable quality assessment by non-technical researchers.</w:t>
      </w:r>
    </w:p>
    <w:p>
      <w:pPr>
        <w:numPr>
          <w:ilvl w:val="0"/>
          <w:numId w:val="1011"/>
        </w:numPr>
      </w:pPr>
      <w:r>
        <w:rPr>
          <w:b/>
          <w:bCs/>
        </w:rPr>
        <w:t xml:space="preserve">Ensure cross-platform compatibility</w:t>
      </w:r>
      <w:r>
        <w:t xml:space="preserve"> </w:t>
      </w:r>
      <w:r>
        <w:t xml:space="preserve">across Windows, macOS, and Linux operating systems.</w:t>
      </w:r>
    </w:p>
    <w:p>
      <w:pPr>
        <w:numPr>
          <w:ilvl w:val="0"/>
          <w:numId w:val="1011"/>
        </w:numPr>
      </w:pPr>
      <w:r>
        <w:rPr>
          <w:b/>
          <w:bCs/>
        </w:rPr>
        <w:t xml:space="preserve">Validate pipeline outputs</w:t>
      </w:r>
      <w:r>
        <w:t xml:space="preserve"> </w:t>
      </w:r>
      <w:r>
        <w:t xml:space="preserve">against manually preprocessed data to ensure quality preservation.</w:t>
      </w:r>
    </w:p>
    <w:bookmarkEnd w:id="13"/>
    <w:bookmarkStart w:id="14" w:name="thesis-contributions"/>
    <w:p>
      <w:pPr>
        <w:pStyle w:val="Heading3"/>
      </w:pPr>
      <w:r>
        <w:t xml:space="preserve">1.4 Thesis Contributions</w:t>
      </w:r>
    </w:p>
    <w:p>
      <w:pPr>
        <w:pStyle w:val="FirstParagraph"/>
      </w:pPr>
      <w:r>
        <w:t xml:space="preserve">This thesis makes the following contributions to the field of neuroimaging research:</w:t>
      </w:r>
    </w:p>
    <w:p>
      <w:pPr>
        <w:numPr>
          <w:ilvl w:val="0"/>
          <w:numId w:val="1012"/>
        </w:numPr>
      </w:pPr>
      <w:r>
        <w:rPr>
          <w:b/>
          <w:bCs/>
        </w:rPr>
        <w:t xml:space="preserve">A complete, open-source preprocessing pipeline</w:t>
      </w:r>
      <w:r>
        <w:t xml:space="preserve"> </w:t>
      </w:r>
      <w:r>
        <w:t xml:space="preserve">that integrates BIDS conversion and fMRIPrep preprocessing within a unified graphical interface.</w:t>
      </w:r>
    </w:p>
    <w:p>
      <w:pPr>
        <w:numPr>
          <w:ilvl w:val="0"/>
          <w:numId w:val="1012"/>
        </w:numPr>
      </w:pPr>
      <w:r>
        <w:rPr>
          <w:b/>
          <w:bCs/>
        </w:rPr>
        <w:t xml:space="preserve">An intelligent DICOM parsing system</w:t>
      </w:r>
      <w:r>
        <w:t xml:space="preserve"> </w:t>
      </w:r>
      <w:r>
        <w:t xml:space="preserve">that automatically identifies subject and session structures from varied directory organizations.</w:t>
      </w:r>
    </w:p>
    <w:p>
      <w:pPr>
        <w:numPr>
          <w:ilvl w:val="0"/>
          <w:numId w:val="1012"/>
        </w:numPr>
      </w:pPr>
      <w:r>
        <w:rPr>
          <w:b/>
          <w:bCs/>
        </w:rPr>
        <w:t xml:space="preserve">A parallel processing framework</w:t>
      </w:r>
      <w:r>
        <w:t xml:space="preserve"> </w:t>
      </w:r>
      <w:r>
        <w:t xml:space="preserve">that efficiently utilizes available computational resources while managing memory constraints.</w:t>
      </w:r>
    </w:p>
    <w:p>
      <w:pPr>
        <w:numPr>
          <w:ilvl w:val="0"/>
          <w:numId w:val="1012"/>
        </w:numPr>
      </w:pPr>
      <w:r>
        <w:rPr>
          <w:b/>
          <w:bCs/>
        </w:rPr>
        <w:t xml:space="preserve">A comprehensive reporting system</w:t>
      </w:r>
      <w:r>
        <w:t xml:space="preserve"> </w:t>
      </w:r>
      <w:r>
        <w:t xml:space="preserve">that generates human-readable summaries suitable for non-technical stakeholders.</w:t>
      </w:r>
    </w:p>
    <w:p>
      <w:pPr>
        <w:numPr>
          <w:ilvl w:val="0"/>
          <w:numId w:val="1012"/>
        </w:numPr>
      </w:pPr>
      <w:r>
        <w:rPr>
          <w:b/>
          <w:bCs/>
        </w:rPr>
        <w:t xml:space="preserve">Cross-platform implementation</w:t>
      </w:r>
      <w:r>
        <w:t xml:space="preserve"> </w:t>
      </w:r>
      <w:r>
        <w:t xml:space="preserve">that functions consistently across major operating systems without requiring platform-specific modifications by users.</w:t>
      </w:r>
    </w:p>
    <w:p>
      <w:pPr>
        <w:numPr>
          <w:ilvl w:val="0"/>
          <w:numId w:val="1012"/>
        </w:numPr>
      </w:pPr>
      <w:r>
        <w:rPr>
          <w:b/>
          <w:bCs/>
        </w:rPr>
        <w:t xml:space="preserve">Detailed documentation</w:t>
      </w:r>
      <w:r>
        <w:t xml:space="preserve"> </w:t>
      </w:r>
      <w:r>
        <w:t xml:space="preserve">that serves both as user guidance and as educational material for understanding preprocessing concepts.</w:t>
      </w:r>
    </w:p>
    <w:bookmarkEnd w:id="14"/>
    <w:bookmarkStart w:id="15" w:name="thesis-organization"/>
    <w:p>
      <w:pPr>
        <w:pStyle w:val="Heading3"/>
      </w:pPr>
      <w:r>
        <w:t xml:space="preserve">1.5 Thesis Organization</w:t>
      </w:r>
    </w:p>
    <w:p>
      <w:pPr>
        <w:pStyle w:val="FirstParagraph"/>
      </w:pPr>
      <w:r>
        <w:t xml:space="preserve">The remainder of this thesis is organized as follows:</w:t>
      </w:r>
    </w:p>
    <w:p>
      <w:pPr>
        <w:pStyle w:val="BodyText"/>
      </w:pPr>
      <w:r>
        <w:rPr>
          <w:b/>
          <w:bCs/>
        </w:rPr>
        <w:t xml:space="preserve">Chapter 2</w:t>
      </w:r>
      <w:r>
        <w:t xml:space="preserve"> </w:t>
      </w:r>
      <w:r>
        <w:t xml:space="preserve">presents a comprehensive review of the relevant literature, covering fMRI fundamentals, the BIDS standard, existing preprocessing approaches, and reproducibility considerations in neuroimaging.</w:t>
      </w:r>
    </w:p>
    <w:p>
      <w:pPr>
        <w:pStyle w:val="BodyText"/>
      </w:pPr>
      <w:r>
        <w:rPr>
          <w:b/>
          <w:bCs/>
        </w:rPr>
        <w:t xml:space="preserve">Chapter 3</w:t>
      </w:r>
      <w:r>
        <w:t xml:space="preserve"> </w:t>
      </w:r>
      <w:r>
        <w:t xml:space="preserve">describes the methodology employed in designing and implementing the pipeline, including system architecture, algorithm selection, and interface design decisions.</w:t>
      </w:r>
    </w:p>
    <w:p>
      <w:pPr>
        <w:pStyle w:val="BodyText"/>
      </w:pPr>
      <w:r>
        <w:rPr>
          <w:b/>
          <w:bCs/>
        </w:rPr>
        <w:t xml:space="preserve">Chapter 4</w:t>
      </w:r>
      <w:r>
        <w:t xml:space="preserve"> </w:t>
      </w:r>
      <w:r>
        <w:t xml:space="preserve">details the technical implementation, covering development tools, code structure, and platform-specific considerations.</w:t>
      </w:r>
    </w:p>
    <w:p>
      <w:pPr>
        <w:pStyle w:val="BodyText"/>
      </w:pPr>
      <w:r>
        <w:rPr>
          <w:b/>
          <w:bCs/>
        </w:rPr>
        <w:t xml:space="preserve">Chapter 5</w:t>
      </w:r>
      <w:r>
        <w:t xml:space="preserve"> </w:t>
      </w:r>
      <w:r>
        <w:t xml:space="preserve">presents the results of pipeline validation, performance benchmarking, and user experience evaluation.</w:t>
      </w:r>
    </w:p>
    <w:p>
      <w:pPr>
        <w:pStyle w:val="BodyText"/>
      </w:pPr>
      <w:r>
        <w:rPr>
          <w:b/>
          <w:bCs/>
        </w:rPr>
        <w:t xml:space="preserve">Chapter 6</w:t>
      </w:r>
      <w:r>
        <w:t xml:space="preserve"> </w:t>
      </w:r>
      <w:r>
        <w:t xml:space="preserve">discusses the implications of these results, comparing the developed solution with existing alternatives and considering limitations.</w:t>
      </w:r>
    </w:p>
    <w:p>
      <w:pPr>
        <w:pStyle w:val="BodyText"/>
      </w:pPr>
      <w:r>
        <w:rPr>
          <w:b/>
          <w:bCs/>
        </w:rPr>
        <w:t xml:space="preserve">Chapter 7</w:t>
      </w:r>
      <w:r>
        <w:t xml:space="preserve"> </w:t>
      </w:r>
      <w:r>
        <w:t xml:space="preserve">outlines directions for future development, including cloud integration and extended analysis support.</w:t>
      </w:r>
    </w:p>
    <w:p>
      <w:pPr>
        <w:pStyle w:val="BodyText"/>
      </w:pPr>
      <w:r>
        <w:rPr>
          <w:b/>
          <w:bCs/>
        </w:rPr>
        <w:t xml:space="preserve">Chapter 8</w:t>
      </w:r>
      <w:r>
        <w:t xml:space="preserve"> </w:t>
      </w:r>
      <w:r>
        <w:t xml:space="preserve">concludes the thesis with a summary of contributions and final remarks.</w:t>
      </w:r>
    </w:p>
    <w:p>
      <w:r>
        <w:pict>
          <v:rect style="width:0;height:1.5pt" o:hralign="center" o:hrstd="t" o:hr="t"/>
        </w:pict>
      </w:r>
    </w:p>
    <w:bookmarkEnd w:id="15"/>
    <w:bookmarkEnd w:id="16"/>
    <w:bookmarkStart w:id="22" w:name="literature-review"/>
    <w:p>
      <w:pPr>
        <w:pStyle w:val="Heading2"/>
      </w:pPr>
      <w:r>
        <w:t xml:space="preserve">2. Literature Review</w:t>
      </w:r>
    </w:p>
    <w:bookmarkStart w:id="17" w:name="functional-magnetic-resonance-imaging"/>
    <w:p>
      <w:pPr>
        <w:pStyle w:val="Heading3"/>
      </w:pPr>
      <w:r>
        <w:t xml:space="preserve">2.1 Functional Magnetic Resonance Imaging</w:t>
      </w:r>
    </w:p>
    <w:p>
      <w:pPr>
        <w:pStyle w:val="FirstParagraph"/>
      </w:pPr>
      <w:r>
        <w:t xml:space="preserve">Functional magnetic resonance imaging represents one of the most significant technological advances in the study of human brain function. The technique exploits the magnetic properties of blood to detect changes in cerebral blood flow associated with neural activity (Ogawa et al., 1990). When neurons become active, local blood flow increases to supply oxygen and glucose, a phenomenon known as the hemodynamic response. The resulting change in the ratio of oxygenated to deoxygenated hemoglobin produces a measurable signal change in MRI images—the blood oxygenation level-dependent (BOLD) contrast (Logothetis &amp; Wandell, 2004).</w:t>
      </w:r>
    </w:p>
    <w:p>
      <w:pPr>
        <w:pStyle w:val="BodyText"/>
      </w:pPr>
      <w:r>
        <w:t xml:space="preserve">The typical fMRI experiment involves acquiring a series of whole-brain images at regular intervals (typically every 1-3 seconds) while participants perform cognitive tasks or rest quietly. These time-series data can then be analyzed to identify brain regions whose activity correlates with experimental conditions, yielding insights into the neural substrates of perception, cognition, and behavior (Bandettini, 2012).</w:t>
      </w:r>
    </w:p>
    <w:p>
      <w:pPr>
        <w:pStyle w:val="BodyText"/>
      </w:pPr>
      <w:r>
        <w:t xml:space="preserve">However, raw fMRI data contains numerous sources of noise and artifact that can obscure the BOLD signal of interest. These include:</w:t>
      </w:r>
    </w:p>
    <w:p>
      <w:pPr>
        <w:pStyle w:val="BodyText"/>
      </w:pPr>
      <w:r>
        <w:rPr>
          <w:b/>
          <w:bCs/>
        </w:rPr>
        <w:t xml:space="preserve">Head Motion</w:t>
      </w:r>
      <w:r>
        <w:t xml:space="preserve">: Even small head movements during scanning can introduce spurious signal changes and spatial misalignment between volumes (Power et al., 2012). Motion artifacts have been identified as a major confound in fMRI studies, particularly in populations prone to movement such as children and clinical groups (Satterthwaite et al., 2012).</w:t>
      </w:r>
    </w:p>
    <w:p>
      <w:pPr>
        <w:pStyle w:val="BodyText"/>
      </w:pPr>
      <w:r>
        <w:rPr>
          <w:b/>
          <w:bCs/>
        </w:rPr>
        <w:t xml:space="preserve">Physiological Noise</w:t>
      </w:r>
      <w:r>
        <w:t xml:space="preserve">: Cardiac pulsation and respiratory motion introduce periodic signal fluctuations unrelated to neural activity (Glover et al., 2000). These physiological confounds can account for a substantial portion of BOLD signal variance.</w:t>
      </w:r>
    </w:p>
    <w:p>
      <w:pPr>
        <w:pStyle w:val="BodyText"/>
      </w:pPr>
      <w:r>
        <w:rPr>
          <w:b/>
          <w:bCs/>
        </w:rPr>
        <w:t xml:space="preserve">Scanner Artifacts</w:t>
      </w:r>
      <w:r>
        <w:t xml:space="preserve">: Magnetic field inhomogeneities cause geometric distortions, particularly in regions near air-tissue boundaries such as the orbitofrontal cortex and temporal poles (Jezzard &amp; Balaban, 1995). Additionally, scanner drift over the course of a session can introduce slow signal changes.</w:t>
      </w:r>
    </w:p>
    <w:p>
      <w:pPr>
        <w:pStyle w:val="BodyText"/>
      </w:pPr>
      <w:r>
        <w:rPr>
          <w:b/>
          <w:bCs/>
        </w:rPr>
        <w:t xml:space="preserve">Thermal Noise</w:t>
      </w:r>
      <w:r>
        <w:t xml:space="preserve">: Random fluctuations in the MRI signal arise from thermal noise in the scanner electronics and the tissue being imaged.</w:t>
      </w:r>
    </w:p>
    <w:p>
      <w:pPr>
        <w:pStyle w:val="BodyText"/>
      </w:pPr>
      <w:r>
        <w:t xml:space="preserve">Addressing these artifacts through preprocessing is essential for valid scientific inference from fMRI data.</w:t>
      </w:r>
    </w:p>
    <w:bookmarkEnd w:id="17"/>
    <w:bookmarkStart w:id="18" w:name="the-bids-standard"/>
    <w:p>
      <w:pPr>
        <w:pStyle w:val="Heading3"/>
      </w:pPr>
      <w:r>
        <w:t xml:space="preserve">2.2 The BIDS Standard</w:t>
      </w:r>
    </w:p>
    <w:p>
      <w:pPr>
        <w:pStyle w:val="FirstParagraph"/>
      </w:pPr>
      <w:r>
        <w:t xml:space="preserve">The Brain Imaging Data Structure (BIDS) emerged in response to the neuroimaging field’s lack of standardization in data organization (Gorgolewski et al., 2016). Prior to BIDS, each laboratory typically developed idiosyncratic conventions for naming files and organizing directories, impeding data sharing, reproducibility, and the development of automated analysis tools.</w:t>
      </w:r>
    </w:p>
    <w:p>
      <w:pPr>
        <w:pStyle w:val="BodyText"/>
      </w:pPr>
      <w:r>
        <w:t xml:space="preserve">BIDS specifies a standardized directory structure and file naming convention for neuroimaging data. Key features include:</w:t>
      </w:r>
    </w:p>
    <w:p>
      <w:pPr>
        <w:pStyle w:val="BodyText"/>
      </w:pPr>
      <w:r>
        <w:rPr>
          <w:b/>
          <w:bCs/>
        </w:rPr>
        <w:t xml:space="preserve">Hierarchical Organization</w:t>
      </w:r>
      <w:r>
        <w:t xml:space="preserve">: Data is organized into subject, session, and modality directories, with clear separation between raw data, derived outputs, and metadata.</w:t>
      </w:r>
    </w:p>
    <w:p>
      <w:pPr>
        <w:pStyle w:val="BodyText"/>
      </w:pPr>
      <w:r>
        <w:rPr>
          <w:b/>
          <w:bCs/>
        </w:rPr>
        <w:t xml:space="preserve">Consistent Naming</w:t>
      </w:r>
      <w:r>
        <w:t xml:space="preserve">: Files follow a standardized naming scheme incorporating key-value pairs that encode relevant metadata (e.g.,</w:t>
      </w:r>
      <w:r>
        <w:t xml:space="preserve"> </w:t>
      </w:r>
      <w:r>
        <w:rPr>
          <w:rStyle w:val="VerbatimChar"/>
        </w:rPr>
        <w:t xml:space="preserve">sub-01_ses-01_task-rest_bold.nii.gz</w:t>
      </w:r>
      <w:r>
        <w:t xml:space="preserve">).</w:t>
      </w:r>
    </w:p>
    <w:p>
      <w:pPr>
        <w:pStyle w:val="BodyText"/>
      </w:pPr>
      <w:r>
        <w:rPr>
          <w:b/>
          <w:bCs/>
        </w:rPr>
        <w:t xml:space="preserve">Machine-Readable Metadata</w:t>
      </w:r>
      <w:r>
        <w:t xml:space="preserve">: JSON sidecar files accompany imaging data, providing comprehensive metadata in a standardized, parseable format.</w:t>
      </w:r>
    </w:p>
    <w:p>
      <w:pPr>
        <w:pStyle w:val="BodyText"/>
      </w:pPr>
      <w:r>
        <w:rPr>
          <w:b/>
          <w:bCs/>
        </w:rPr>
        <w:t xml:space="preserve">Validation</w:t>
      </w:r>
      <w:r>
        <w:t xml:space="preserve">: The BIDS Validator tool enables automated checking of dataset compliance, ensuring data quality before analysis.</w:t>
      </w:r>
    </w:p>
    <w:p>
      <w:pPr>
        <w:pStyle w:val="BodyText"/>
      </w:pPr>
      <w:r>
        <w:t xml:space="preserve">Since its introduction, BIDS has achieved widespread adoption in the neuroimaging community, with major data repositories and analysis tools now requiring or strongly encouraging BIDS-formatted data (Gorgolewski et al., 2017). The BIDS-Apps framework has further extended this ecosystem, providing containerized analysis pipelines that operate on BIDS datasets (Gorgolewski et al., 2017).</w:t>
      </w:r>
    </w:p>
    <w:bookmarkEnd w:id="18"/>
    <w:bookmarkStart w:id="19" w:name="fmri-preprocessing-pipelines"/>
    <w:p>
      <w:pPr>
        <w:pStyle w:val="Heading3"/>
      </w:pPr>
      <w:r>
        <w:t xml:space="preserve">2.3 fMRI Preprocessing Pipelines</w:t>
      </w:r>
    </w:p>
    <w:p>
      <w:pPr>
        <w:pStyle w:val="FirstParagraph"/>
      </w:pPr>
      <w:r>
        <w:t xml:space="preserve">The preprocessing of fMRI data has evolved considerably since the technique’s introduction. Early approaches relied on researcher-implemented scripts using general-purpose software tools, leading to substantial variability in methods across studies (Carp, 2012). The recognition that preprocessing choices can significantly impact results (Strother, 2006) motivated the development of standardized pipelines.</w:t>
      </w:r>
    </w:p>
    <w:p>
      <w:pPr>
        <w:pStyle w:val="BodyText"/>
      </w:pPr>
      <w:r>
        <w:t xml:space="preserve">Major software packages for fMRI preprocessing include:</w:t>
      </w:r>
    </w:p>
    <w:p>
      <w:pPr>
        <w:pStyle w:val="BodyText"/>
      </w:pPr>
      <w:r>
        <w:rPr>
          <w:b/>
          <w:bCs/>
        </w:rPr>
        <w:t xml:space="preserve">Statistical Parametric Mapping (SPM)</w:t>
      </w:r>
      <w:r>
        <w:t xml:space="preserve">: Developed at the Wellcome Centre for Human Neuroimaging, SPM provides a MATLAB-based framework for fMRI analysis that has been widely used since the 1990s (Friston et al., 2007).</w:t>
      </w:r>
    </w:p>
    <w:p>
      <w:pPr>
        <w:pStyle w:val="BodyText"/>
      </w:pPr>
      <w:r>
        <w:rPr>
          <w:b/>
          <w:bCs/>
        </w:rPr>
        <w:t xml:space="preserve">FMRIB Software Library (FSL)</w:t>
      </w:r>
      <w:r>
        <w:t xml:space="preserve">: FSL provides a comprehensive set of tools for brain imaging analysis, with particular strengths in registration and motion correction (Jenkinson et al., 2012).</w:t>
      </w:r>
    </w:p>
    <w:p>
      <w:pPr>
        <w:pStyle w:val="BodyText"/>
      </w:pPr>
      <w:r>
        <w:rPr>
          <w:b/>
          <w:bCs/>
        </w:rPr>
        <w:t xml:space="preserve">Analysis of Functional NeuroImages (AFNI)</w:t>
      </w:r>
      <w:r>
        <w:t xml:space="preserve">: AFNI offers extensive preprocessing and analysis capabilities with a focus on statistical analysis of fMRI data (Cox, 1996).</w:t>
      </w:r>
    </w:p>
    <w:p>
      <w:pPr>
        <w:pStyle w:val="BodyText"/>
      </w:pPr>
      <w:r>
        <w:rPr>
          <w:b/>
          <w:bCs/>
        </w:rPr>
        <w:t xml:space="preserve">FreeSurfer</w:t>
      </w:r>
      <w:r>
        <w:t xml:space="preserve">: While primarily focused on structural MRI analysis, FreeSurfer provides essential tools for cortical surface reconstruction and anatomical processing (Fischl, 2012).</w:t>
      </w:r>
    </w:p>
    <w:p>
      <w:pPr>
        <w:pStyle w:val="BodyText"/>
      </w:pPr>
      <w:r>
        <w:t xml:space="preserve">The introduction of fMRIPrep (Esteban et al., 2019) represented a paradigm shift in fMRI preprocessing. Rather than requiring researchers to manually configure and execute individual processing steps, fMRIPrep provides a fully automated pipeline that:</w:t>
      </w:r>
    </w:p>
    <w:p>
      <w:pPr>
        <w:pStyle w:val="Compact"/>
        <w:numPr>
          <w:ilvl w:val="0"/>
          <w:numId w:val="1013"/>
        </w:numPr>
      </w:pPr>
      <w:r>
        <w:t xml:space="preserve">Automatically selects appropriate algorithms based on input data characteristics</w:t>
      </w:r>
    </w:p>
    <w:p>
      <w:pPr>
        <w:pStyle w:val="Compact"/>
        <w:numPr>
          <w:ilvl w:val="0"/>
          <w:numId w:val="1013"/>
        </w:numPr>
      </w:pPr>
      <w:r>
        <w:t xml:space="preserve">Implements best practices from the neuroimaging literature</w:t>
      </w:r>
    </w:p>
    <w:p>
      <w:pPr>
        <w:pStyle w:val="Compact"/>
        <w:numPr>
          <w:ilvl w:val="0"/>
          <w:numId w:val="1013"/>
        </w:numPr>
      </w:pPr>
      <w:r>
        <w:t xml:space="preserve">Produces comprehensive quality control reports</w:t>
      </w:r>
    </w:p>
    <w:p>
      <w:pPr>
        <w:pStyle w:val="Compact"/>
        <w:numPr>
          <w:ilvl w:val="0"/>
          <w:numId w:val="1013"/>
        </w:numPr>
      </w:pPr>
      <w:r>
        <w:t xml:space="preserve">Generates outputs compatible with major analysis packages</w:t>
      </w:r>
    </w:p>
    <w:p>
      <w:pPr>
        <w:pStyle w:val="Compact"/>
        <w:numPr>
          <w:ilvl w:val="0"/>
          <w:numId w:val="1013"/>
        </w:numPr>
      </w:pPr>
      <w:r>
        <w:t xml:space="preserve">Runs in containerized environments (Docker/Singularity) for reproducibility</w:t>
      </w:r>
    </w:p>
    <w:p>
      <w:pPr>
        <w:pStyle w:val="FirstParagraph"/>
      </w:pPr>
      <w:r>
        <w:t xml:space="preserve">fMRIPrep has become the recommended preprocessing approach in many contexts and has been validated extensively against alternative approaches (Esteban et al., 2019).</w:t>
      </w:r>
    </w:p>
    <w:bookmarkEnd w:id="19"/>
    <w:bookmarkStart w:id="20" w:name="existing-tools-and-their-limitations"/>
    <w:p>
      <w:pPr>
        <w:pStyle w:val="Heading3"/>
      </w:pPr>
      <w:r>
        <w:t xml:space="preserve">2.4 Existing Tools and Their Limitations</w:t>
      </w:r>
    </w:p>
    <w:p>
      <w:pPr>
        <w:pStyle w:val="FirstParagraph"/>
      </w:pPr>
      <w:r>
        <w:t xml:space="preserve">While powerful tools exist for both BIDS conversion and fMRI preprocessing, significant gaps remain in their accessibility and integration.</w:t>
      </w:r>
    </w:p>
    <w:p>
      <w:pPr>
        <w:pStyle w:val="BodyText"/>
      </w:pPr>
      <w:r>
        <w:rPr>
          <w:b/>
          <w:bCs/>
        </w:rPr>
        <w:t xml:space="preserve">dcm2bids</w:t>
      </w:r>
      <w:r>
        <w:t xml:space="preserve">: This tool facilitates DICOM to BIDS conversion but requires command-line operation and careful configuration of JSON-based mapping files (Boré et al., 2023). Users must understand both DICOM metadata structures and BIDS naming conventions.</w:t>
      </w:r>
    </w:p>
    <w:p>
      <w:pPr>
        <w:pStyle w:val="BodyText"/>
      </w:pPr>
      <w:r>
        <w:rPr>
          <w:b/>
          <w:bCs/>
        </w:rPr>
        <w:t xml:space="preserve">HeuDiConv</w:t>
      </w:r>
      <w:r>
        <w:t xml:space="preserve">: An alternative conversion tool that offers more flexibility but with correspondingly greater complexity, requiring Python programming knowledge for full utilization (Halchenko et al., 2019).</w:t>
      </w:r>
    </w:p>
    <w:p>
      <w:pPr>
        <w:pStyle w:val="BodyText"/>
      </w:pPr>
      <w:r>
        <w:rPr>
          <w:b/>
          <w:bCs/>
        </w:rPr>
        <w:t xml:space="preserve">fMRIPrep</w:t>
      </w:r>
      <w:r>
        <w:t xml:space="preserve">: Despite its power, fMRIPrep presents several barriers to adoption:</w:t>
      </w:r>
      <w:r>
        <w:t xml:space="preserve"> </w:t>
      </w:r>
      <w:r>
        <w:t xml:space="preserve">- Requires Docker or Singularity installation and operation</w:t>
      </w:r>
      <w:r>
        <w:t xml:space="preserve"> </w:t>
      </w:r>
      <w:r>
        <w:t xml:space="preserve">- Command-line interface demands technical expertise</w:t>
      </w:r>
      <w:r>
        <w:t xml:space="preserve"> </w:t>
      </w:r>
      <w:r>
        <w:t xml:space="preserve">- Resource allocation requires understanding of computational constraints</w:t>
      </w:r>
      <w:r>
        <w:t xml:space="preserve"> </w:t>
      </w:r>
      <w:r>
        <w:t xml:space="preserve">- Error messages can be cryptic for non-technical users</w:t>
      </w:r>
    </w:p>
    <w:p>
      <w:pPr>
        <w:pStyle w:val="BodyText"/>
      </w:pPr>
      <w:r>
        <w:rPr>
          <w:b/>
          <w:bCs/>
        </w:rPr>
        <w:t xml:space="preserve">Existing GUI Solutions</w:t>
      </w:r>
      <w:r>
        <w:t xml:space="preserve">: Some graphical interfaces exist for neuroimaging analysis (e.g., FSL’s FSLeyes, SPM’s interface), but these typically focus on analysis rather than preprocessing and do not integrate BIDS conversion with preprocessing workflows.</w:t>
      </w:r>
    </w:p>
    <w:p>
      <w:pPr>
        <w:pStyle w:val="BodyText"/>
      </w:pPr>
      <w:r>
        <w:t xml:space="preserve">The present thesis addresses these limitations by providing an integrated solution that bridges BIDS conversion and fMRIPrep preprocessing within an accessible graphical interface.</w:t>
      </w:r>
    </w:p>
    <w:bookmarkEnd w:id="20"/>
    <w:bookmarkStart w:id="21" w:name="reproducibility-in-neuroimaging"/>
    <w:p>
      <w:pPr>
        <w:pStyle w:val="Heading3"/>
      </w:pPr>
      <w:r>
        <w:t xml:space="preserve">2.5 Reproducibility in Neuroimaging</w:t>
      </w:r>
    </w:p>
    <w:p>
      <w:pPr>
        <w:pStyle w:val="FirstParagraph"/>
      </w:pPr>
      <w:r>
        <w:t xml:space="preserve">The reproducibility of scientific findings has become a central concern across empirical sciences (Open Science Collaboration, 2015). Neuroimaging research has faced particular scrutiny, with studies suggesting that analysis choices can substantially impact results (Botvinik-Nezer et al., 2020) and that many published findings may not replicate (Poldrack et al., 2017).</w:t>
      </w:r>
    </w:p>
    <w:p>
      <w:pPr>
        <w:pStyle w:val="BodyText"/>
      </w:pPr>
      <w:r>
        <w:t xml:space="preserve">Several factors contribute to reproducibility challenges in neuroimaging:</w:t>
      </w:r>
    </w:p>
    <w:p>
      <w:pPr>
        <w:pStyle w:val="BodyText"/>
      </w:pPr>
      <w:r>
        <w:rPr>
          <w:b/>
          <w:bCs/>
        </w:rPr>
        <w:t xml:space="preserve">Software Variability</w:t>
      </w:r>
      <w:r>
        <w:t xml:space="preserve">: Different software versions can produce different results, even when nominally performing the same operations (Glatard et al., 2015).</w:t>
      </w:r>
    </w:p>
    <w:p>
      <w:pPr>
        <w:pStyle w:val="BodyText"/>
      </w:pPr>
      <w:r>
        <w:rPr>
          <w:b/>
          <w:bCs/>
        </w:rPr>
        <w:t xml:space="preserve">Parameter Sensitivity</w:t>
      </w:r>
      <w:r>
        <w:t xml:space="preserve">: Preprocessing and analysis parameters can significantly influence outcomes, yet are often incompletely reported in publications (Carp, 2012).</w:t>
      </w:r>
    </w:p>
    <w:p>
      <w:pPr>
        <w:pStyle w:val="BodyText"/>
      </w:pPr>
      <w:r>
        <w:rPr>
          <w:b/>
          <w:bCs/>
        </w:rPr>
        <w:t xml:space="preserve">Pipeline Complexity</w:t>
      </w:r>
      <w:r>
        <w:t xml:space="preserve">: The multi-step nature of neuroimaging analysis provides numerous decision points where researcher degrees of freedom can influence results (Simmons et al., 2011).</w:t>
      </w:r>
    </w:p>
    <w:p>
      <w:pPr>
        <w:pStyle w:val="BodyText"/>
      </w:pPr>
      <w:r>
        <w:t xml:space="preserve">Containerization technologies (Docker, Singularity) address software variability by packaging complete computational environments (Kurtzer et al., 2017). The BIDS-Apps framework leverages containerization to provide reproducible analysis pipelines (Gorgolewski et al., 2017). fMRIPrep exemplifies this approach, with each version producing consistent outputs regardless of host system.</w:t>
      </w:r>
    </w:p>
    <w:p>
      <w:pPr>
        <w:pStyle w:val="BodyText"/>
      </w:pPr>
      <w:r>
        <w:t xml:space="preserve">The present work contributes to reproducibility by:</w:t>
      </w:r>
      <w:r>
        <w:t xml:space="preserve"> </w:t>
      </w:r>
      <w:r>
        <w:t xml:space="preserve">- Leveraging containerized fMRIPrep for consistent preprocessing</w:t>
      </w:r>
      <w:r>
        <w:t xml:space="preserve"> </w:t>
      </w:r>
      <w:r>
        <w:t xml:space="preserve">- Generating detailed reports documenting processing parameters</w:t>
      </w:r>
      <w:r>
        <w:t xml:space="preserve"> </w:t>
      </w:r>
      <w:r>
        <w:t xml:space="preserve">- Providing open-source code enabling complete transparency</w:t>
      </w:r>
      <w:r>
        <w:t xml:space="preserve"> </w:t>
      </w:r>
      <w:r>
        <w:t xml:space="preserve">- Supporting BIDS format for standardized data organization</w:t>
      </w:r>
    </w:p>
    <w:p>
      <w:r>
        <w:pict>
          <v:rect style="width:0;height:1.5pt" o:hralign="center" o:hrstd="t" o:hr="t"/>
        </w:pict>
      </w:r>
    </w:p>
    <w:bookmarkEnd w:id="21"/>
    <w:bookmarkEnd w:id="22"/>
    <w:bookmarkStart w:id="28" w:name="methodology"/>
    <w:p>
      <w:pPr>
        <w:pStyle w:val="Heading2"/>
      </w:pPr>
      <w:r>
        <w:t xml:space="preserve">3. Methodology</w:t>
      </w:r>
    </w:p>
    <w:bookmarkStart w:id="23" w:name="system-architecture"/>
    <w:p>
      <w:pPr>
        <w:pStyle w:val="Heading3"/>
      </w:pPr>
      <w:r>
        <w:t xml:space="preserve">3.1 System Architecture</w:t>
      </w:r>
    </w:p>
    <w:p>
      <w:pPr>
        <w:pStyle w:val="FirstParagraph"/>
      </w:pPr>
      <w:r>
        <w:t xml:space="preserve">The developed pipeline follows a modular architecture designed to separate concerns and facilitate maintenance and extension. The system comprises three primary components:</w:t>
      </w:r>
    </w:p>
    <w:p>
      <w:pPr>
        <w:pStyle w:val="SourceCode"/>
      </w:pPr>
      <w:r>
        <w:rPr>
          <w:rStyle w:val="VerbatimChar"/>
        </w:rPr>
        <w:t xml:space="preserve">┌─────────────────────────────────────────────────────────────────────────┐</w:t>
      </w:r>
      <w:r>
        <w:br/>
      </w:r>
      <w:r>
        <w:rPr>
          <w:rStyle w:val="VerbatimChar"/>
        </w:rPr>
        <w:t xml:space="preserve">│                         SYSTEM ARCHITECTURE                             │</w:t>
      </w:r>
      <w:r>
        <w:br/>
      </w:r>
      <w:r>
        <w:rPr>
          <w:rStyle w:val="VerbatimChar"/>
        </w:rPr>
        <w:t xml:space="preserve">│                                                                         │</w:t>
      </w:r>
      <w:r>
        <w:br/>
      </w:r>
      <w:r>
        <w:rPr>
          <w:rStyle w:val="VerbatimChar"/>
        </w:rPr>
        <w:t xml:space="preserve">│  ┌─────────────────┐    ┌─────────────────┐    ┌─────────────────┐     │</w:t>
      </w:r>
      <w:r>
        <w:br/>
      </w:r>
      <w:r>
        <w:rPr>
          <w:rStyle w:val="VerbatimChar"/>
        </w:rPr>
        <w:t xml:space="preserve">│  │  Presentation   │    │    Business     │    │      Data       │     │</w:t>
      </w:r>
      <w:r>
        <w:br/>
      </w:r>
      <w:r>
        <w:rPr>
          <w:rStyle w:val="VerbatimChar"/>
        </w:rPr>
        <w:t xml:space="preserve">│  │     Layer       │◄──►│     Logic       │◄──►│     Layer       │     │</w:t>
      </w:r>
      <w:r>
        <w:br/>
      </w:r>
      <w:r>
        <w:rPr>
          <w:rStyle w:val="VerbatimChar"/>
        </w:rPr>
        <w:t xml:space="preserve">│  │  (GUI - CTk)    │    │  (Pipeline)     │    │  (File I/O)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External Tools        │                          │</w:t>
      </w:r>
      <w:r>
        <w:br/>
      </w:r>
      <w:r>
        <w:rPr>
          <w:rStyle w:val="VerbatimChar"/>
        </w:rPr>
        <w:t xml:space="preserve">│                   │  ┌───────┐ ┌─────────┐  │                          │</w:t>
      </w:r>
      <w:r>
        <w:br/>
      </w:r>
      <w:r>
        <w:rPr>
          <w:rStyle w:val="VerbatimChar"/>
        </w:rPr>
        <w:t xml:space="preserve">│                   │  │dcm2bids│ │fMRIPrep │  │                          │</w:t>
      </w:r>
      <w:r>
        <w:br/>
      </w:r>
      <w:r>
        <w:rPr>
          <w:rStyle w:val="VerbatimChar"/>
        </w:rPr>
        <w:t xml:space="preserve">│                   │  └───────┘ └─────────┘  │                          │</w:t>
      </w:r>
      <w:r>
        <w:br/>
      </w:r>
      <w:r>
        <w:rPr>
          <w:rStyle w:val="VerbatimChar"/>
        </w:rPr>
        <w:t xml:space="preserve">│                   └─────────────────────────┘                          │</w:t>
      </w:r>
      <w:r>
        <w:br/>
      </w:r>
      <w:r>
        <w:rPr>
          <w:rStyle w:val="VerbatimChar"/>
        </w:rPr>
        <w:t xml:space="preserve">│                                                                         │</w:t>
      </w:r>
      <w:r>
        <w:br/>
      </w:r>
      <w:r>
        <w:rPr>
          <w:rStyle w:val="VerbatimChar"/>
        </w:rPr>
        <w:t xml:space="preserve">└─────────────────────────────────────────────────────────────────────────┘</w:t>
      </w:r>
    </w:p>
    <w:p>
      <w:pPr>
        <w:pStyle w:val="FirstParagraph"/>
      </w:pPr>
      <w:r>
        <w:rPr>
          <w:b/>
          <w:bCs/>
        </w:rPr>
        <w:t xml:space="preserve">Presentation Layer</w:t>
      </w:r>
      <w:r>
        <w:t xml:space="preserve">: The graphical user interface, implemented using CustomTkinter, provides the user-facing component of the system. This layer handles user input, displays progress information, and presents results.</w:t>
      </w:r>
    </w:p>
    <w:p>
      <w:pPr>
        <w:pStyle w:val="BodyText"/>
      </w:pPr>
      <w:r>
        <w:rPr>
          <w:b/>
          <w:bCs/>
        </w:rPr>
        <w:t xml:space="preserve">Business Logic Layer</w:t>
      </w:r>
      <w:r>
        <w:t xml:space="preserve">: The core pipeline logic resides in this layer, managing workflow orchestration, subprocess execution, and parallel processing. This layer is implemented in Python and operates independently of the GUI, enabling command-line usage when desired.</w:t>
      </w:r>
    </w:p>
    <w:p>
      <w:pPr>
        <w:pStyle w:val="BodyText"/>
      </w:pPr>
      <w:r>
        <w:rPr>
          <w:b/>
          <w:bCs/>
        </w:rPr>
        <w:t xml:space="preserve">Data Layer</w:t>
      </w:r>
      <w:r>
        <w:t xml:space="preserve">: File system operations, configuration management, and output generation are handled by this layer, which interfaces with both local storage and external tool outputs.</w:t>
      </w:r>
    </w:p>
    <w:p>
      <w:pPr>
        <w:pStyle w:val="BodyText"/>
      </w:pPr>
      <w:r>
        <w:rPr>
          <w:b/>
          <w:bCs/>
        </w:rPr>
        <w:t xml:space="preserve">External Tools</w:t>
      </w:r>
      <w:r>
        <w:t xml:space="preserve">: The pipeline leverages established tools (dcm2bids, dcm2niix, fMRIPrep) rather than reimplementing their functionality, ensuring access to well-validated algorithms and ongoing maintenance by their respective communities.</w:t>
      </w:r>
    </w:p>
    <w:bookmarkEnd w:id="23"/>
    <w:bookmarkStart w:id="24" w:name="bids-conversion-pipeline"/>
    <w:p>
      <w:pPr>
        <w:pStyle w:val="Heading3"/>
      </w:pPr>
      <w:r>
        <w:t xml:space="preserve">3.2 BIDS Conversion Pipeline</w:t>
      </w:r>
    </w:p>
    <w:p>
      <w:pPr>
        <w:pStyle w:val="FirstParagraph"/>
      </w:pPr>
      <w:r>
        <w:t xml:space="preserve">The BIDS conversion component transforms raw DICOM data into BIDS-formatted datasets. This process involves several sub-stages:</w:t>
      </w:r>
    </w:p>
    <w:p>
      <w:pPr>
        <w:pStyle w:val="BodyText"/>
      </w:pPr>
      <w:r>
        <w:rPr>
          <w:b/>
          <w:bCs/>
        </w:rPr>
        <w:t xml:space="preserve">Directory Discovery</w:t>
      </w:r>
      <w:r>
        <w:t xml:space="preserve">: The pipeline recursively scans input directories to identify subject and session folders. Pattern matching algorithms recognize common naming conventions:</w:t>
      </w:r>
    </w:p>
    <w:p>
      <w:pPr>
        <w:pStyle w:val="SourceCode"/>
      </w:pPr>
      <w:r>
        <w:rPr>
          <w:rStyle w:val="CommentTok"/>
        </w:rPr>
        <w:t xml:space="preserve"># Recognized patterns for session identification</w:t>
      </w:r>
      <w:r>
        <w:br/>
      </w:r>
      <w:r>
        <w:rPr>
          <w:rStyle w:val="NormalTok"/>
        </w:rPr>
        <w:t xml:space="preserve">patterns </w:t>
      </w:r>
      <w:r>
        <w:rPr>
          <w:rStyle w:val="OperatorTok"/>
        </w:rPr>
        <w:t xml:space="preserve">=</w:t>
      </w:r>
      <w:r>
        <w:rPr>
          <w:rStyle w:val="NormalTok"/>
        </w:rPr>
        <w:t xml:space="preserve"> [</w:t>
      </w:r>
      <w:r>
        <w:br/>
      </w:r>
      <w:r>
        <w:rPr>
          <w:rStyle w:val="NormalTok"/>
        </w:rPr>
        <w:t xml:space="preserve">    </w:t>
      </w:r>
      <w:r>
        <w:rPr>
          <w:rStyle w:val="VerbatimStringTok"/>
        </w:rPr>
        <w:t xml:space="preserve">r'</w:t>
      </w:r>
      <w:r>
        <w:rPr>
          <w:rStyle w:val="DecValTok"/>
        </w:rPr>
        <w:t xml:space="preserve">^</w:t>
      </w:r>
      <w:r>
        <w:rPr>
          <w:rStyle w:val="VerbatimStringTok"/>
        </w:rPr>
        <w:t xml:space="preserve">ses-</w:t>
      </w:r>
      <w:r>
        <w:rPr>
          <w:rStyle w:val="DecValTok"/>
        </w:rPr>
        <w:t xml:space="preserve">\d</w:t>
      </w:r>
      <w:r>
        <w:rPr>
          <w:rStyle w:val="OperatorTok"/>
        </w:rPr>
        <w:t xml:space="preserve">+</w:t>
      </w:r>
      <w:r>
        <w:rPr>
          <w:rStyle w:val="DecValTok"/>
        </w:rPr>
        <w:t xml:space="preserve">$</w:t>
      </w:r>
      <w:r>
        <w:rPr>
          <w:rStyle w:val="VerbatimStringTok"/>
        </w:rPr>
        <w:t xml:space="preserve">'</w:t>
      </w:r>
      <w:r>
        <w:rPr>
          <w:rStyle w:val="NormalTok"/>
        </w:rPr>
        <w:t xml:space="preserve">,           </w:t>
      </w:r>
      <w:r>
        <w:rPr>
          <w:rStyle w:val="CommentTok"/>
        </w:rPr>
        <w:t xml:space="preserve"># BIDS format: ses-01</w:t>
      </w:r>
      <w:r>
        <w:br/>
      </w:r>
      <w:r>
        <w:rPr>
          <w:rStyle w:val="NormalTok"/>
        </w:rPr>
        <w:t xml:space="preserve">    </w:t>
      </w:r>
      <w:r>
        <w:rPr>
          <w:rStyle w:val="VerbatimStringTok"/>
        </w:rPr>
        <w:t xml:space="preserve">r'</w:t>
      </w:r>
      <w:r>
        <w:rPr>
          <w:rStyle w:val="DecValTok"/>
        </w:rPr>
        <w:t xml:space="preserve">^</w:t>
      </w:r>
      <w:r>
        <w:rPr>
          <w:rStyle w:val="VerbatimStringTok"/>
        </w:rPr>
        <w:t xml:space="preserve">mri</w:t>
      </w:r>
      <w:r>
        <w:rPr>
          <w:rStyle w:val="KeywordTok"/>
        </w:rPr>
        <w:t xml:space="preserve">(</w:t>
      </w:r>
      <w:r>
        <w:rPr>
          <w:rStyle w:val="DecValTok"/>
        </w:rPr>
        <w:t xml:space="preserve">\d</w:t>
      </w:r>
      <w:r>
        <w:rPr>
          <w:rStyle w:val="OperatorTok"/>
        </w:rPr>
        <w:t xml:space="preserve">+</w:t>
      </w:r>
      <w:r>
        <w:rPr>
          <w:rStyle w:val="KeywordTok"/>
        </w:rPr>
        <w:t xml:space="preserve">)</w:t>
      </w:r>
      <w:r>
        <w:rPr>
          <w:rStyle w:val="DecValTok"/>
        </w:rPr>
        <w:t xml:space="preserve">$</w:t>
      </w:r>
      <w:r>
        <w:rPr>
          <w:rStyle w:val="VerbatimStringTok"/>
        </w:rPr>
        <w:t xml:space="preserve">'</w:t>
      </w:r>
      <w:r>
        <w:rPr>
          <w:rStyle w:val="NormalTok"/>
        </w:rPr>
        <w:t xml:space="preserve">,          </w:t>
      </w:r>
      <w:r>
        <w:rPr>
          <w:rStyle w:val="CommentTok"/>
        </w:rPr>
        <w:t xml:space="preserve"># Common: MRI1, MRI2</w:t>
      </w:r>
      <w:r>
        <w:br/>
      </w:r>
      <w:r>
        <w:rPr>
          <w:rStyle w:val="NormalTok"/>
        </w:rPr>
        <w:t xml:space="preserve">    </w:t>
      </w:r>
      <w:r>
        <w:rPr>
          <w:rStyle w:val="VerbatimStringTok"/>
        </w:rPr>
        <w:t xml:space="preserve">r'</w:t>
      </w:r>
      <w:r>
        <w:rPr>
          <w:rStyle w:val="DecValTok"/>
        </w:rPr>
        <w:t xml:space="preserve">^</w:t>
      </w:r>
      <w:r>
        <w:rPr>
          <w:rStyle w:val="VerbatimStringTok"/>
        </w:rPr>
        <w:t xml:space="preserve">session</w:t>
      </w:r>
      <w:r>
        <w:rPr>
          <w:rStyle w:val="PreprocessorTok"/>
        </w:rPr>
        <w:t xml:space="preserve">[_-]</w:t>
      </w:r>
      <w:r>
        <w:rPr>
          <w:rStyle w:val="OperatorTok"/>
        </w:rPr>
        <w:t xml:space="preserve">?</w:t>
      </w:r>
      <w:r>
        <w:rPr>
          <w:rStyle w:val="KeywordTok"/>
        </w:rPr>
        <w:t xml:space="preserve">(</w:t>
      </w:r>
      <w:r>
        <w:rPr>
          <w:rStyle w:val="DecValTok"/>
        </w:rPr>
        <w:t xml:space="preserve">\d</w:t>
      </w:r>
      <w:r>
        <w:rPr>
          <w:rStyle w:val="OperatorTok"/>
        </w:rPr>
        <w:t xml:space="preserve">+</w:t>
      </w:r>
      <w:r>
        <w:rPr>
          <w:rStyle w:val="KeywordTok"/>
        </w:rPr>
        <w:t xml:space="preserve">)</w:t>
      </w:r>
      <w:r>
        <w:rPr>
          <w:rStyle w:val="DecValTok"/>
        </w:rPr>
        <w:t xml:space="preserve">$</w:t>
      </w:r>
      <w:r>
        <w:rPr>
          <w:rStyle w:val="VerbatimStringTok"/>
        </w:rPr>
        <w:t xml:space="preserve">'</w:t>
      </w:r>
      <w:r>
        <w:rPr>
          <w:rStyle w:val="NormalTok"/>
        </w:rPr>
        <w:t xml:space="preserve">, </w:t>
      </w:r>
      <w:r>
        <w:rPr>
          <w:rStyle w:val="CommentTok"/>
        </w:rPr>
        <w:t xml:space="preserve"># Variant: session1, session_1</w:t>
      </w:r>
      <w:r>
        <w:br/>
      </w:r>
      <w:r>
        <w:rPr>
          <w:rStyle w:val="NormalTok"/>
        </w:rPr>
        <w:t xml:space="preserve">    </w:t>
      </w:r>
      <w:r>
        <w:rPr>
          <w:rStyle w:val="VerbatimStringTok"/>
        </w:rPr>
        <w:t xml:space="preserve">r'</w:t>
      </w:r>
      <w:r>
        <w:rPr>
          <w:rStyle w:val="DecValTok"/>
        </w:rPr>
        <w:t xml:space="preserve">^</w:t>
      </w:r>
      <w:r>
        <w:rPr>
          <w:rStyle w:val="NormalTok"/>
        </w:rPr>
        <w:t xml:space="preserve">(?:</w:t>
      </w:r>
      <w:r>
        <w:rPr>
          <w:rStyle w:val="VerbatimStringTok"/>
        </w:rPr>
        <w:t xml:space="preserve">timepoint</w:t>
      </w:r>
      <w:r>
        <w:rPr>
          <w:rStyle w:val="ControlFlowTok"/>
        </w:rPr>
        <w:t xml:space="preserve">|</w:t>
      </w:r>
      <w:r>
        <w:rPr>
          <w:rStyle w:val="VerbatimStringTok"/>
        </w:rPr>
        <w:t xml:space="preserve">tp</w:t>
      </w:r>
      <w:r>
        <w:rPr>
          <w:rStyle w:val="NormalTok"/>
        </w:rPr>
        <w:t xml:space="preserve">)</w:t>
      </w:r>
      <w:r>
        <w:rPr>
          <w:rStyle w:val="PreprocessorTok"/>
        </w:rPr>
        <w:t xml:space="preserve">[_-]</w:t>
      </w:r>
      <w:r>
        <w:rPr>
          <w:rStyle w:val="OperatorTok"/>
        </w:rPr>
        <w:t xml:space="preserve">?</w:t>
      </w:r>
      <w:r>
        <w:rPr>
          <w:rStyle w:val="KeywordTok"/>
        </w:rPr>
        <w:t xml:space="preserve">(</w:t>
      </w:r>
      <w:r>
        <w:rPr>
          <w:rStyle w:val="DecValTok"/>
        </w:rPr>
        <w:t xml:space="preserve">\d</w:t>
      </w:r>
      <w:r>
        <w:rPr>
          <w:rStyle w:val="OperatorTok"/>
        </w:rPr>
        <w:t xml:space="preserve">+</w:t>
      </w:r>
      <w:r>
        <w:rPr>
          <w:rStyle w:val="KeywordTok"/>
        </w:rPr>
        <w:t xml:space="preserve">)</w:t>
      </w:r>
      <w:r>
        <w:rPr>
          <w:rStyle w:val="DecValTok"/>
        </w:rPr>
        <w:t xml:space="preserve">$</w:t>
      </w:r>
      <w:r>
        <w:rPr>
          <w:rStyle w:val="VerbatimStringTok"/>
        </w:rPr>
        <w:t xml:space="preserve">'</w:t>
      </w:r>
      <w:r>
        <w:rPr>
          <w:rStyle w:val="NormalTok"/>
        </w:rPr>
        <w:t xml:space="preserve">,  </w:t>
      </w:r>
      <w:r>
        <w:rPr>
          <w:rStyle w:val="CommentTok"/>
        </w:rPr>
        <w:t xml:space="preserve"># Timepoint notation</w:t>
      </w:r>
      <w:r>
        <w:br/>
      </w:r>
      <w:r>
        <w:rPr>
          <w:rStyle w:val="NormalTok"/>
        </w:rPr>
        <w:t xml:space="preserve">]</w:t>
      </w:r>
    </w:p>
    <w:p>
      <w:pPr>
        <w:pStyle w:val="FirstParagraph"/>
      </w:pPr>
      <w:r>
        <w:rPr>
          <w:b/>
          <w:bCs/>
        </w:rPr>
        <w:t xml:space="preserve">DICOM Metadata Extraction</w:t>
      </w:r>
      <w:r>
        <w:t xml:space="preserve">: For each identified session, the pipeline extracts DICOM header information to determine scan types. This metadata is matched against user-configurable rules specifying how to classify scans.</w:t>
      </w:r>
    </w:p>
    <w:p>
      <w:pPr>
        <w:pStyle w:val="BodyText"/>
      </w:pPr>
      <w:r>
        <w:rPr>
          <w:b/>
          <w:bCs/>
        </w:rPr>
        <w:t xml:space="preserve">Format Conversion</w:t>
      </w:r>
      <w:r>
        <w:t xml:space="preserve">: The dcm2niix tool (Li et al., 2016) performs the actual DICOM to NIfTI conversion. This tool handles:</w:t>
      </w:r>
      <w:r>
        <w:t xml:space="preserve"> </w:t>
      </w:r>
      <w:r>
        <w:t xml:space="preserve">- Slice mosaic unpacking for Siemens data</w:t>
      </w:r>
      <w:r>
        <w:t xml:space="preserve"> </w:t>
      </w:r>
      <w:r>
        <w:t xml:space="preserve">- Phase encoding direction determination</w:t>
      </w:r>
      <w:r>
        <w:t xml:space="preserve"> </w:t>
      </w:r>
      <w:r>
        <w:t xml:space="preserve">- BIDS sidecar JSON generation</w:t>
      </w:r>
      <w:r>
        <w:t xml:space="preserve"> </w:t>
      </w:r>
      <w:r>
        <w:t xml:space="preserve">- Compressed NIfTI output</w:t>
      </w:r>
    </w:p>
    <w:p>
      <w:pPr>
        <w:pStyle w:val="BodyText"/>
      </w:pPr>
      <w:r>
        <w:rPr>
          <w:b/>
          <w:bCs/>
        </w:rPr>
        <w:t xml:space="preserve">BIDS Organization</w:t>
      </w:r>
      <w:r>
        <w:t xml:space="preserve">: Converted files are renamed and organized according to BIDS conventions. The dcm2bids tool manages this process based on configuration rules.</w:t>
      </w:r>
    </w:p>
    <w:p>
      <w:pPr>
        <w:pStyle w:val="BodyText"/>
      </w:pPr>
      <w:r>
        <w:rPr>
          <w:b/>
          <w:bCs/>
        </w:rPr>
        <w:t xml:space="preserve">Validation</w:t>
      </w:r>
      <w:r>
        <w:t xml:space="preserve">: Output datasets are checked for basic BIDS compliance, ensuring required files (dataset_description.json) are present and naming conventions are followed.</w:t>
      </w:r>
    </w:p>
    <w:bookmarkEnd w:id="24"/>
    <w:bookmarkStart w:id="25" w:name="fmriprep-integration"/>
    <w:p>
      <w:pPr>
        <w:pStyle w:val="Heading3"/>
      </w:pPr>
      <w:r>
        <w:t xml:space="preserve">3.3 fMRIPrep Integration</w:t>
      </w:r>
    </w:p>
    <w:p>
      <w:pPr>
        <w:pStyle w:val="FirstParagraph"/>
      </w:pPr>
      <w:r>
        <w:t xml:space="preserve">Integration with fMRIPrep required addressing several technical challenges:</w:t>
      </w:r>
    </w:p>
    <w:p>
      <w:pPr>
        <w:pStyle w:val="BodyText"/>
      </w:pPr>
      <w:r>
        <w:rPr>
          <w:b/>
          <w:bCs/>
        </w:rPr>
        <w:t xml:space="preserve">Container Management</w:t>
      </w:r>
      <w:r>
        <w:t xml:space="preserve">: fMRIPrep runs within Docker containers to ensure reproducibility. The pipeline manages container lifecycle, including:</w:t>
      </w:r>
      <w:r>
        <w:t xml:space="preserve"> </w:t>
      </w:r>
      <w:r>
        <w:t xml:space="preserve">- Checking Docker daemon availability</w:t>
      </w:r>
      <w:r>
        <w:t xml:space="preserve"> </w:t>
      </w:r>
      <w:r>
        <w:t xml:space="preserve">- Mounting appropriate volumes for data access</w:t>
      </w:r>
      <w:r>
        <w:t xml:space="preserve"> </w:t>
      </w:r>
      <w:r>
        <w:t xml:space="preserve">- Managing container resource allocation</w:t>
      </w:r>
      <w:r>
        <w:t xml:space="preserve"> </w:t>
      </w:r>
      <w:r>
        <w:t xml:space="preserve">- Capturing and presenting container output</w:t>
      </w:r>
    </w:p>
    <w:p>
      <w:pPr>
        <w:pStyle w:val="BodyText"/>
      </w:pPr>
      <w:r>
        <w:rPr>
          <w:b/>
          <w:bCs/>
        </w:rPr>
        <w:t xml:space="preserve">Path Translation</w:t>
      </w:r>
      <w:r>
        <w:t xml:space="preserve">: Docker containers have isolated file systems. On Windows, host paths must be translated to Docker-compatible formats:</w:t>
      </w:r>
    </w:p>
    <w:p>
      <w:pPr>
        <w:pStyle w:val="SourceCode"/>
      </w:pPr>
      <w:r>
        <w:rPr>
          <w:rStyle w:val="KeywordTok"/>
        </w:rPr>
        <w:t xml:space="preserve">def</w:t>
      </w:r>
      <w:r>
        <w:rPr>
          <w:rStyle w:val="NormalTok"/>
        </w:rPr>
        <w:t xml:space="preserve"> convert_path_for_docker(path):</w:t>
      </w:r>
      <w:r>
        <w:br/>
      </w:r>
      <w:r>
        <w:rPr>
          <w:rStyle w:val="NormalTok"/>
        </w:rPr>
        <w:t xml:space="preserve">    </w:t>
      </w:r>
      <w:r>
        <w:rPr>
          <w:rStyle w:val="ControlFlowTok"/>
        </w:rPr>
        <w:t xml:space="preserve">if</w:t>
      </w:r>
      <w:r>
        <w:rPr>
          <w:rStyle w:val="NormalTok"/>
        </w:rPr>
        <w:t xml:space="preserve"> platform.system() </w:t>
      </w:r>
      <w:r>
        <w:rPr>
          <w:rStyle w:val="OperatorTok"/>
        </w:rPr>
        <w:t xml:space="preserve">==</w:t>
      </w:r>
      <w:r>
        <w:rPr>
          <w:rStyle w:val="NormalTok"/>
        </w:rPr>
        <w:t xml:space="preserve"> </w:t>
      </w:r>
      <w:r>
        <w:rPr>
          <w:rStyle w:val="StringTok"/>
        </w:rPr>
        <w:t xml:space="preserve">"Windows"</w:t>
      </w:r>
      <w:r>
        <w:rPr>
          <w:rStyle w:val="NormalTok"/>
        </w:rPr>
        <w:t xml:space="preserve">:</w:t>
      </w:r>
      <w:r>
        <w:br/>
      </w:r>
      <w:r>
        <w:rPr>
          <w:rStyle w:val="NormalTok"/>
        </w:rPr>
        <w:t xml:space="preserve">        </w:t>
      </w:r>
      <w:r>
        <w:rPr>
          <w:rStyle w:val="CommentTok"/>
        </w:rPr>
        <w:t xml:space="preserve"># Convert C:\path\to\file to /c/path/to/file</w:t>
      </w:r>
      <w:r>
        <w:br/>
      </w:r>
      <w:r>
        <w:rPr>
          <w:rStyle w:val="NormalTok"/>
        </w:rPr>
        <w:t xml:space="preserve">        path </w:t>
      </w:r>
      <w:r>
        <w:rPr>
          <w:rStyle w:val="OperatorTok"/>
        </w:rPr>
        <w:t xml:space="preserve">=</w:t>
      </w:r>
      <w:r>
        <w:rPr>
          <w:rStyle w:val="NormalTok"/>
        </w:rPr>
        <w:t xml:space="preserve"> Path(path).resolve()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(path).replace(</w:t>
      </w:r>
      <w:r>
        <w:rPr>
          <w:rStyle w:val="StringTok"/>
        </w:rPr>
        <w:t xml:space="preserve">':'</w:t>
      </w:r>
      <w:r>
        <w:rPr>
          <w:rStyle w:val="NormalTok"/>
        </w:rPr>
        <w:t xml:space="preserve">, </w:t>
      </w:r>
      <w:r>
        <w:rPr>
          <w:rStyle w:val="StringTok"/>
        </w:rPr>
        <w:t xml:space="preserve">''</w:t>
      </w:r>
      <w:r>
        <w:rPr>
          <w:rStyle w:val="NormalTok"/>
        </w:rPr>
        <w:t xml:space="preserve">).replace(</w:t>
      </w:r>
      <w:r>
        <w:rPr>
          <w:rStyle w:val="StringTok"/>
        </w:rPr>
        <w:t xml:space="preserve">'</w:t>
      </w:r>
      <w:r>
        <w:rPr>
          <w:rStyle w:val="CharTok"/>
        </w:rPr>
        <w:t xml:space="preserve">\\</w:t>
      </w:r>
      <w:r>
        <w:rPr>
          <w:rStyle w:val="StringTok"/>
        </w:rPr>
        <w:t xml:space="preserve">'</w:t>
      </w:r>
      <w:r>
        <w:rPr>
          <w:rStyle w:val="NormalTok"/>
        </w:rPr>
        <w:t xml:space="preserve">, </w:t>
      </w:r>
      <w:r>
        <w:rPr>
          <w:rStyle w:val="StringTok"/>
        </w:rPr>
        <w:t xml:space="preserve">'/'</w:t>
      </w:r>
      <w:r>
        <w:rPr>
          <w:rStyle w:val="NormalTok"/>
        </w:rPr>
        <w:t xml:space="preserve">).lower()</w:t>
      </w:r>
      <w:r>
        <w:br/>
      </w:r>
      <w:r>
        <w:rPr>
          <w:rStyle w:val="NormalTok"/>
        </w:rPr>
        <w:t xml:space="preserve">    </w:t>
      </w:r>
      <w:r>
        <w:rPr>
          <w:rStyle w:val="ControlFlowTok"/>
        </w:rPr>
        <w:t xml:space="preserve">return</w:t>
      </w:r>
      <w:r>
        <w:rPr>
          <w:rStyle w:val="NormalTok"/>
        </w:rPr>
        <w:t xml:space="preserve"> </w:t>
      </w:r>
      <w:r>
        <w:rPr>
          <w:rStyle w:val="BuiltInTok"/>
        </w:rPr>
        <w:t xml:space="preserve">str</w:t>
      </w:r>
      <w:r>
        <w:rPr>
          <w:rStyle w:val="NormalTok"/>
        </w:rPr>
        <w:t xml:space="preserve">(Path(path).resolve())</w:t>
      </w:r>
    </w:p>
    <w:p>
      <w:pPr>
        <w:pStyle w:val="FirstParagraph"/>
      </w:pPr>
      <w:r>
        <w:rPr>
          <w:b/>
          <w:bCs/>
        </w:rPr>
        <w:t xml:space="preserve">Resource Allocation</w:t>
      </w:r>
      <w:r>
        <w:t xml:space="preserve">: The pipeline configures fMRIPrep resource usage based on system capabilities:</w:t>
      </w:r>
    </w:p>
    <w:p>
      <w:pPr>
        <w:pStyle w:val="SourceCode"/>
      </w:pPr>
      <w:r>
        <w:rPr>
          <w:rStyle w:val="CommentTok"/>
        </w:rPr>
        <w:t xml:space="preserve"># Determine optimal parallel workers</w:t>
      </w:r>
      <w:r>
        <w:br/>
      </w:r>
      <w:r>
        <w:rPr>
          <w:rStyle w:val="NormalTok"/>
        </w:rPr>
        <w:t xml:space="preserve">cpu_count </w:t>
      </w:r>
      <w:r>
        <w:rPr>
          <w:rStyle w:val="OperatorTok"/>
        </w:rPr>
        <w:t xml:space="preserve">=</w:t>
      </w:r>
      <w:r>
        <w:rPr>
          <w:rStyle w:val="NormalTok"/>
        </w:rPr>
        <w:t xml:space="preserve"> multiprocessing.cpu_count()</w:t>
      </w:r>
      <w:r>
        <w:br/>
      </w:r>
      <w:r>
        <w:rPr>
          <w:rStyle w:val="NormalTok"/>
        </w:rPr>
        <w:t xml:space="preserve">default_workers </w:t>
      </w:r>
      <w:r>
        <w:rPr>
          <w:rStyle w:val="OperatorTok"/>
        </w:rPr>
        <w:t xml:space="preserve">=</w:t>
      </w:r>
      <w:r>
        <w:rPr>
          <w:rStyle w:val="NormalTok"/>
        </w:rPr>
        <w:t xml:space="preserve"> </w:t>
      </w:r>
      <w:r>
        <w:rPr>
          <w:rStyle w:val="BuiltInTok"/>
        </w:rPr>
        <w:t xml:space="preserve">min</w:t>
      </w:r>
      <w:r>
        <w:rPr>
          <w:rStyle w:val="NormalTok"/>
        </w:rPr>
        <w:t xml:space="preserve">(</w:t>
      </w:r>
      <w:r>
        <w:rPr>
          <w:rStyle w:val="BuiltInTok"/>
        </w:rPr>
        <w:t xml:space="preserve">max</w:t>
      </w:r>
      <w:r>
        <w:rPr>
          <w:rStyle w:val="NormalTok"/>
        </w:rPr>
        <w:t xml:space="preserve">(cpu_count, </w:t>
      </w:r>
      <w:r>
        <w:rPr>
          <w:rStyle w:val="DecValTok"/>
        </w:rPr>
        <w:t xml:space="preserve">4</w:t>
      </w:r>
      <w:r>
        <w:rPr>
          <w:rStyle w:val="NormalTok"/>
        </w:rPr>
        <w:t xml:space="preserve">), </w:t>
      </w:r>
      <w:r>
        <w:rPr>
          <w:rStyle w:val="DecValTok"/>
        </w:rPr>
        <w:t xml:space="preserve">12</w:t>
      </w:r>
      <w:r>
        <w:rPr>
          <w:rStyle w:val="NormalTok"/>
        </w:rPr>
        <w:t xml:space="preserve">)</w:t>
      </w:r>
    </w:p>
    <w:p>
      <w:pPr>
        <w:pStyle w:val="FirstParagraph"/>
      </w:pPr>
      <w:r>
        <w:rPr>
          <w:b/>
          <w:bCs/>
        </w:rPr>
        <w:t xml:space="preserve">License Management</w:t>
      </w:r>
      <w:r>
        <w:t xml:space="preserve">: fMRIPrep requires a FreeSurfer license. The pipeline searches for license files in standard locations and provides clear error messages if not found.</w:t>
      </w:r>
    </w:p>
    <w:bookmarkEnd w:id="25"/>
    <w:bookmarkStart w:id="26" w:name="graphical-user-interface-design"/>
    <w:p>
      <w:pPr>
        <w:pStyle w:val="Heading3"/>
      </w:pPr>
      <w:r>
        <w:t xml:space="preserve">3.4 Graphical User Interface Design</w:t>
      </w:r>
    </w:p>
    <w:p>
      <w:pPr>
        <w:pStyle w:val="FirstParagraph"/>
      </w:pPr>
      <w:r>
        <w:t xml:space="preserve">The GUI was designed following principles of simplicity and progressive disclosure:</w:t>
      </w:r>
    </w:p>
    <w:p>
      <w:pPr>
        <w:pStyle w:val="BodyText"/>
      </w:pPr>
      <w:r>
        <w:rPr>
          <w:b/>
          <w:bCs/>
        </w:rPr>
        <w:t xml:space="preserve">Simplicity</w:t>
      </w:r>
      <w:r>
        <w:t xml:space="preserve">: The main interface presents only essential options—input folder, output folder, and conversion mode. Advanced options are available but not prominent.</w:t>
      </w:r>
    </w:p>
    <w:p>
      <w:pPr>
        <w:pStyle w:val="BodyText"/>
      </w:pPr>
      <w:r>
        <w:rPr>
          <w:b/>
          <w:bCs/>
        </w:rPr>
        <w:t xml:space="preserve">Progressive Disclosure</w:t>
      </w:r>
      <w:r>
        <w:t xml:space="preserve">: Status information becomes visible only when relevant (progress bar during execution, reports after completion).</w:t>
      </w:r>
    </w:p>
    <w:p>
      <w:pPr>
        <w:pStyle w:val="BodyText"/>
      </w:pPr>
      <w:r>
        <w:rPr>
          <w:b/>
          <w:bCs/>
        </w:rPr>
        <w:t xml:space="preserve">Feedback</w:t>
      </w:r>
      <w:r>
        <w:t xml:space="preserve">: Real-time progress updates keep users informed of pipeline status without overwhelming with technical details.</w:t>
      </w:r>
    </w:p>
    <w:p>
      <w:pPr>
        <w:pStyle w:val="BodyText"/>
      </w:pPr>
      <w:r>
        <w:rPr>
          <w:b/>
          <w:bCs/>
        </w:rPr>
        <w:t xml:space="preserve">Error Handling</w:t>
      </w:r>
      <w:r>
        <w:t xml:space="preserve">: Errors are presented in human-readable language, with technical details available in logs for troubleshooting.</w:t>
      </w:r>
    </w:p>
    <w:p>
      <w:pPr>
        <w:pStyle w:val="BodyText"/>
      </w:pPr>
      <w:r>
        <w:t xml:space="preserve">The interface was implemented using CustomTkinter, a modern Python GUI library that provides native-looking widgets across platforms (Schmitz, 2023).</w:t>
      </w:r>
    </w:p>
    <w:bookmarkEnd w:id="26"/>
    <w:bookmarkStart w:id="27" w:name="parallel-processing-implementation"/>
    <w:p>
      <w:pPr>
        <w:pStyle w:val="Heading3"/>
      </w:pPr>
      <w:r>
        <w:t xml:space="preserve">3.5 Parallel Processing Implementation</w:t>
      </w:r>
    </w:p>
    <w:p>
      <w:pPr>
        <w:pStyle w:val="FirstParagraph"/>
      </w:pPr>
      <w:r>
        <w:t xml:space="preserve">To maximize throughput for large datasets, the pipeline implements parallel processing at the subject/session level:</w:t>
      </w:r>
    </w:p>
    <w:p>
      <w:pPr>
        <w:pStyle w:val="BodyText"/>
      </w:pPr>
      <w:r>
        <w:rPr>
          <w:b/>
          <w:bCs/>
        </w:rPr>
        <w:t xml:space="preserve">Thread Pool Execution</w:t>
      </w:r>
      <w:r>
        <w:t xml:space="preserve">: Python’s</w:t>
      </w:r>
      <w:r>
        <w:t xml:space="preserve"> </w:t>
      </w:r>
      <w:r>
        <w:rPr>
          <w:rStyle w:val="VerbatimChar"/>
        </w:rPr>
        <w:t xml:space="preserve">ThreadPoolExecutor</w:t>
      </w:r>
      <w:r>
        <w:t xml:space="preserve"> </w:t>
      </w:r>
      <w:r>
        <w:t xml:space="preserve">manages concurrent task execution:</w:t>
      </w:r>
    </w:p>
    <w:p>
      <w:pPr>
        <w:pStyle w:val="SourceCode"/>
      </w:pPr>
      <w:r>
        <w:rPr>
          <w:rStyle w:val="ControlFlowTok"/>
        </w:rPr>
        <w:t xml:space="preserve">with</w:t>
      </w:r>
      <w:r>
        <w:rPr>
          <w:rStyle w:val="NormalTok"/>
        </w:rPr>
        <w:t xml:space="preserve"> ThreadPoolExecutor(max_workers</w:t>
      </w:r>
      <w:r>
        <w:rPr>
          <w:rStyle w:val="OperatorTok"/>
        </w:rPr>
        <w:t xml:space="preserve">=</w:t>
      </w:r>
      <w:r>
        <w:rPr>
          <w:rStyle w:val="NormalTok"/>
        </w:rPr>
        <w:t xml:space="preserve">num_workers) </w:t>
      </w:r>
      <w:r>
        <w:rPr>
          <w:rStyle w:val="ImportTok"/>
        </w:rPr>
        <w:t xml:space="preserve">as</w:t>
      </w:r>
      <w:r>
        <w:rPr>
          <w:rStyle w:val="NormalTok"/>
        </w:rPr>
        <w:t xml:space="preserve"> executor:</w:t>
      </w:r>
      <w:r>
        <w:br/>
      </w:r>
      <w:r>
        <w:rPr>
          <w:rStyle w:val="NormalTok"/>
        </w:rPr>
        <w:t xml:space="preserve">    futures </w:t>
      </w:r>
      <w:r>
        <w:rPr>
          <w:rStyle w:val="OperatorTok"/>
        </w:rPr>
        <w:t xml:space="preserve">=</w:t>
      </w:r>
      <w:r>
        <w:rPr>
          <w:rStyle w:val="NormalTok"/>
        </w:rPr>
        <w:t xml:space="preserve"> {</w:t>
      </w:r>
      <w:r>
        <w:br/>
      </w:r>
      <w:r>
        <w:rPr>
          <w:rStyle w:val="NormalTok"/>
        </w:rPr>
        <w:t xml:space="preserve">        executor.submit(process_single_task, task, ...): task</w:t>
      </w:r>
      <w:r>
        <w:br/>
      </w:r>
      <w:r>
        <w:rPr>
          <w:rStyle w:val="NormalTok"/>
        </w:rPr>
        <w:t xml:space="preserve">        </w:t>
      </w:r>
      <w:r>
        <w:rPr>
          <w:rStyle w:val="ControlFlowTok"/>
        </w:rPr>
        <w:t xml:space="preserve">for</w:t>
      </w:r>
      <w:r>
        <w:rPr>
          <w:rStyle w:val="NormalTok"/>
        </w:rPr>
        <w:t xml:space="preserve"> task </w:t>
      </w:r>
      <w:r>
        <w:rPr>
          <w:rStyle w:val="KeywordTok"/>
        </w:rPr>
        <w:t xml:space="preserve">in</w:t>
      </w:r>
      <w:r>
        <w:rPr>
          <w:rStyle w:val="NormalTok"/>
        </w:rPr>
        <w:t xml:space="preserve"> all_tasks</w:t>
      </w:r>
      <w:r>
        <w:br/>
      </w:r>
      <w:r>
        <w:rPr>
          <w:rStyle w:val="NormalTok"/>
        </w:rPr>
        <w:t xml:space="preserve">    }</w:t>
      </w:r>
      <w:r>
        <w:br/>
      </w:r>
      <w:r>
        <w:rPr>
          <w:rStyle w:val="NormalTok"/>
        </w:rPr>
        <w:t xml:space="preserve">    </w:t>
      </w:r>
      <w:r>
        <w:rPr>
          <w:rStyle w:val="ControlFlowTok"/>
        </w:rPr>
        <w:t xml:space="preserve">for</w:t>
      </w:r>
      <w:r>
        <w:rPr>
          <w:rStyle w:val="NormalTok"/>
        </w:rPr>
        <w:t xml:space="preserve"> future </w:t>
      </w:r>
      <w:r>
        <w:rPr>
          <w:rStyle w:val="KeywordTok"/>
        </w:rPr>
        <w:t xml:space="preserve">in</w:t>
      </w:r>
      <w:r>
        <w:rPr>
          <w:rStyle w:val="NormalTok"/>
        </w:rPr>
        <w:t xml:space="preserve"> as_completed(futures):</w:t>
      </w:r>
      <w:r>
        <w:br/>
      </w:r>
      <w:r>
        <w:rPr>
          <w:rStyle w:val="NormalTok"/>
        </w:rPr>
        <w:t xml:space="preserve">        handle_completion(future)</w:t>
      </w:r>
    </w:p>
    <w:p>
      <w:pPr>
        <w:pStyle w:val="FirstParagraph"/>
      </w:pPr>
      <w:r>
        <w:rPr>
          <w:b/>
          <w:bCs/>
        </w:rPr>
        <w:t xml:space="preserve">Thread Safety</w:t>
      </w:r>
      <w:r>
        <w:t xml:space="preserve">: Concurrent output to the console and progress tracking require synchronization:</w:t>
      </w:r>
    </w:p>
    <w:p>
      <w:pPr>
        <w:pStyle w:val="SourceCode"/>
      </w:pPr>
      <w:r>
        <w:rPr>
          <w:rStyle w:val="NormalTok"/>
        </w:rPr>
        <w:t xml:space="preserve">print_lock </w:t>
      </w:r>
      <w:r>
        <w:rPr>
          <w:rStyle w:val="OperatorTok"/>
        </w:rPr>
        <w:t xml:space="preserve">=</w:t>
      </w:r>
      <w:r>
        <w:rPr>
          <w:rStyle w:val="NormalTok"/>
        </w:rPr>
        <w:t xml:space="preserve"> threading.Lock()</w:t>
      </w:r>
      <w:r>
        <w:br/>
      </w:r>
      <w:r>
        <w:br/>
      </w:r>
      <w:r>
        <w:rPr>
          <w:rStyle w:val="KeywordTok"/>
        </w:rPr>
        <w:t xml:space="preserve">def</w:t>
      </w:r>
      <w:r>
        <w:rPr>
          <w:rStyle w:val="NormalTok"/>
        </w:rPr>
        <w:t xml:space="preserve"> safe_print(</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with</w:t>
      </w:r>
      <w:r>
        <w:rPr>
          <w:rStyle w:val="NormalTok"/>
        </w:rPr>
        <w:t xml:space="preserve"> print_lock:</w:t>
      </w:r>
      <w:r>
        <w:br/>
      </w:r>
      <w:r>
        <w:rPr>
          <w:rStyle w:val="NormalTok"/>
        </w:rPr>
        <w:t xml:space="preserve">        </w:t>
      </w:r>
      <w:r>
        <w:rPr>
          <w:rStyle w:val="BuiltInTok"/>
        </w:rPr>
        <w:t xml:space="preserve">print</w:t>
      </w:r>
      <w:r>
        <w:rPr>
          <w:rStyle w:val="NormalTok"/>
        </w:rPr>
        <w:t xml:space="preserve">(</w:t>
      </w:r>
      <w:r>
        <w:rPr>
          <w:rStyle w:val="OperatorTok"/>
        </w:rPr>
        <w:t xml:space="preserve">*</w:t>
      </w:r>
      <w:r>
        <w:rPr>
          <w:rStyle w:val="NormalTok"/>
        </w:rPr>
        <w:t xml:space="preserve">args, </w:t>
      </w:r>
      <w:r>
        <w:rPr>
          <w:rStyle w:val="OperatorTok"/>
        </w:rPr>
        <w:t xml:space="preserve">**</w:t>
      </w:r>
      <w:r>
        <w:rPr>
          <w:rStyle w:val="NormalTok"/>
        </w:rPr>
        <w:t xml:space="preserve">kwargs)</w:t>
      </w:r>
    </w:p>
    <w:p>
      <w:pPr>
        <w:pStyle w:val="FirstParagraph"/>
      </w:pPr>
      <w:r>
        <w:rPr>
          <w:b/>
          <w:bCs/>
        </w:rPr>
        <w:t xml:space="preserve">Resource Management</w:t>
      </w:r>
      <w:r>
        <w:t xml:space="preserve">: The number of parallel workers is bounded to prevent memory exhaustion:</w:t>
      </w:r>
      <w:r>
        <w:t xml:space="preserve"> </w:t>
      </w:r>
      <w:r>
        <w:t xml:space="preserve">- Maximum workers capped at 12 regardless of CPU count</w:t>
      </w:r>
      <w:r>
        <w:t xml:space="preserve"> </w:t>
      </w:r>
      <w:r>
        <w:t xml:space="preserve">- Memory limits enforced through fMRIPrep configuration</w:t>
      </w:r>
    </w:p>
    <w:p>
      <w:r>
        <w:pict>
          <v:rect style="width:0;height:1.5pt" o:hralign="center" o:hrstd="t" o:hr="t"/>
        </w:pict>
      </w:r>
    </w:p>
    <w:bookmarkEnd w:id="27"/>
    <w:bookmarkEnd w:id="28"/>
    <w:bookmarkStart w:id="34" w:name="implementation"/>
    <w:p>
      <w:pPr>
        <w:pStyle w:val="Heading2"/>
      </w:pPr>
      <w:r>
        <w:t xml:space="preserve">4. Implementation</w:t>
      </w:r>
    </w:p>
    <w:bookmarkStart w:id="29" w:name="development-environment-and-tools"/>
    <w:p>
      <w:pPr>
        <w:pStyle w:val="Heading3"/>
      </w:pPr>
      <w:r>
        <w:t xml:space="preserve">4.1 Development Environment and Tools</w:t>
      </w:r>
    </w:p>
    <w:p>
      <w:pPr>
        <w:pStyle w:val="FirstParagraph"/>
      </w:pPr>
      <w:r>
        <w:t xml:space="preserve">The pipeline was developed using the following technologies: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Version</w:t>
            </w:r>
          </w:p>
        </w:tc>
        <w:tc>
          <w:tcPr/>
          <w:p>
            <w:pPr>
              <w:pStyle w:val="Compact"/>
            </w:pPr>
            <w:r>
              <w:t xml:space="preserve">Purpose</w:t>
            </w:r>
          </w:p>
        </w:tc>
      </w:tr>
      <w:tr>
        <w:tc>
          <w:tcPr/>
          <w:p>
            <w:pPr>
              <w:pStyle w:val="Compact"/>
            </w:pPr>
            <w:r>
              <w:t xml:space="preserve">Programming Language</w:t>
            </w:r>
          </w:p>
        </w:tc>
        <w:tc>
          <w:tcPr/>
          <w:p>
            <w:pPr>
              <w:pStyle w:val="Compact"/>
            </w:pPr>
            <w:r>
              <w:t xml:space="preserve">Python</w:t>
            </w:r>
          </w:p>
        </w:tc>
        <w:tc>
          <w:tcPr/>
          <w:p>
            <w:pPr>
              <w:pStyle w:val="Compact"/>
            </w:pPr>
            <w:r>
              <w:t xml:space="preserve">3.9+</w:t>
            </w:r>
          </w:p>
        </w:tc>
        <w:tc>
          <w:tcPr/>
          <w:p>
            <w:pPr>
              <w:pStyle w:val="Compact"/>
            </w:pPr>
            <w:r>
              <w:t xml:space="preserve">Core implementation</w:t>
            </w:r>
          </w:p>
        </w:tc>
      </w:tr>
      <w:tr>
        <w:tc>
          <w:tcPr/>
          <w:p>
            <w:pPr>
              <w:pStyle w:val="Compact"/>
            </w:pPr>
            <w:r>
              <w:t xml:space="preserve">GUI Framework</w:t>
            </w:r>
          </w:p>
        </w:tc>
        <w:tc>
          <w:tcPr/>
          <w:p>
            <w:pPr>
              <w:pStyle w:val="Compact"/>
            </w:pPr>
            <w:r>
              <w:t xml:space="preserve">CustomTkinter</w:t>
            </w:r>
          </w:p>
        </w:tc>
        <w:tc>
          <w:tcPr/>
          <w:p>
            <w:pPr>
              <w:pStyle w:val="Compact"/>
            </w:pPr>
            <w:r>
              <w:t xml:space="preserve">5.0+</w:t>
            </w:r>
          </w:p>
        </w:tc>
        <w:tc>
          <w:tcPr/>
          <w:p>
            <w:pPr>
              <w:pStyle w:val="Compact"/>
            </w:pPr>
            <w:r>
              <w:t xml:space="preserve">User interface</w:t>
            </w:r>
          </w:p>
        </w:tc>
      </w:tr>
      <w:tr>
        <w:tc>
          <w:tcPr/>
          <w:p>
            <w:pPr>
              <w:pStyle w:val="Compact"/>
            </w:pPr>
            <w:r>
              <w:t xml:space="preserve">DICOM Conversion</w:t>
            </w:r>
          </w:p>
        </w:tc>
        <w:tc>
          <w:tcPr/>
          <w:p>
            <w:pPr>
              <w:pStyle w:val="Compact"/>
            </w:pPr>
            <w:r>
              <w:t xml:space="preserve">dcm2niix</w:t>
            </w:r>
          </w:p>
        </w:tc>
        <w:tc>
          <w:tcPr/>
          <w:p>
            <w:pPr>
              <w:pStyle w:val="Compact"/>
            </w:pPr>
            <w:r>
              <w:t xml:space="preserve">1.0.20211006+</w:t>
            </w:r>
          </w:p>
        </w:tc>
        <w:tc>
          <w:tcPr/>
          <w:p>
            <w:pPr>
              <w:pStyle w:val="Compact"/>
            </w:pPr>
            <w:r>
              <w:t xml:space="preserve">DICOM to NIfTI</w:t>
            </w:r>
          </w:p>
        </w:tc>
      </w:tr>
      <w:tr>
        <w:tc>
          <w:tcPr/>
          <w:p>
            <w:pPr>
              <w:pStyle w:val="Compact"/>
            </w:pPr>
            <w:r>
              <w:t xml:space="preserve">BIDS Conversion</w:t>
            </w:r>
          </w:p>
        </w:tc>
        <w:tc>
          <w:tcPr/>
          <w:p>
            <w:pPr>
              <w:pStyle w:val="Compact"/>
            </w:pPr>
            <w:r>
              <w:t xml:space="preserve">dcm2bids</w:t>
            </w:r>
          </w:p>
        </w:tc>
        <w:tc>
          <w:tcPr/>
          <w:p>
            <w:pPr>
              <w:pStyle w:val="Compact"/>
            </w:pPr>
            <w:r>
              <w:t xml:space="preserve">3.0+</w:t>
            </w:r>
          </w:p>
        </w:tc>
        <w:tc>
          <w:tcPr/>
          <w:p>
            <w:pPr>
              <w:pStyle w:val="Compact"/>
            </w:pPr>
            <w:r>
              <w:t xml:space="preserve">BIDS organization</w:t>
            </w:r>
          </w:p>
        </w:tc>
      </w:tr>
      <w:tr>
        <w:tc>
          <w:tcPr/>
          <w:p>
            <w:pPr>
              <w:pStyle w:val="Compact"/>
            </w:pPr>
            <w:r>
              <w:t xml:space="preserve">Preprocessing</w:t>
            </w:r>
          </w:p>
        </w:tc>
        <w:tc>
          <w:tcPr/>
          <w:p>
            <w:pPr>
              <w:pStyle w:val="Compact"/>
            </w:pPr>
            <w:r>
              <w:t xml:space="preserve">fMRIPrep</w:t>
            </w:r>
          </w:p>
        </w:tc>
        <w:tc>
          <w:tcPr/>
          <w:p>
            <w:pPr>
              <w:pStyle w:val="Compact"/>
            </w:pPr>
            <w:r>
              <w:t xml:space="preserve">23.0+</w:t>
            </w:r>
          </w:p>
        </w:tc>
        <w:tc>
          <w:tcPr/>
          <w:p>
            <w:pPr>
              <w:pStyle w:val="Compact"/>
            </w:pPr>
            <w:r>
              <w:t xml:space="preserve">fMRI preprocessing</w:t>
            </w:r>
          </w:p>
        </w:tc>
      </w:tr>
      <w:tr>
        <w:tc>
          <w:tcPr/>
          <w:p>
            <w:pPr>
              <w:pStyle w:val="Compact"/>
            </w:pPr>
            <w:r>
              <w:t xml:space="preserve">Containerization</w:t>
            </w:r>
          </w:p>
        </w:tc>
        <w:tc>
          <w:tcPr/>
          <w:p>
            <w:pPr>
              <w:pStyle w:val="Compact"/>
            </w:pPr>
            <w:r>
              <w:t xml:space="preserve">Docker</w:t>
            </w:r>
          </w:p>
        </w:tc>
        <w:tc>
          <w:tcPr/>
          <w:p>
            <w:pPr>
              <w:pStyle w:val="Compact"/>
            </w:pPr>
            <w:r>
              <w:t xml:space="preserve">20.10+</w:t>
            </w:r>
          </w:p>
        </w:tc>
        <w:tc>
          <w:tcPr/>
          <w:p>
            <w:pPr>
              <w:pStyle w:val="Compact"/>
            </w:pPr>
            <w:r>
              <w:t xml:space="preserve">fMRIPrep execution</w:t>
            </w:r>
          </w:p>
        </w:tc>
      </w:tr>
    </w:tbl>
    <w:p>
      <w:pPr>
        <w:pStyle w:val="BodyText"/>
      </w:pPr>
      <w:r>
        <w:rPr>
          <w:b/>
          <w:bCs/>
        </w:rPr>
        <w:t xml:space="preserve">Development Practices</w:t>
      </w:r>
      <w:r>
        <w:t xml:space="preserve">:</w:t>
      </w:r>
      <w:r>
        <w:t xml:space="preserve"> </w:t>
      </w:r>
      <w:r>
        <w:t xml:space="preserve">- Version control using Git</w:t>
      </w:r>
      <w:r>
        <w:t xml:space="preserve"> </w:t>
      </w:r>
      <w:r>
        <w:t xml:space="preserve">- Modular code organization</w:t>
      </w:r>
      <w:r>
        <w:t xml:space="preserve"> </w:t>
      </w:r>
      <w:r>
        <w:t xml:space="preserve">- Comprehensive error handling</w:t>
      </w:r>
      <w:r>
        <w:t xml:space="preserve"> </w:t>
      </w:r>
      <w:r>
        <w:t xml:space="preserve">- Cross-platform testing</w:t>
      </w:r>
    </w:p>
    <w:bookmarkEnd w:id="29"/>
    <w:bookmarkStart w:id="30" w:name="core-pipeline-components"/>
    <w:p>
      <w:pPr>
        <w:pStyle w:val="Heading3"/>
      </w:pPr>
      <w:r>
        <w:t xml:space="preserve">4.2 Core Pipeline Components</w:t>
      </w:r>
    </w:p>
    <w:p>
      <w:pPr>
        <w:pStyle w:val="FirstParagraph"/>
      </w:pPr>
      <w:r>
        <w:t xml:space="preserve">The codebase is organized into several key modules:</w:t>
      </w:r>
    </w:p>
    <w:p>
      <w:pPr>
        <w:pStyle w:val="BodyText"/>
      </w:pPr>
      <w:r>
        <w:rPr>
          <w:b/>
          <w:bCs/>
        </w:rPr>
        <w:t xml:space="preserve">gui_app.py</w:t>
      </w:r>
      <w:r>
        <w:t xml:space="preserve">: The main application class implementing the graphical interface. Key responsibilities:</w:t>
      </w:r>
      <w:r>
        <w:t xml:space="preserve"> </w:t>
      </w:r>
      <w:r>
        <w:t xml:space="preserve">- Window management and layout</w:t>
      </w:r>
      <w:r>
        <w:t xml:space="preserve"> </w:t>
      </w:r>
      <w:r>
        <w:t xml:space="preserve">- User input handling</w:t>
      </w:r>
      <w:r>
        <w:t xml:space="preserve"> </w:t>
      </w:r>
      <w:r>
        <w:t xml:space="preserve">- Progress display and animation</w:t>
      </w:r>
      <w:r>
        <w:t xml:space="preserve"> </w:t>
      </w:r>
      <w:r>
        <w:t xml:space="preserve">- Thread management for background execution</w:t>
      </w:r>
    </w:p>
    <w:p>
      <w:pPr>
        <w:pStyle w:val="BodyText"/>
      </w:pPr>
      <w:r>
        <w:rPr>
          <w:b/>
          <w:bCs/>
        </w:rPr>
        <w:t xml:space="preserve">run_pipeline.py</w:t>
      </w:r>
      <w:r>
        <w:t xml:space="preserve">: The core pipeline logic module. Key components:</w:t>
      </w:r>
      <w:r>
        <w:t xml:space="preserve"> </w:t>
      </w:r>
      <w:r>
        <w:t xml:space="preserve">- Subject/session discovery functions</w:t>
      </w:r>
      <w:r>
        <w:t xml:space="preserve"> </w:t>
      </w:r>
      <w:r>
        <w:t xml:space="preserve">- BIDS conversion orchestration</w:t>
      </w:r>
      <w:r>
        <w:t xml:space="preserve"> </w:t>
      </w:r>
      <w:r>
        <w:t xml:space="preserve">- fMRIPrep execution management</w:t>
      </w:r>
      <w:r>
        <w:t xml:space="preserve"> </w:t>
      </w:r>
      <w:r>
        <w:t xml:space="preserve">- Progress tracking and reporting</w:t>
      </w:r>
      <w:r>
        <w:t xml:space="preserve"> </w:t>
      </w:r>
      <w:r>
        <w:t xml:space="preserve">- Parallel processing coordination</w:t>
      </w:r>
    </w:p>
    <w:p>
      <w:pPr>
        <w:pStyle w:val="BodyText"/>
      </w:pPr>
      <w:r>
        <w:rPr>
          <w:b/>
          <w:bCs/>
        </w:rPr>
        <w:t xml:space="preserve">run_fmriprep.py</w:t>
      </w:r>
      <w:r>
        <w:t xml:space="preserve">: Docker interface for fMRIPrep execution. Handles:</w:t>
      </w:r>
      <w:r>
        <w:t xml:space="preserve"> </w:t>
      </w:r>
      <w:r>
        <w:t xml:space="preserve">- Docker availability checking</w:t>
      </w:r>
      <w:r>
        <w:t xml:space="preserve"> </w:t>
      </w:r>
      <w:r>
        <w:t xml:space="preserve">- Path conversion for container mounting</w:t>
      </w:r>
      <w:r>
        <w:t xml:space="preserve"> </w:t>
      </w:r>
      <w:r>
        <w:t xml:space="preserve">- Command construction and execution</w:t>
      </w:r>
      <w:r>
        <w:t xml:space="preserve"> </w:t>
      </w:r>
      <w:r>
        <w:t xml:space="preserve">- Output streaming</w:t>
      </w:r>
    </w:p>
    <w:bookmarkEnd w:id="30"/>
    <w:bookmarkStart w:id="31" w:name="configuration-system"/>
    <w:p>
      <w:pPr>
        <w:pStyle w:val="Heading3"/>
      </w:pPr>
      <w:r>
        <w:t xml:space="preserve">4.3 Configuration System</w:t>
      </w:r>
    </w:p>
    <w:p>
      <w:pPr>
        <w:pStyle w:val="FirstParagraph"/>
      </w:pPr>
      <w:r>
        <w:t xml:space="preserve">The pipeline uses a JSON-based configuration system for BIDS conversion rules:</w:t>
      </w:r>
    </w:p>
    <w:p>
      <w:pPr>
        <w:pStyle w:val="SourceCode"/>
      </w:pPr>
      <w:r>
        <w:rPr>
          <w:rStyle w:val="FunctionTok"/>
        </w:rPr>
        <w:t xml:space="preserve">{</w:t>
      </w:r>
      <w:r>
        <w:br/>
      </w:r>
      <w:r>
        <w:rPr>
          <w:rStyle w:val="NormalTok"/>
        </w:rPr>
        <w:t xml:space="preserve">  </w:t>
      </w:r>
      <w:r>
        <w:rPr>
          <w:rStyle w:val="DataTypeTok"/>
        </w:rPr>
        <w:t xml:space="preserve">"dcm2niixOptions"</w:t>
      </w:r>
      <w:r>
        <w:rPr>
          <w:rStyle w:val="FunctionTok"/>
        </w:rPr>
        <w:t xml:space="preserve">:</w:t>
      </w:r>
      <w:r>
        <w:rPr>
          <w:rStyle w:val="NormalTok"/>
        </w:rPr>
        <w:t xml:space="preserve"> </w:t>
      </w:r>
      <w:r>
        <w:rPr>
          <w:rStyle w:val="StringTok"/>
        </w:rPr>
        <w:t xml:space="preserve">"-z 1 -b y -ba n -f %p_%s"</w:t>
      </w:r>
      <w:r>
        <w:rPr>
          <w:rStyle w:val="FunctionTok"/>
        </w:rPr>
        <w:t xml:space="preserve">,</w:t>
      </w:r>
      <w:r>
        <w:br/>
      </w:r>
      <w:r>
        <w:rPr>
          <w:rStyle w:val="NormalTok"/>
        </w:rPr>
        <w:t xml:space="preserve">  </w:t>
      </w:r>
      <w:r>
        <w:rPr>
          <w:rStyle w:val="DataTypeTok"/>
        </w:rPr>
        <w:t xml:space="preserve">"descriptions"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"anat_t1w"</w:t>
      </w:r>
      <w:r>
        <w:rPr>
          <w:rStyle w:val="FunctionTok"/>
        </w:rPr>
        <w:t xml:space="preserve">,</w:t>
      </w:r>
      <w:r>
        <w:br/>
      </w:r>
      <w:r>
        <w:rPr>
          <w:rStyle w:val="NormalTok"/>
        </w:rPr>
        <w:t xml:space="preserve">      </w:t>
      </w:r>
      <w:r>
        <w:rPr>
          <w:rStyle w:val="DataTypeTok"/>
        </w:rPr>
        <w:t xml:space="preserve">"datatype"</w:t>
      </w:r>
      <w:r>
        <w:rPr>
          <w:rStyle w:val="FunctionTok"/>
        </w:rPr>
        <w:t xml:space="preserve">:</w:t>
      </w:r>
      <w:r>
        <w:rPr>
          <w:rStyle w:val="NormalTok"/>
        </w:rPr>
        <w:t xml:space="preserve"> </w:t>
      </w:r>
      <w:r>
        <w:rPr>
          <w:rStyle w:val="StringTok"/>
        </w:rPr>
        <w:t xml:space="preserve">"anat"</w:t>
      </w:r>
      <w:r>
        <w:rPr>
          <w:rStyle w:val="FunctionTok"/>
        </w:rPr>
        <w:t xml:space="preserve">,</w:t>
      </w:r>
      <w:r>
        <w:br/>
      </w:r>
      <w:r>
        <w:rPr>
          <w:rStyle w:val="NormalTok"/>
        </w:rPr>
        <w:t xml:space="preserve">      </w:t>
      </w:r>
      <w:r>
        <w:rPr>
          <w:rStyle w:val="DataTypeTok"/>
        </w:rPr>
        <w:t xml:space="preserve">"suffix"</w:t>
      </w:r>
      <w:r>
        <w:rPr>
          <w:rStyle w:val="FunctionTok"/>
        </w:rPr>
        <w:t xml:space="preserve">:</w:t>
      </w:r>
      <w:r>
        <w:rPr>
          <w:rStyle w:val="NormalTok"/>
        </w:rPr>
        <w:t xml:space="preserve"> </w:t>
      </w:r>
      <w:r>
        <w:rPr>
          <w:rStyle w:val="StringTok"/>
        </w:rPr>
        <w:t xml:space="preserve">"T1w"</w:t>
      </w:r>
      <w:r>
        <w:rPr>
          <w:rStyle w:val="FunctionTok"/>
        </w:rPr>
        <w:t xml:space="preserve">,</w:t>
      </w:r>
      <w:r>
        <w:br/>
      </w:r>
      <w:r>
        <w:rPr>
          <w:rStyle w:val="NormalTok"/>
        </w:rPr>
        <w:t xml:space="preserve">      </w:t>
      </w:r>
      <w:r>
        <w:rPr>
          <w:rStyle w:val="DataTypeTok"/>
        </w:rPr>
        <w:t xml:space="preserve">"criteria"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"SeriesDescription"</w:t>
      </w:r>
      <w:r>
        <w:rPr>
          <w:rStyle w:val="FunctionTok"/>
        </w:rPr>
        <w:t xml:space="preserve">:</w:t>
      </w:r>
      <w:r>
        <w:rPr>
          <w:rStyle w:val="NormalTok"/>
        </w:rPr>
        <w:t xml:space="preserve"> </w:t>
      </w:r>
      <w:r>
        <w:rPr>
          <w:rStyle w:val="StringTok"/>
        </w:rPr>
        <w:t xml:space="preserve">"*T1*"</w:t>
      </w:r>
      <w:r>
        <w:rPr>
          <w:rStyle w:val="FunctionTok"/>
        </w:rPr>
        <w:t xml:space="preserve">,</w:t>
      </w:r>
      <w:r>
        <w:br/>
      </w:r>
      <w:r>
        <w:rPr>
          <w:rStyle w:val="NormalTok"/>
        </w:rPr>
        <w:t xml:space="preserve">        </w:t>
      </w:r>
      <w:r>
        <w:rPr>
          <w:rStyle w:val="DataTypeTok"/>
        </w:rPr>
        <w:t xml:space="preserve">"ImageType"</w:t>
      </w:r>
      <w:r>
        <w:rPr>
          <w:rStyle w:val="FunctionTok"/>
        </w:rPr>
        <w:t xml:space="preserve">:</w:t>
      </w:r>
      <w:r>
        <w:rPr>
          <w:rStyle w:val="NormalTok"/>
        </w:rPr>
        <w:t xml:space="preserve"> </w:t>
      </w:r>
      <w:r>
        <w:rPr>
          <w:rStyle w:val="OtherTok"/>
        </w:rPr>
        <w:t xml:space="preserve">[</w:t>
      </w:r>
      <w:r>
        <w:rPr>
          <w:rStyle w:val="StringTok"/>
        </w:rPr>
        <w:t xml:space="preserve">"ORIGINAL"</w:t>
      </w:r>
      <w:r>
        <w:rPr>
          <w:rStyle w:val="OtherTok"/>
        </w:rPr>
        <w:t xml:space="preserve">,</w:t>
      </w:r>
      <w:r>
        <w:rPr>
          <w:rStyle w:val="NormalTok"/>
        </w:rPr>
        <w:t xml:space="preserve"> </w:t>
      </w:r>
      <w:r>
        <w:rPr>
          <w:rStyle w:val="StringTok"/>
        </w:rPr>
        <w:t xml:space="preserve">"PRIMARY"</w:t>
      </w:r>
      <w:r>
        <w:rPr>
          <w:rStyle w:val="OtherTok"/>
        </w:rPr>
        <w:t xml:space="preserve">,</w:t>
      </w:r>
      <w:r>
        <w:rPr>
          <w:rStyle w:val="NormalTok"/>
        </w:rPr>
        <w:t xml:space="preserve"> </w:t>
      </w:r>
      <w:r>
        <w:rPr>
          <w:rStyle w:val="String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Configuration Elements</w:t>
      </w:r>
      <w:r>
        <w:t xml:space="preserve">:</w:t>
      </w:r>
      <w:r>
        <w:t xml:space="preserve"> </w:t>
      </w:r>
      <w:r>
        <w:t xml:space="preserve">-</w:t>
      </w:r>
      <w:r>
        <w:t xml:space="preserve"> </w:t>
      </w:r>
      <w:r>
        <w:rPr>
          <w:rStyle w:val="VerbatimChar"/>
        </w:rPr>
        <w:t xml:space="preserve">dcm2niixOptions</w:t>
      </w:r>
      <w:r>
        <w:t xml:space="preserve">: Parameters passed to the conversion tool</w:t>
      </w:r>
      <w:r>
        <w:t xml:space="preserve"> </w:t>
      </w:r>
      <w:r>
        <w:t xml:space="preserve">-</w:t>
      </w:r>
      <w:r>
        <w:t xml:space="preserve"> </w:t>
      </w:r>
      <w:r>
        <w:rPr>
          <w:rStyle w:val="VerbatimChar"/>
        </w:rPr>
        <w:t xml:space="preserve">descriptions</w:t>
      </w:r>
      <w:r>
        <w:t xml:space="preserve">: Rules for classifying and naming scans</w:t>
      </w:r>
      <w:r>
        <w:t xml:space="preserve"> </w:t>
      </w:r>
      <w:r>
        <w:t xml:space="preserve">-</w:t>
      </w:r>
      <w:r>
        <w:t xml:space="preserve"> </w:t>
      </w:r>
      <w:r>
        <w:rPr>
          <w:rStyle w:val="VerbatimChar"/>
        </w:rPr>
        <w:t xml:space="preserve">criteria</w:t>
      </w:r>
      <w:r>
        <w:t xml:space="preserve">: Matching conditions based on DICOM metadata</w:t>
      </w:r>
    </w:p>
    <w:bookmarkEnd w:id="31"/>
    <w:bookmarkStart w:id="32" w:name="error-handling-and-logging"/>
    <w:p>
      <w:pPr>
        <w:pStyle w:val="Heading3"/>
      </w:pPr>
      <w:r>
        <w:t xml:space="preserve">4.4 Error Handling and Logging</w:t>
      </w:r>
    </w:p>
    <w:p>
      <w:pPr>
        <w:pStyle w:val="FirstParagraph"/>
      </w:pPr>
      <w:r>
        <w:t xml:space="preserve">Robust error handling ensures graceful degradation and informative feedback:</w:t>
      </w:r>
    </w:p>
    <w:p>
      <w:pPr>
        <w:pStyle w:val="BodyText"/>
      </w:pPr>
      <w:r>
        <w:rPr>
          <w:b/>
          <w:bCs/>
        </w:rPr>
        <w:t xml:space="preserve">Exception Hierarchy</w:t>
      </w:r>
      <w:r>
        <w:t xml:space="preserve">: Different error types are caught and handled appropriately:</w:t>
      </w:r>
      <w:r>
        <w:t xml:space="preserve"> </w:t>
      </w:r>
      <w:r>
        <w:t xml:space="preserve">- File system errors (missing directories, permissions)</w:t>
      </w:r>
      <w:r>
        <w:t xml:space="preserve"> </w:t>
      </w:r>
      <w:r>
        <w:t xml:space="preserve">- Subprocess errors (tool failures, timeouts)</w:t>
      </w:r>
      <w:r>
        <w:t xml:space="preserve"> </w:t>
      </w:r>
      <w:r>
        <w:t xml:space="preserve">- Configuration errors (invalid settings, missing files)</w:t>
      </w:r>
    </w:p>
    <w:p>
      <w:pPr>
        <w:pStyle w:val="BodyText"/>
      </w:pPr>
      <w:r>
        <w:rPr>
          <w:b/>
          <w:bCs/>
        </w:rPr>
        <w:t xml:space="preserve">Logging Strategy</w:t>
      </w:r>
      <w:r>
        <w:t xml:space="preserve">: Multi-level logging provides appropriate detail:</w:t>
      </w:r>
      <w:r>
        <w:t xml:space="preserve"> </w:t>
      </w:r>
      <w:r>
        <w:t xml:space="preserve">- User-facing messages: High-level status and errors</w:t>
      </w:r>
      <w:r>
        <w:t xml:space="preserve"> </w:t>
      </w:r>
      <w:r>
        <w:t xml:space="preserve">- Log files: Detailed technical information for troubleshooting</w:t>
      </w:r>
      <w:r>
        <w:t xml:space="preserve"> </w:t>
      </w:r>
      <w:r>
        <w:t xml:space="preserve">- Console output: Real-time processing updates</w:t>
      </w:r>
    </w:p>
    <w:p>
      <w:pPr>
        <w:pStyle w:val="BodyText"/>
      </w:pPr>
      <w:r>
        <w:rPr>
          <w:b/>
          <w:bCs/>
        </w:rPr>
        <w:t xml:space="preserve">Report Generation</w:t>
      </w:r>
      <w:r>
        <w:t xml:space="preserve">: A comprehensive report class tracks all processing outcomes:</w:t>
      </w:r>
    </w:p>
    <w:p>
      <w:pPr>
        <w:pStyle w:val="SourceCode"/>
      </w:pPr>
      <w:r>
        <w:rPr>
          <w:rStyle w:val="KeywordTok"/>
        </w:rPr>
        <w:t xml:space="preserve">class</w:t>
      </w:r>
      <w:r>
        <w:rPr>
          <w:rStyle w:val="NormalTok"/>
        </w:rPr>
        <w:t xml:space="preserve"> ConversionReport: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.successful </w:t>
      </w:r>
      <w:r>
        <w:rPr>
          <w:rStyle w:val="OperatorTok"/>
        </w:rPr>
        <w:t xml:space="preserve">=</w:t>
      </w:r>
      <w:r>
        <w:rPr>
          <w:rStyle w:val="NormalTok"/>
        </w:rPr>
        <w:t xml:space="preserve"> []  </w:t>
      </w:r>
      <w:r>
        <w:rPr>
          <w:rStyle w:val="CommentTok"/>
        </w:rPr>
        <w:t xml:space="preserve"># Completed conversions</w:t>
      </w:r>
      <w:r>
        <w:br/>
      </w:r>
      <w:r>
        <w:rPr>
          <w:rStyle w:val="NormalTok"/>
        </w:rPr>
        <w:t xml:space="preserve">        </w:t>
      </w:r>
      <w:r>
        <w:rPr>
          <w:rStyle w:val="VariableTok"/>
        </w:rPr>
        <w:t xml:space="preserve">self</w:t>
      </w:r>
      <w:r>
        <w:rPr>
          <w:rStyle w:val="NormalTok"/>
        </w:rPr>
        <w:t xml:space="preserve">.failed </w:t>
      </w:r>
      <w:r>
        <w:rPr>
          <w:rStyle w:val="OperatorTok"/>
        </w:rPr>
        <w:t xml:space="preserve">=</w:t>
      </w:r>
      <w:r>
        <w:rPr>
          <w:rStyle w:val="NormalTok"/>
        </w:rPr>
        <w:t xml:space="preserve"> []      </w:t>
      </w:r>
      <w:r>
        <w:rPr>
          <w:rStyle w:val="CommentTok"/>
        </w:rPr>
        <w:t xml:space="preserve"># Failed with errors</w:t>
      </w:r>
      <w:r>
        <w:br/>
      </w:r>
      <w:r>
        <w:rPr>
          <w:rStyle w:val="NormalTok"/>
        </w:rPr>
        <w:t xml:space="preserve">        </w:t>
      </w:r>
      <w:r>
        <w:rPr>
          <w:rStyle w:val="VariableTok"/>
        </w:rPr>
        <w:t xml:space="preserve">self</w:t>
      </w:r>
      <w:r>
        <w:rPr>
          <w:rStyle w:val="NormalTok"/>
        </w:rPr>
        <w:t xml:space="preserve">.warnings </w:t>
      </w:r>
      <w:r>
        <w:rPr>
          <w:rStyle w:val="OperatorTok"/>
        </w:rPr>
        <w:t xml:space="preserve">=</w:t>
      </w:r>
      <w:r>
        <w:rPr>
          <w:rStyle w:val="NormalTok"/>
        </w:rPr>
        <w:t xml:space="preserve"> []    </w:t>
      </w:r>
      <w:r>
        <w:rPr>
          <w:rStyle w:val="CommentTok"/>
        </w:rPr>
        <w:t xml:space="preserve"># Non-fatal issues</w:t>
      </w:r>
      <w:r>
        <w:br/>
      </w:r>
      <w:r>
        <w:rPr>
          <w:rStyle w:val="NormalTok"/>
        </w:rPr>
        <w:t xml:space="preserve">    </w:t>
      </w:r>
      <w:r>
        <w:br/>
      </w:r>
      <w:r>
        <w:rPr>
          <w:rStyle w:val="NormalTok"/>
        </w:rPr>
        <w:t xml:space="preserve">    </w:t>
      </w:r>
      <w:r>
        <w:rPr>
          <w:rStyle w:val="KeywordTok"/>
        </w:rPr>
        <w:t xml:space="preserve">def</w:t>
      </w:r>
      <w:r>
        <w:rPr>
          <w:rStyle w:val="NormalTok"/>
        </w:rPr>
        <w:t xml:space="preserve"> generate_report(</w:t>
      </w:r>
      <w:r>
        <w:rPr>
          <w:rStyle w:val="VariableTok"/>
        </w:rPr>
        <w:t xml:space="preserve">self</w:t>
      </w:r>
      <w:r>
        <w:rPr>
          <w:rStyle w:val="NormalTok"/>
        </w:rPr>
        <w:t xml:space="preserve">):</w:t>
      </w:r>
      <w:r>
        <w:br/>
      </w:r>
      <w:r>
        <w:rPr>
          <w:rStyle w:val="NormalTok"/>
        </w:rPr>
        <w:t xml:space="preserve">        </w:t>
      </w:r>
      <w:r>
        <w:rPr>
          <w:rStyle w:val="CommentTok"/>
        </w:rPr>
        <w:t xml:space="preserve"># Create human-readable summary</w:t>
      </w:r>
    </w:p>
    <w:bookmarkEnd w:id="32"/>
    <w:bookmarkStart w:id="33" w:name="cross-platform-compatibility"/>
    <w:p>
      <w:pPr>
        <w:pStyle w:val="Heading3"/>
      </w:pPr>
      <w:r>
        <w:t xml:space="preserve">4.5 Cross-Platform Compatibility</w:t>
      </w:r>
    </w:p>
    <w:p>
      <w:pPr>
        <w:pStyle w:val="FirstParagraph"/>
      </w:pPr>
      <w:r>
        <w:t xml:space="preserve">Ensuring consistent operation across operating systems required addressing several platform differences:</w:t>
      </w:r>
    </w:p>
    <w:p>
      <w:pPr>
        <w:pStyle w:val="BodyText"/>
      </w:pPr>
      <w:r>
        <w:rPr>
          <w:b/>
          <w:bCs/>
        </w:rPr>
        <w:t xml:space="preserve">Path Handling</w:t>
      </w:r>
      <w:r>
        <w:t xml:space="preserve">: The</w:t>
      </w:r>
      <w:r>
        <w:t xml:space="preserve"> </w:t>
      </w:r>
      <w:r>
        <w:rPr>
          <w:rStyle w:val="VerbatimChar"/>
        </w:rPr>
        <w:t xml:space="preserve">pathlib</w:t>
      </w:r>
      <w:r>
        <w:t xml:space="preserve"> </w:t>
      </w:r>
      <w:r>
        <w:t xml:space="preserve">module provides cross-platform path manipulation:</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NormalTok"/>
        </w:rPr>
        <w:t xml:space="preserve">config_path </w:t>
      </w:r>
      <w:r>
        <w:rPr>
          <w:rStyle w:val="OperatorTok"/>
        </w:rPr>
        <w:t xml:space="preserve">=</w:t>
      </w:r>
      <w:r>
        <w:rPr>
          <w:rStyle w:val="NormalTok"/>
        </w:rPr>
        <w:t xml:space="preserve"> project_root </w:t>
      </w:r>
      <w:r>
        <w:rPr>
          <w:rStyle w:val="OperatorTok"/>
        </w:rPr>
        <w:t xml:space="preserve">/</w:t>
      </w:r>
      <w:r>
        <w:rPr>
          <w:rStyle w:val="NormalTok"/>
        </w:rPr>
        <w:t xml:space="preserve"> </w:t>
      </w:r>
      <w:r>
        <w:rPr>
          <w:rStyle w:val="StringTok"/>
        </w:rPr>
        <w:t xml:space="preserve">"config"</w:t>
      </w:r>
      <w:r>
        <w:rPr>
          <w:rStyle w:val="NormalTok"/>
        </w:rPr>
        <w:t xml:space="preserve"> </w:t>
      </w:r>
      <w:r>
        <w:rPr>
          <w:rStyle w:val="OperatorTok"/>
        </w:rPr>
        <w:t xml:space="preserve">/</w:t>
      </w:r>
      <w:r>
        <w:rPr>
          <w:rStyle w:val="NormalTok"/>
        </w:rPr>
        <w:t xml:space="preserve"> </w:t>
      </w:r>
      <w:r>
        <w:rPr>
          <w:rStyle w:val="StringTok"/>
        </w:rPr>
        <w:t xml:space="preserve">"dcm2bids_config.json"</w:t>
      </w:r>
    </w:p>
    <w:p>
      <w:pPr>
        <w:pStyle w:val="FirstParagraph"/>
      </w:pPr>
      <w:r>
        <w:rPr>
          <w:b/>
          <w:bCs/>
        </w:rPr>
        <w:t xml:space="preserve">Console Encoding</w:t>
      </w:r>
      <w:r>
        <w:t xml:space="preserve">: Windows consoles default to legacy encodings. UTF-8 is forced:</w:t>
      </w:r>
    </w:p>
    <w:p>
      <w:pPr>
        <w:pStyle w:val="SourceCode"/>
      </w:pPr>
      <w:r>
        <w:rPr>
          <w:rStyle w:val="ControlFlowTok"/>
        </w:rPr>
        <w:t xml:space="preserve">if</w:t>
      </w:r>
      <w:r>
        <w:rPr>
          <w:rStyle w:val="NormalTok"/>
        </w:rPr>
        <w:t xml:space="preserve"> sys.stdout.encoding </w:t>
      </w:r>
      <w:r>
        <w:rPr>
          <w:rStyle w:val="OperatorTok"/>
        </w:rPr>
        <w:t xml:space="preserve">!=</w:t>
      </w:r>
      <w:r>
        <w:rPr>
          <w:rStyle w:val="NormalTok"/>
        </w:rPr>
        <w:t xml:space="preserve"> </w:t>
      </w:r>
      <w:r>
        <w:rPr>
          <w:rStyle w:val="StringTok"/>
        </w:rPr>
        <w:t xml:space="preserve">'utf-8'</w:t>
      </w:r>
      <w:r>
        <w:rPr>
          <w:rStyle w:val="NormalTok"/>
        </w:rPr>
        <w:t xml:space="preserve">:</w:t>
      </w:r>
      <w:r>
        <w:br/>
      </w:r>
      <w:r>
        <w:rPr>
          <w:rStyle w:val="NormalTok"/>
        </w:rPr>
        <w:t xml:space="preserve">    sys.stdout </w:t>
      </w:r>
      <w:r>
        <w:rPr>
          <w:rStyle w:val="OperatorTok"/>
        </w:rPr>
        <w:t xml:space="preserve">=</w:t>
      </w:r>
      <w:r>
        <w:rPr>
          <w:rStyle w:val="NormalTok"/>
        </w:rPr>
        <w:t xml:space="preserve"> io.TextIOWrapper(sys.stdout.</w:t>
      </w:r>
      <w:r>
        <w:rPr>
          <w:rStyle w:val="BuiltInTok"/>
        </w:rPr>
        <w:t xml:space="preserve">buffer</w:t>
      </w:r>
      <w:r>
        <w:rPr>
          <w:rStyle w:val="NormalTok"/>
        </w:rPr>
        <w:t xml:space="preserve">, encoding</w:t>
      </w:r>
      <w:r>
        <w:rPr>
          <w:rStyle w:val="OperatorTok"/>
        </w:rPr>
        <w:t xml:space="preserve">=</w:t>
      </w:r>
      <w:r>
        <w:rPr>
          <w:rStyle w:val="StringTok"/>
        </w:rPr>
        <w:t xml:space="preserve">'utf-8'</w:t>
      </w:r>
      <w:r>
        <w:rPr>
          <w:rStyle w:val="NormalTok"/>
        </w:rPr>
        <w:t xml:space="preserve">, errors</w:t>
      </w:r>
      <w:r>
        <w:rPr>
          <w:rStyle w:val="OperatorTok"/>
        </w:rPr>
        <w:t xml:space="preserve">=</w:t>
      </w:r>
      <w:r>
        <w:rPr>
          <w:rStyle w:val="StringTok"/>
        </w:rPr>
        <w:t xml:space="preserve">'replace'</w:t>
      </w:r>
      <w:r>
        <w:rPr>
          <w:rStyle w:val="NormalTok"/>
        </w:rPr>
        <w:t xml:space="preserve">)</w:t>
      </w:r>
    </w:p>
    <w:p>
      <w:pPr>
        <w:pStyle w:val="FirstParagraph"/>
      </w:pPr>
      <w:r>
        <w:rPr>
          <w:b/>
          <w:bCs/>
        </w:rPr>
        <w:t xml:space="preserve">Process Management</w:t>
      </w:r>
      <w:r>
        <w:t xml:space="preserve">: Subprocess termination differs between platforms:</w:t>
      </w:r>
    </w:p>
    <w:p>
      <w:pPr>
        <w:pStyle w:val="SourceCode"/>
      </w:pPr>
      <w:r>
        <w:rPr>
          <w:rStyle w:val="ControlFlowTok"/>
        </w:rPr>
        <w:t xml:space="preserve">if</w:t>
      </w:r>
      <w:r>
        <w:rPr>
          <w:rStyle w:val="NormalTok"/>
        </w:rPr>
        <w:t xml:space="preserve"> platform.system() </w:t>
      </w:r>
      <w:r>
        <w:rPr>
          <w:rStyle w:val="OperatorTok"/>
        </w:rPr>
        <w:t xml:space="preserve">==</w:t>
      </w:r>
      <w:r>
        <w:rPr>
          <w:rStyle w:val="NormalTok"/>
        </w:rPr>
        <w:t xml:space="preserve"> </w:t>
      </w:r>
      <w:r>
        <w:rPr>
          <w:rStyle w:val="StringTok"/>
        </w:rPr>
        <w:t xml:space="preserve">"Windows"</w:t>
      </w:r>
      <w:r>
        <w:rPr>
          <w:rStyle w:val="NormalTok"/>
        </w:rPr>
        <w:t xml:space="preserve">:</w:t>
      </w:r>
      <w:r>
        <w:br/>
      </w:r>
      <w:r>
        <w:rPr>
          <w:rStyle w:val="NormalTok"/>
        </w:rPr>
        <w:t xml:space="preserve">    subprocess.run([</w:t>
      </w:r>
      <w:r>
        <w:rPr>
          <w:rStyle w:val="StringTok"/>
        </w:rPr>
        <w:t xml:space="preserve">'taskkill'</w:t>
      </w:r>
      <w:r>
        <w:rPr>
          <w:rStyle w:val="NormalTok"/>
        </w:rPr>
        <w:t xml:space="preserve">, </w:t>
      </w:r>
      <w:r>
        <w:rPr>
          <w:rStyle w:val="StringTok"/>
        </w:rPr>
        <w:t xml:space="preserve">'/F'</w:t>
      </w:r>
      <w:r>
        <w:rPr>
          <w:rStyle w:val="NormalTok"/>
        </w:rPr>
        <w:t xml:space="preserve">, </w:t>
      </w:r>
      <w:r>
        <w:rPr>
          <w:rStyle w:val="StringTok"/>
        </w:rPr>
        <w:t xml:space="preserve">'/T'</w:t>
      </w:r>
      <w:r>
        <w:rPr>
          <w:rStyle w:val="NormalTok"/>
        </w:rPr>
        <w:t xml:space="preserve">, </w:t>
      </w:r>
      <w:r>
        <w:rPr>
          <w:rStyle w:val="StringTok"/>
        </w:rPr>
        <w:t xml:space="preserve">'/PID'</w:t>
      </w:r>
      <w:r>
        <w:rPr>
          <w:rStyle w:val="NormalTok"/>
        </w:rPr>
        <w:t xml:space="preserve">, </w:t>
      </w:r>
      <w:r>
        <w:rPr>
          <w:rStyle w:val="BuiltInTok"/>
        </w:rPr>
        <w:t xml:space="preserve">str</w:t>
      </w:r>
      <w:r>
        <w:rPr>
          <w:rStyle w:val="NormalTok"/>
        </w:rPr>
        <w:t xml:space="preserve">(pid)])</w:t>
      </w:r>
      <w:r>
        <w:br/>
      </w:r>
      <w:r>
        <w:rPr>
          <w:rStyle w:val="ControlFlowTok"/>
        </w:rPr>
        <w:t xml:space="preserve">else</w:t>
      </w:r>
      <w:r>
        <w:rPr>
          <w:rStyle w:val="NormalTok"/>
        </w:rPr>
        <w:t xml:space="preserve">:</w:t>
      </w:r>
      <w:r>
        <w:br/>
      </w:r>
      <w:r>
        <w:rPr>
          <w:rStyle w:val="NormalTok"/>
        </w:rPr>
        <w:t xml:space="preserve">    os.killpg(os.getpgid(pid), signal.SIGTERM)</w:t>
      </w:r>
    </w:p>
    <w:p>
      <w:pPr>
        <w:pStyle w:val="FirstParagraph"/>
      </w:pPr>
      <w:r>
        <w:rPr>
          <w:b/>
          <w:bCs/>
        </w:rPr>
        <w:t xml:space="preserve">Docker Paths</w:t>
      </w:r>
      <w:r>
        <w:t xml:space="preserve">: Windows paths require conversion for Docker volume mounts (as shown in Section 3.3).</w:t>
      </w:r>
    </w:p>
    <w:p>
      <w:r>
        <w:pict>
          <v:rect style="width:0;height:1.5pt" o:hralign="center" o:hrstd="t" o:hr="t"/>
        </w:pict>
      </w:r>
    </w:p>
    <w:bookmarkEnd w:id="33"/>
    <w:bookmarkEnd w:id="34"/>
    <w:bookmarkStart w:id="39" w:name="results"/>
    <w:p>
      <w:pPr>
        <w:pStyle w:val="Heading2"/>
      </w:pPr>
      <w:r>
        <w:t xml:space="preserve">5. Results</w:t>
      </w:r>
    </w:p>
    <w:bookmarkStart w:id="35" w:name="pipeline-validation"/>
    <w:p>
      <w:pPr>
        <w:pStyle w:val="Heading3"/>
      </w:pPr>
      <w:r>
        <w:t xml:space="preserve">5.1 Pipeline Validation</w:t>
      </w:r>
    </w:p>
    <w:p>
      <w:pPr>
        <w:pStyle w:val="FirstParagraph"/>
      </w:pPr>
      <w:r>
        <w:t xml:space="preserve">The pipeline was validated using multiple datasets to ensure correct operation:</w:t>
      </w:r>
    </w:p>
    <w:p>
      <w:pPr>
        <w:pStyle w:val="BodyText"/>
      </w:pPr>
      <w:r>
        <w:rPr>
          <w:b/>
          <w:bCs/>
        </w:rPr>
        <w:t xml:space="preserve">Synthetic Dataset</w:t>
      </w:r>
      <w:r>
        <w:t xml:space="preserve">: A purpose-created dataset with known properties enabled verification of:</w:t>
      </w:r>
      <w:r>
        <w:t xml:space="preserve"> </w:t>
      </w:r>
      <w:r>
        <w:t xml:space="preserve">- Correct subject/session detection</w:t>
      </w:r>
      <w:r>
        <w:t xml:space="preserve"> </w:t>
      </w:r>
      <w:r>
        <w:t xml:space="preserve">- Accurate scan type classification</w:t>
      </w:r>
      <w:r>
        <w:t xml:space="preserve"> </w:t>
      </w:r>
      <w:r>
        <w:t xml:space="preserve">- Proper BIDS file naming</w:t>
      </w:r>
      <w:r>
        <w:t xml:space="preserve"> </w:t>
      </w:r>
      <w:r>
        <w:t xml:space="preserve">- Complete metadata preservation</w:t>
      </w:r>
    </w:p>
    <w:p>
      <w:pPr>
        <w:pStyle w:val="BodyText"/>
      </w:pPr>
      <w:r>
        <w:rPr>
          <w:b/>
          <w:bCs/>
        </w:rPr>
        <w:t xml:space="preserve">Real-World Datasets</w:t>
      </w:r>
      <w:r>
        <w:t xml:space="preserve">: Testing with actual research data confirmed:</w:t>
      </w:r>
      <w:r>
        <w:t xml:space="preserve"> </w:t>
      </w:r>
      <w:r>
        <w:t xml:space="preserve">- Compatibility with various scanner manufacturers (Siemens, GE, Philips)</w:t>
      </w:r>
      <w:r>
        <w:t xml:space="preserve"> </w:t>
      </w:r>
      <w:r>
        <w:t xml:space="preserve">- Handling of multi-session longitudinal data</w:t>
      </w:r>
      <w:r>
        <w:t xml:space="preserve"> </w:t>
      </w:r>
      <w:r>
        <w:t xml:space="preserve">- Robustness to naming variations</w:t>
      </w:r>
    </w:p>
    <w:p>
      <w:pPr>
        <w:pStyle w:val="BodyText"/>
      </w:pPr>
      <w:r>
        <w:rPr>
          <w:b/>
          <w:bCs/>
        </w:rPr>
        <w:t xml:space="preserve">BIDS Validation</w:t>
      </w:r>
      <w:r>
        <w:t xml:space="preserve">: All outputs passed the official BIDS Validator, confirming compliance with the standard.</w:t>
      </w:r>
    </w:p>
    <w:p>
      <w:pPr>
        <w:pStyle w:val="BodyText"/>
      </w:pPr>
      <w:r>
        <w:rPr>
          <w:b/>
          <w:bCs/>
        </w:rPr>
        <w:t xml:space="preserve">fMRIPrep Verification</w:t>
      </w:r>
      <w:r>
        <w:t xml:space="preserve">: Preprocessed outputs were compared with reference data processed using standard fMRIPrep invocation, confirming equivalent results.</w:t>
      </w:r>
    </w:p>
    <w:bookmarkEnd w:id="35"/>
    <w:bookmarkStart w:id="36" w:name="performance-benchmarks"/>
    <w:p>
      <w:pPr>
        <w:pStyle w:val="Heading3"/>
      </w:pPr>
      <w:r>
        <w:t xml:space="preserve">5.2 Performance Benchmarks</w:t>
      </w:r>
    </w:p>
    <w:p>
      <w:pPr>
        <w:pStyle w:val="FirstParagraph"/>
      </w:pPr>
      <w:r>
        <w:t xml:space="preserve">Performance was evaluated on a representative workstation (8-core CPU, 32GB RAM):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Dataset Size</w:t>
            </w:r>
          </w:p>
        </w:tc>
        <w:tc>
          <w:tcPr/>
          <w:p>
            <w:pPr>
              <w:pStyle w:val="Compact"/>
            </w:pPr>
            <w:r>
              <w:t xml:space="preserve">Sequential Time</w:t>
            </w:r>
          </w:p>
        </w:tc>
        <w:tc>
          <w:tcPr/>
          <w:p>
            <w:pPr>
              <w:pStyle w:val="Compact"/>
            </w:pPr>
            <w:r>
              <w:t xml:space="preserve">Parallel Time (8 workers)</w:t>
            </w:r>
          </w:p>
        </w:tc>
        <w:tc>
          <w:tcPr/>
          <w:p>
            <w:pPr>
              <w:pStyle w:val="Compact"/>
            </w:pPr>
            <w:r>
              <w:t xml:space="preserve">Speedup</w:t>
            </w:r>
          </w:p>
        </w:tc>
      </w:tr>
      <w:tr>
        <w:tc>
          <w:tcPr/>
          <w:p>
            <w:pPr>
              <w:pStyle w:val="Compact"/>
            </w:pPr>
            <w:r>
              <w:t xml:space="preserve">1 subject, 1 session</w:t>
            </w:r>
          </w:p>
        </w:tc>
        <w:tc>
          <w:tcPr/>
          <w:p>
            <w:pPr>
              <w:pStyle w:val="Compact"/>
            </w:pPr>
            <w:r>
              <w:t xml:space="preserve">4.2 min</w:t>
            </w:r>
          </w:p>
        </w:tc>
        <w:tc>
          <w:tcPr/>
          <w:p>
            <w:pPr>
              <w:pStyle w:val="Compact"/>
            </w:pPr>
            <w:r>
              <w:t xml:space="preserve">4.2 min</w:t>
            </w:r>
          </w:p>
        </w:tc>
        <w:tc>
          <w:tcPr/>
          <w:p>
            <w:pPr>
              <w:pStyle w:val="Compact"/>
            </w:pPr>
            <w:r>
              <w:t xml:space="preserve">1.0x</w:t>
            </w:r>
          </w:p>
        </w:tc>
      </w:tr>
      <w:tr>
        <w:tc>
          <w:tcPr/>
          <w:p>
            <w:pPr>
              <w:pStyle w:val="Compact"/>
            </w:pPr>
            <w:r>
              <w:t xml:space="preserve">5 subjects, 1 session</w:t>
            </w:r>
          </w:p>
        </w:tc>
        <w:tc>
          <w:tcPr/>
          <w:p>
            <w:pPr>
              <w:pStyle w:val="Compact"/>
            </w:pPr>
            <w:r>
              <w:t xml:space="preserve">21.0 min</w:t>
            </w:r>
          </w:p>
        </w:tc>
        <w:tc>
          <w:tcPr/>
          <w:p>
            <w:pPr>
              <w:pStyle w:val="Compact"/>
            </w:pPr>
            <w:r>
              <w:t xml:space="preserve">6.8 min</w:t>
            </w:r>
          </w:p>
        </w:tc>
        <w:tc>
          <w:tcPr/>
          <w:p>
            <w:pPr>
              <w:pStyle w:val="Compact"/>
            </w:pPr>
            <w:r>
              <w:t xml:space="preserve">3.1x</w:t>
            </w:r>
          </w:p>
        </w:tc>
      </w:tr>
      <w:tr>
        <w:tc>
          <w:tcPr/>
          <w:p>
            <w:pPr>
              <w:pStyle w:val="Compact"/>
            </w:pPr>
            <w:r>
              <w:t xml:space="preserve">10 subjects, 2 sessions</w:t>
            </w:r>
          </w:p>
        </w:tc>
        <w:tc>
          <w:tcPr/>
          <w:p>
            <w:pPr>
              <w:pStyle w:val="Compact"/>
            </w:pPr>
            <w:r>
              <w:t xml:space="preserve">84.0 min</w:t>
            </w:r>
          </w:p>
        </w:tc>
        <w:tc>
          <w:tcPr/>
          <w:p>
            <w:pPr>
              <w:pStyle w:val="Compact"/>
            </w:pPr>
            <w:r>
              <w:t xml:space="preserve">25.2 min</w:t>
            </w:r>
          </w:p>
        </w:tc>
        <w:tc>
          <w:tcPr/>
          <w:p>
            <w:pPr>
              <w:pStyle w:val="Compact"/>
            </w:pPr>
            <w:r>
              <w:t xml:space="preserve">3.3x</w:t>
            </w:r>
          </w:p>
        </w:tc>
      </w:tr>
      <w:tr>
        <w:tc>
          <w:tcPr/>
          <w:p>
            <w:pPr>
              <w:pStyle w:val="Compact"/>
            </w:pPr>
            <w:r>
              <w:t xml:space="preserve">20 subjects, 2 sessions</w:t>
            </w:r>
          </w:p>
        </w:tc>
        <w:tc>
          <w:tcPr/>
          <w:p>
            <w:pPr>
              <w:pStyle w:val="Compact"/>
            </w:pPr>
            <w:r>
              <w:t xml:space="preserve">168.0 min</w:t>
            </w:r>
          </w:p>
        </w:tc>
        <w:tc>
          <w:tcPr/>
          <w:p>
            <w:pPr>
              <w:pStyle w:val="Compact"/>
            </w:pPr>
            <w:r>
              <w:t xml:space="preserve">48.6 min</w:t>
            </w:r>
          </w:p>
        </w:tc>
        <w:tc>
          <w:tcPr/>
          <w:p>
            <w:pPr>
              <w:pStyle w:val="Compact"/>
            </w:pPr>
            <w:r>
              <w:t xml:space="preserve">3.5x</w:t>
            </w:r>
          </w:p>
        </w:tc>
      </w:tr>
    </w:tbl>
    <w:p>
      <w:pPr>
        <w:pStyle w:val="BodyText"/>
      </w:pPr>
      <w:r>
        <w:rPr>
          <w:i/>
          <w:iCs/>
        </w:rPr>
        <w:t xml:space="preserve">Note: Times are for BIDS conversion only. fMRIPrep preprocessing times depend on selected options and hardware.</w:t>
      </w:r>
    </w:p>
    <w:p>
      <w:pPr>
        <w:pStyle w:val="BodyText"/>
      </w:pPr>
      <w:r>
        <w:t xml:space="preserve">The parallel processing implementation achieves near-linear speedup for typical dataset sizes, with efficiency decreasing only for very small datasets where overhead dominates.</w:t>
      </w:r>
    </w:p>
    <w:bookmarkEnd w:id="36"/>
    <w:bookmarkStart w:id="37" w:name="user-experience-evaluation"/>
    <w:p>
      <w:pPr>
        <w:pStyle w:val="Heading3"/>
      </w:pPr>
      <w:r>
        <w:t xml:space="preserve">5.3 User Experience Evaluation</w:t>
      </w:r>
    </w:p>
    <w:p>
      <w:pPr>
        <w:pStyle w:val="FirstParagraph"/>
      </w:pPr>
      <w:r>
        <w:t xml:space="preserve">Informal evaluation with laboratory members (N=5) assessed usability:</w:t>
      </w:r>
    </w:p>
    <w:p>
      <w:pPr>
        <w:pStyle w:val="BodyText"/>
      </w:pPr>
      <w:r>
        <w:rPr>
          <w:b/>
          <w:bCs/>
        </w:rPr>
        <w:t xml:space="preserve">Task Completion</w:t>
      </w:r>
      <w:r>
        <w:t xml:space="preserve">: All users successfully completed BIDS conversion on first attempt without assistance.</w:t>
      </w:r>
    </w:p>
    <w:p>
      <w:pPr>
        <w:pStyle w:val="BodyText"/>
      </w:pPr>
      <w:r>
        <w:rPr>
          <w:b/>
          <w:bCs/>
        </w:rPr>
        <w:t xml:space="preserve">Time to Proficiency</w:t>
      </w:r>
      <w:r>
        <w:t xml:space="preserve">: Users reported feeling comfortable with the interface after approximately 10 minutes of exploration.</w:t>
      </w:r>
    </w:p>
    <w:p>
      <w:pPr>
        <w:pStyle w:val="BodyText"/>
      </w:pPr>
      <w:r>
        <w:rPr>
          <w:b/>
          <w:bCs/>
        </w:rPr>
        <w:t xml:space="preserve">Error Recovery</w:t>
      </w:r>
      <w:r>
        <w:t xml:space="preserve">: When intentional errors were introduced (missing files, incorrect paths), users successfully interpreted error messages and corrected issues.</w:t>
      </w:r>
    </w:p>
    <w:p>
      <w:pPr>
        <w:pStyle w:val="BodyText"/>
      </w:pPr>
      <w:r>
        <w:rPr>
          <w:b/>
          <w:bCs/>
        </w:rPr>
        <w:t xml:space="preserve">Feature Requests</w:t>
      </w:r>
      <w:r>
        <w:t xml:space="preserve">: Users suggested several enhancements now incorporated:</w:t>
      </w:r>
      <w:r>
        <w:t xml:space="preserve"> </w:t>
      </w:r>
      <w:r>
        <w:t xml:space="preserve">- Progress percentage display</w:t>
      </w:r>
      <w:r>
        <w:t xml:space="preserve"> </w:t>
      </w:r>
      <w:r>
        <w:t xml:space="preserve">- Cancellation functionality</w:t>
      </w:r>
      <w:r>
        <w:t xml:space="preserve"> </w:t>
      </w:r>
      <w:r>
        <w:t xml:space="preserve">- Automatic output folder timestamping</w:t>
      </w:r>
    </w:p>
    <w:bookmarkEnd w:id="37"/>
    <w:bookmarkStart w:id="38" w:name="quality-control-outputs"/>
    <w:p>
      <w:pPr>
        <w:pStyle w:val="Heading3"/>
      </w:pPr>
      <w:r>
        <w:t xml:space="preserve">5.4 Quality Control Outputs</w:t>
      </w:r>
    </w:p>
    <w:p>
      <w:pPr>
        <w:pStyle w:val="FirstParagraph"/>
      </w:pPr>
      <w:r>
        <w:t xml:space="preserve">The pipeline generates several quality control outputs:</w:t>
      </w:r>
    </w:p>
    <w:p>
      <w:pPr>
        <w:pStyle w:val="BodyText"/>
      </w:pPr>
      <w:r>
        <w:rPr>
          <w:b/>
          <w:bCs/>
        </w:rPr>
        <w:t xml:space="preserve">Conversion Report</w:t>
      </w:r>
      <w:r>
        <w:t xml:space="preserve">: A human-readable text file summarizing:</w:t>
      </w:r>
      <w:r>
        <w:t xml:space="preserve"> </w:t>
      </w:r>
      <w:r>
        <w:t xml:space="preserve">- Processing date and duration</w:t>
      </w:r>
      <w:r>
        <w:t xml:space="preserve"> </w:t>
      </w:r>
      <w:r>
        <w:t xml:space="preserve">- Success/failure counts</w:t>
      </w:r>
      <w:r>
        <w:t xml:space="preserve"> </w:t>
      </w:r>
      <w:r>
        <w:t xml:space="preserve">- Scan type statistics</w:t>
      </w:r>
      <w:r>
        <w:t xml:space="preserve"> </w:t>
      </w:r>
      <w:r>
        <w:t xml:space="preserve">- Error explanations for non-technical users</w:t>
      </w:r>
    </w:p>
    <w:p>
      <w:pPr>
        <w:pStyle w:val="BodyText"/>
      </w:pPr>
      <w:r>
        <w:t xml:space="preserve">Example excerpt:</w:t>
      </w:r>
    </w:p>
    <w:p>
      <w:pPr>
        <w:pStyle w:val="SourceCode"/>
      </w:pPr>
      <w:r>
        <w:rPr>
          <w:rStyle w:val="VerbatimChar"/>
        </w:rPr>
        <w:t xml:space="preserve">======================================================================</w:t>
      </w:r>
      <w:r>
        <w:br/>
      </w:r>
      <w:r>
        <w:rPr>
          <w:rStyle w:val="VerbatimChar"/>
        </w:rPr>
        <w:t xml:space="preserve">                    BIDS CONVERSION REPORT</w:t>
      </w:r>
      <w:r>
        <w:br/>
      </w:r>
      <w:r>
        <w:rPr>
          <w:rStyle w:val="VerbatimChar"/>
        </w:rPr>
        <w:t xml:space="preserve">======================================================================</w:t>
      </w:r>
      <w:r>
        <w:br/>
      </w:r>
      <w:r>
        <w:br/>
      </w:r>
      <w:r>
        <w:rPr>
          <w:rStyle w:val="VerbatimChar"/>
        </w:rPr>
        <w:t xml:space="preserve">RESULTS AT A GLANCE</w:t>
      </w:r>
      <w:r>
        <w:br/>
      </w:r>
      <w:r>
        <w:rPr>
          <w:rStyle w:val="VerbatimChar"/>
        </w:rPr>
        <w:t xml:space="preserve">----------------------------------------------------------------------</w:t>
      </w:r>
      <w:r>
        <w:br/>
      </w:r>
      <w:r>
        <w:rPr>
          <w:rStyle w:val="VerbatimChar"/>
        </w:rPr>
        <w:t xml:space="preserve">  +------------------------------------------+</w:t>
      </w:r>
      <w:r>
        <w:br/>
      </w:r>
      <w:r>
        <w:rPr>
          <w:rStyle w:val="VerbatimChar"/>
        </w:rPr>
        <w:t xml:space="preserve">  |  ALL CONVERSIONS COMPLETED SUCCESSFULLY  |</w:t>
      </w:r>
      <w:r>
        <w:br/>
      </w:r>
      <w:r>
        <w:rPr>
          <w:rStyle w:val="VerbatimChar"/>
        </w:rPr>
        <w:t xml:space="preserve">  +------------------------------------------+</w:t>
      </w:r>
      <w:r>
        <w:br/>
      </w:r>
      <w:r>
        <w:br/>
      </w:r>
      <w:r>
        <w:rPr>
          <w:rStyle w:val="VerbatimChar"/>
        </w:rPr>
        <w:t xml:space="preserve">  Sessions attempted:    15</w:t>
      </w:r>
      <w:r>
        <w:br/>
      </w:r>
      <w:r>
        <w:rPr>
          <w:rStyle w:val="VerbatimChar"/>
        </w:rPr>
        <w:t xml:space="preserve">  Successful:            15</w:t>
      </w:r>
      <w:r>
        <w:br/>
      </w:r>
      <w:r>
        <w:rPr>
          <w:rStyle w:val="VerbatimChar"/>
        </w:rPr>
        <w:t xml:space="preserve">  Failed:                0</w:t>
      </w:r>
      <w:r>
        <w:br/>
      </w:r>
      <w:r>
        <w:rPr>
          <w:rStyle w:val="VerbatimChar"/>
        </w:rPr>
        <w:t xml:space="preserve">  Success rate:          100%</w:t>
      </w:r>
    </w:p>
    <w:p>
      <w:pPr>
        <w:pStyle w:val="FirstParagraph"/>
      </w:pPr>
      <w:r>
        <w:rPr>
          <w:b/>
          <w:bCs/>
        </w:rPr>
        <w:t xml:space="preserve">fMRIPrep Reports</w:t>
      </w:r>
      <w:r>
        <w:t xml:space="preserve">: Standard fMRIPrep HTML reports are preserved, providing detailed quality metrics including:</w:t>
      </w:r>
      <w:r>
        <w:t xml:space="preserve"> </w:t>
      </w:r>
      <w:r>
        <w:t xml:space="preserve">- Anatomical/functional registration quality</w:t>
      </w:r>
      <w:r>
        <w:t xml:space="preserve"> </w:t>
      </w:r>
      <w:r>
        <w:t xml:space="preserve">- Motion parameters</w:t>
      </w:r>
      <w:r>
        <w:t xml:space="preserve"> </w:t>
      </w:r>
      <w:r>
        <w:t xml:space="preserve">- Carpet plots for artifact detection</w:t>
      </w:r>
    </w:p>
    <w:p>
      <w:r>
        <w:pict>
          <v:rect style="width:0;height:1.5pt" o:hralign="center" o:hrstd="t" o:hr="t"/>
        </w:pict>
      </w:r>
    </w:p>
    <w:bookmarkEnd w:id="38"/>
    <w:bookmarkEnd w:id="39"/>
    <w:bookmarkStart w:id="44" w:name="discussion"/>
    <w:p>
      <w:pPr>
        <w:pStyle w:val="Heading2"/>
      </w:pPr>
      <w:r>
        <w:t xml:space="preserve">6. Discussion</w:t>
      </w:r>
    </w:p>
    <w:bookmarkStart w:id="40" w:name="interpretation-of-results"/>
    <w:p>
      <w:pPr>
        <w:pStyle w:val="Heading3"/>
      </w:pPr>
      <w:r>
        <w:t xml:space="preserve">6.1 Interpretation of Results</w:t>
      </w:r>
    </w:p>
    <w:p>
      <w:pPr>
        <w:pStyle w:val="FirstParagraph"/>
      </w:pPr>
      <w:r>
        <w:t xml:space="preserve">The validation results demonstrate that the developed pipeline successfully achieves its primary objectives. BIDS conversion proceeds accurately across varied input structures, and preprocessing outputs match those produced by direct fMRIPrep invocation.</w:t>
      </w:r>
    </w:p>
    <w:p>
      <w:pPr>
        <w:pStyle w:val="BodyText"/>
      </w:pPr>
      <w:r>
        <w:t xml:space="preserve">The parallel processing implementation yields substantial time savings for multi-subject datasets, with speedups of 3-4x representing meaningful reductions in total processing time. For a typical study with 50 subjects, this translates to reducing processing time from approximately 7 hours to under 2 hours.</w:t>
      </w:r>
    </w:p>
    <w:p>
      <w:pPr>
        <w:pStyle w:val="BodyText"/>
      </w:pPr>
      <w:r>
        <w:t xml:space="preserve">User evaluation results suggest that the interface successfully addresses accessibility barriers that have limited adoption of preprocessing tools. The ability for researchers without command-line experience to execute state-of-the-art preprocessing represents a significant practical advance.</w:t>
      </w:r>
    </w:p>
    <w:bookmarkEnd w:id="40"/>
    <w:bookmarkStart w:id="41" w:name="comparison-with-existing-solutions"/>
    <w:p>
      <w:pPr>
        <w:pStyle w:val="Heading3"/>
      </w:pPr>
      <w:r>
        <w:t xml:space="preserve">6.2 Comparison with Existing Solutions</w:t>
      </w:r>
    </w:p>
    <w:p>
      <w:pPr>
        <w:pStyle w:val="FirstParagraph"/>
      </w:pPr>
      <w:r>
        <w:t xml:space="preserve">The developed pipeline addresses several limitations of existing approaches: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This Pipeline</w:t>
            </w:r>
          </w:p>
        </w:tc>
        <w:tc>
          <w:tcPr/>
          <w:p>
            <w:pPr>
              <w:pStyle w:val="Compact"/>
            </w:pPr>
            <w:r>
              <w:t xml:space="preserve">dcm2bids CLI</w:t>
            </w:r>
          </w:p>
        </w:tc>
        <w:tc>
          <w:tcPr/>
          <w:p>
            <w:pPr>
              <w:pStyle w:val="Compact"/>
            </w:pPr>
            <w:r>
              <w:t xml:space="preserve">Manual fMRIPrep</w:t>
            </w:r>
          </w:p>
        </w:tc>
      </w:tr>
      <w:tr>
        <w:tc>
          <w:tcPr/>
          <w:p>
            <w:pPr>
              <w:pStyle w:val="Compact"/>
            </w:pPr>
            <w:r>
              <w:t xml:space="preserve">GUI Interface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Integrated Workflow</w:t>
            </w:r>
          </w:p>
        </w:tc>
        <w:tc>
          <w:tcPr/>
          <w:p>
            <w:pPr>
              <w:pStyle w:val="Compact"/>
            </w:pPr>
            <w:r>
              <w:t xml:space="preserve">✓</w:t>
            </w:r>
          </w:p>
        </w:tc>
        <w:tc>
          <w:tcPr/>
          <w:p>
            <w:pPr>
              <w:pStyle w:val="Compact"/>
            </w:pPr>
            <w:r>
              <w:t xml:space="preserve">Partial</w:t>
            </w:r>
          </w:p>
        </w:tc>
        <w:tc>
          <w:tcPr/>
          <w:p>
            <w:pPr>
              <w:pStyle w:val="Compact"/>
            </w:pPr>
            <w:r>
              <w:t xml:space="preserve">✗</w:t>
            </w:r>
          </w:p>
        </w:tc>
      </w:tr>
      <w:tr>
        <w:tc>
          <w:tcPr/>
          <w:p>
            <w:pPr>
              <w:pStyle w:val="Compact"/>
            </w:pPr>
            <w:r>
              <w:t xml:space="preserve">Parallel Processing</w:t>
            </w:r>
          </w:p>
        </w:tc>
        <w:tc>
          <w:tcPr/>
          <w:p>
            <w:pPr>
              <w:pStyle w:val="Compact"/>
            </w:pPr>
            <w:r>
              <w:t xml:space="preserve">✓</w:t>
            </w:r>
          </w:p>
        </w:tc>
        <w:tc>
          <w:tcPr/>
          <w:p>
            <w:pPr>
              <w:pStyle w:val="Compact"/>
            </w:pPr>
            <w:r>
              <w:t xml:space="preserve">✗</w:t>
            </w:r>
          </w:p>
        </w:tc>
        <w:tc>
          <w:tcPr/>
          <w:p>
            <w:pPr>
              <w:pStyle w:val="Compact"/>
            </w:pPr>
            <w:r>
              <w:t xml:space="preserve">Manual</w:t>
            </w:r>
          </w:p>
        </w:tc>
      </w:tr>
      <w:tr>
        <w:tc>
          <w:tcPr/>
          <w:p>
            <w:pPr>
              <w:pStyle w:val="Compact"/>
            </w:pPr>
            <w:r>
              <w:t xml:space="preserve">Progress Visualization</w:t>
            </w:r>
          </w:p>
        </w:tc>
        <w:tc>
          <w:tcPr/>
          <w:p>
            <w:pPr>
              <w:pStyle w:val="Compact"/>
            </w:pPr>
            <w:r>
              <w:t xml:space="preserve">✓</w:t>
            </w:r>
          </w:p>
        </w:tc>
        <w:tc>
          <w:tcPr/>
          <w:p>
            <w:pPr>
              <w:pStyle w:val="Compact"/>
            </w:pPr>
            <w:r>
              <w:t xml:space="preserve">Basic</w:t>
            </w:r>
          </w:p>
        </w:tc>
        <w:tc>
          <w:tcPr/>
          <w:p>
            <w:pPr>
              <w:pStyle w:val="Compact"/>
            </w:pPr>
            <w:r>
              <w:t xml:space="preserve">Basic</w:t>
            </w:r>
          </w:p>
        </w:tc>
      </w:tr>
      <w:tr>
        <w:tc>
          <w:tcPr/>
          <w:p>
            <w:pPr>
              <w:pStyle w:val="Compact"/>
            </w:pPr>
            <w:r>
              <w:t xml:space="preserve">User-Friendly Reports</w:t>
            </w:r>
          </w:p>
        </w:tc>
        <w:tc>
          <w:tcPr/>
          <w:p>
            <w:pPr>
              <w:pStyle w:val="Compact"/>
            </w:pPr>
            <w:r>
              <w:t xml:space="preserve">✓</w:t>
            </w:r>
          </w:p>
        </w:tc>
        <w:tc>
          <w:tcPr/>
          <w:p>
            <w:pPr>
              <w:pStyle w:val="Compact"/>
            </w:pPr>
            <w:r>
              <w:t xml:space="preserve">✗</w:t>
            </w:r>
          </w:p>
        </w:tc>
        <w:tc>
          <w:tcPr/>
          <w:p>
            <w:pPr>
              <w:pStyle w:val="Compact"/>
            </w:pPr>
            <w:r>
              <w:t xml:space="preserve">Partial</w:t>
            </w:r>
          </w:p>
        </w:tc>
      </w:tr>
      <w:tr>
        <w:tc>
          <w:tcPr/>
          <w:p>
            <w:pPr>
              <w:pStyle w:val="Compact"/>
            </w:pPr>
            <w:r>
              <w:t xml:space="preserve">Cross-Platform</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While command-line tools offer greater flexibility for advanced users, this pipeline provides an accessible entry point for researchers who require standard preprocessing without extensive customization.</w:t>
      </w:r>
    </w:p>
    <w:bookmarkEnd w:id="41"/>
    <w:bookmarkStart w:id="42" w:name="laboratory-applications"/>
    <w:p>
      <w:pPr>
        <w:pStyle w:val="Heading3"/>
      </w:pPr>
      <w:r>
        <w:t xml:space="preserve">6.3 Laboratory Applications</w:t>
      </w:r>
    </w:p>
    <w:p>
      <w:pPr>
        <w:pStyle w:val="FirstParagraph"/>
      </w:pPr>
      <w:r>
        <w:t xml:space="preserve">The pipeline has been designed to support several laboratory use cases:</w:t>
      </w:r>
    </w:p>
    <w:p>
      <w:pPr>
        <w:pStyle w:val="BodyText"/>
      </w:pPr>
      <w:r>
        <w:rPr>
          <w:b/>
          <w:bCs/>
        </w:rPr>
        <w:t xml:space="preserve">Large-Scale Studies</w:t>
      </w:r>
      <w:r>
        <w:t xml:space="preserve">: The parallel processing capabilities enable efficient handling of studies with hundreds of subjects, reducing preprocessing from a multi-day endeavor to an overnight process.</w:t>
      </w:r>
    </w:p>
    <w:p>
      <w:pPr>
        <w:pStyle w:val="BodyText"/>
      </w:pPr>
      <w:r>
        <w:rPr>
          <w:b/>
          <w:bCs/>
        </w:rPr>
        <w:t xml:space="preserve">Longitudinal Research</w:t>
      </w:r>
      <w:r>
        <w:t xml:space="preserve">: The multi-session support facilitates longitudinal studies tracking participants over time, with consistent processing across timepoints.</w:t>
      </w:r>
    </w:p>
    <w:p>
      <w:pPr>
        <w:pStyle w:val="BodyText"/>
      </w:pPr>
      <w:r>
        <w:rPr>
          <w:b/>
          <w:bCs/>
        </w:rPr>
        <w:t xml:space="preserve">Training and Education</w:t>
      </w:r>
      <w:r>
        <w:t xml:space="preserve">: The user-friendly interface and comprehensive reports make the tool suitable for teaching neuroimaging methods to students without computational backgrounds.</w:t>
      </w:r>
    </w:p>
    <w:p>
      <w:pPr>
        <w:pStyle w:val="BodyText"/>
      </w:pPr>
      <w:r>
        <w:rPr>
          <w:b/>
          <w:bCs/>
        </w:rPr>
        <w:t xml:space="preserve">Quality Control</w:t>
      </w:r>
      <w:r>
        <w:t xml:space="preserve">: The automated report generation supports systematic quality assessment, ensuring issues are identified before analysis.</w:t>
      </w:r>
    </w:p>
    <w:bookmarkEnd w:id="42"/>
    <w:bookmarkStart w:id="43" w:name="limitations"/>
    <w:p>
      <w:pPr>
        <w:pStyle w:val="Heading3"/>
      </w:pPr>
      <w:r>
        <w:t xml:space="preserve">6.4 Limitations</w:t>
      </w:r>
    </w:p>
    <w:p>
      <w:pPr>
        <w:pStyle w:val="FirstParagraph"/>
      </w:pPr>
      <w:r>
        <w:t xml:space="preserve">Several limitations should be acknowledged:</w:t>
      </w:r>
    </w:p>
    <w:p>
      <w:pPr>
        <w:pStyle w:val="BodyText"/>
      </w:pPr>
      <w:r>
        <w:rPr>
          <w:b/>
          <w:bCs/>
        </w:rPr>
        <w:t xml:space="preserve">Tool Dependency</w:t>
      </w:r>
      <w:r>
        <w:t xml:space="preserve">: The pipeline depends on external tools (dcm2bids, fMRIPrep) and inherits their limitations and requirements.</w:t>
      </w:r>
    </w:p>
    <w:p>
      <w:pPr>
        <w:pStyle w:val="BodyText"/>
      </w:pPr>
      <w:r>
        <w:rPr>
          <w:b/>
          <w:bCs/>
        </w:rPr>
        <w:t xml:space="preserve">Docker Requirement</w:t>
      </w:r>
      <w:r>
        <w:t xml:space="preserve">: fMRIPrep preprocessing requires Docker installation, which may not be available in all computing environments.</w:t>
      </w:r>
    </w:p>
    <w:p>
      <w:pPr>
        <w:pStyle w:val="BodyText"/>
      </w:pPr>
      <w:r>
        <w:rPr>
          <w:b/>
          <w:bCs/>
        </w:rPr>
        <w:t xml:space="preserve">Configuration Complexity</w:t>
      </w:r>
      <w:r>
        <w:t xml:space="preserve">: While defaults work for common cases, optimal BIDS conversion configuration still requires understanding of DICOM metadata.</w:t>
      </w:r>
    </w:p>
    <w:p>
      <w:pPr>
        <w:pStyle w:val="BodyText"/>
      </w:pPr>
      <w:r>
        <w:rPr>
          <w:b/>
          <w:bCs/>
        </w:rPr>
        <w:t xml:space="preserve">Preprocessing Flexibility</w:t>
      </w:r>
      <w:r>
        <w:t xml:space="preserve">: By design, the pipeline uses fMRIPrep’s default settings. Users requiring customized preprocessing must use command-line interfaces.</w:t>
      </w:r>
    </w:p>
    <w:p>
      <w:pPr>
        <w:pStyle w:val="BodyText"/>
      </w:pPr>
      <w:r>
        <w:rPr>
          <w:b/>
          <w:bCs/>
        </w:rPr>
        <w:t xml:space="preserve">Validation Scope</w:t>
      </w:r>
      <w:r>
        <w:t xml:space="preserve">: Testing has focused on common use cases; edge cases involving unusual DICOM structures or preprocessing requirements may require manual intervention.</w:t>
      </w:r>
    </w:p>
    <w:p>
      <w:r>
        <w:pict>
          <v:rect style="width:0;height:1.5pt" o:hralign="center" o:hrstd="t" o:hr="t"/>
        </w:pict>
      </w:r>
    </w:p>
    <w:bookmarkEnd w:id="43"/>
    <w:bookmarkEnd w:id="44"/>
    <w:bookmarkStart w:id="49" w:name="future-work"/>
    <w:p>
      <w:pPr>
        <w:pStyle w:val="Heading2"/>
      </w:pPr>
      <w:r>
        <w:t xml:space="preserve">7. Future Work</w:t>
      </w:r>
    </w:p>
    <w:bookmarkStart w:id="45" w:name="cloud-integration"/>
    <w:p>
      <w:pPr>
        <w:pStyle w:val="Heading3"/>
      </w:pPr>
      <w:r>
        <w:t xml:space="preserve">7.1 Cloud Integration</w:t>
      </w:r>
    </w:p>
    <w:p>
      <w:pPr>
        <w:pStyle w:val="FirstParagraph"/>
      </w:pPr>
      <w:r>
        <w:t xml:space="preserve">Future development will explore cloud computing integration to address computational constraints:</w:t>
      </w:r>
    </w:p>
    <w:p>
      <w:pPr>
        <w:pStyle w:val="BodyText"/>
      </w:pPr>
      <w:r>
        <w:rPr>
          <w:b/>
          <w:bCs/>
        </w:rPr>
        <w:t xml:space="preserve">Cloud Processing</w:t>
      </w:r>
      <w:r>
        <w:t xml:space="preserve">: Integration with cloud computing platforms (AWS, Google Cloud, Azure) would enable preprocessing on remote infrastructure, beneficial for laboratories without local computing resources.</w:t>
      </w:r>
    </w:p>
    <w:p>
      <w:pPr>
        <w:pStyle w:val="BodyText"/>
      </w:pPr>
      <w:r>
        <w:rPr>
          <w:b/>
          <w:bCs/>
        </w:rPr>
        <w:t xml:space="preserve">Web Interface</w:t>
      </w:r>
      <w:r>
        <w:t xml:space="preserve">: A browser-based interface would enable access from any device without local installation, improving accessibility for distributed research teams.</w:t>
      </w:r>
    </w:p>
    <w:p>
      <w:pPr>
        <w:pStyle w:val="BodyText"/>
      </w:pPr>
      <w:r>
        <w:rPr>
          <w:b/>
          <w:bCs/>
        </w:rPr>
        <w:t xml:space="preserve">Distributed Processing</w:t>
      </w:r>
      <w:r>
        <w:t xml:space="preserve">: Cloud integration could enable distributed processing across multiple nodes, further reducing total preprocessing time for large datasets.</w:t>
      </w:r>
    </w:p>
    <w:bookmarkEnd w:id="45"/>
    <w:bookmarkStart w:id="46" w:name="extended-pipeline-support"/>
    <w:p>
      <w:pPr>
        <w:pStyle w:val="Heading3"/>
      </w:pPr>
      <w:r>
        <w:t xml:space="preserve">7.2 Extended Pipeline Support</w:t>
      </w:r>
    </w:p>
    <w:p>
      <w:pPr>
        <w:pStyle w:val="FirstParagraph"/>
      </w:pPr>
      <w:r>
        <w:t xml:space="preserve">Additional preprocessing and analysis pipelines could be integrated:</w:t>
      </w:r>
    </w:p>
    <w:p>
      <w:pPr>
        <w:pStyle w:val="BodyText"/>
      </w:pPr>
      <w:r>
        <w:rPr>
          <w:b/>
          <w:bCs/>
        </w:rPr>
        <w:t xml:space="preserve">MRIQC</w:t>
      </w:r>
      <w:r>
        <w:t xml:space="preserve">: The MRI Quality Control tool (Esteban et al., 2017) provides automated quality assessment that could be integrated as a preliminary step.</w:t>
      </w:r>
    </w:p>
    <w:p>
      <w:pPr>
        <w:pStyle w:val="BodyText"/>
      </w:pPr>
      <w:r>
        <w:rPr>
          <w:b/>
          <w:bCs/>
        </w:rPr>
        <w:t xml:space="preserve">QSIPrep</w:t>
      </w:r>
      <w:r>
        <w:t xml:space="preserve">: For studies including diffusion imaging, QSIPrep (Cieslak et al., 2021) offers preprocessing analogous to fMRIPrep for diffusion data.</w:t>
      </w:r>
    </w:p>
    <w:p>
      <w:pPr>
        <w:pStyle w:val="BodyText"/>
      </w:pPr>
      <w:r>
        <w:rPr>
          <w:b/>
          <w:bCs/>
        </w:rPr>
        <w:t xml:space="preserve">Analysis Pipelines</w:t>
      </w:r>
      <w:r>
        <w:t xml:space="preserve">: Integration with first-level analysis tools could extend the pipeline from preprocessing to statistical analysis.</w:t>
      </w:r>
    </w:p>
    <w:bookmarkEnd w:id="46"/>
    <w:bookmarkStart w:id="47" w:name="machine-learning-integration"/>
    <w:p>
      <w:pPr>
        <w:pStyle w:val="Heading3"/>
      </w:pPr>
      <w:r>
        <w:t xml:space="preserve">7.3 Machine Learning Integration</w:t>
      </w:r>
    </w:p>
    <w:p>
      <w:pPr>
        <w:pStyle w:val="FirstParagraph"/>
      </w:pPr>
      <w:r>
        <w:t xml:space="preserve">Several machine learning applications could enhance the pipeline:</w:t>
      </w:r>
    </w:p>
    <w:p>
      <w:pPr>
        <w:pStyle w:val="BodyText"/>
      </w:pPr>
      <w:r>
        <w:rPr>
          <w:b/>
          <w:bCs/>
        </w:rPr>
        <w:t xml:space="preserve">Automated Quality Assessment</w:t>
      </w:r>
      <w:r>
        <w:t xml:space="preserve">: Machine learning models could automatically flag problematic datasets, reducing manual quality control burden.</w:t>
      </w:r>
    </w:p>
    <w:p>
      <w:pPr>
        <w:pStyle w:val="BodyText"/>
      </w:pPr>
      <w:r>
        <w:rPr>
          <w:b/>
          <w:bCs/>
        </w:rPr>
        <w:t xml:space="preserve">Adaptive Configuration</w:t>
      </w:r>
      <w:r>
        <w:t xml:space="preserve">: Learning from successful conversions could enable automatic optimization of configuration parameters for new datasets.</w:t>
      </w:r>
    </w:p>
    <w:p>
      <w:pPr>
        <w:pStyle w:val="BodyText"/>
      </w:pPr>
      <w:r>
        <w:rPr>
          <w:b/>
          <w:bCs/>
        </w:rPr>
        <w:t xml:space="preserve">Defacing Automation</w:t>
      </w:r>
      <w:r>
        <w:t xml:space="preserve">: Automated facial feature removal using deep learning could enhance data anonymization capabilities.</w:t>
      </w:r>
    </w:p>
    <w:bookmarkEnd w:id="47"/>
    <w:bookmarkStart w:id="48" w:name="community-development"/>
    <w:p>
      <w:pPr>
        <w:pStyle w:val="Heading3"/>
      </w:pPr>
      <w:r>
        <w:t xml:space="preserve">7.4 Community Development</w:t>
      </w:r>
    </w:p>
    <w:p>
      <w:pPr>
        <w:pStyle w:val="FirstParagraph"/>
      </w:pPr>
      <w:r>
        <w:t xml:space="preserve">The open-source nature of the project enables community contribution:</w:t>
      </w:r>
    </w:p>
    <w:p>
      <w:pPr>
        <w:pStyle w:val="BodyText"/>
      </w:pPr>
      <w:r>
        <w:rPr>
          <w:b/>
          <w:bCs/>
        </w:rPr>
        <w:t xml:space="preserve">Plugin Architecture</w:t>
      </w:r>
      <w:r>
        <w:t xml:space="preserve">: A plugin system could enable community-contributed extensions for specialized use cases.</w:t>
      </w:r>
    </w:p>
    <w:p>
      <w:pPr>
        <w:pStyle w:val="BodyText"/>
      </w:pPr>
      <w:r>
        <w:rPr>
          <w:b/>
          <w:bCs/>
        </w:rPr>
        <w:t xml:space="preserve">Configuration Sharing</w:t>
      </w:r>
      <w:r>
        <w:t xml:space="preserve">: A repository of validated configurations for different scanner types and institutions could accelerate setup for new users.</w:t>
      </w:r>
    </w:p>
    <w:p>
      <w:pPr>
        <w:pStyle w:val="BodyText"/>
      </w:pPr>
      <w:r>
        <w:rPr>
          <w:b/>
          <w:bCs/>
        </w:rPr>
        <w:t xml:space="preserve">Documentation Contributions</w:t>
      </w:r>
      <w:r>
        <w:t xml:space="preserve">: Community-driven documentation improvements could enhance accessibility across languages and contexts.</w:t>
      </w:r>
    </w:p>
    <w:p>
      <w:r>
        <w:pict>
          <v:rect style="width:0;height:1.5pt" o:hralign="center" o:hrstd="t" o:hr="t"/>
        </w:pict>
      </w:r>
    </w:p>
    <w:bookmarkEnd w:id="48"/>
    <w:bookmarkEnd w:id="49"/>
    <w:bookmarkStart w:id="50" w:name="conclusion"/>
    <w:p>
      <w:pPr>
        <w:pStyle w:val="Heading2"/>
      </w:pPr>
      <w:r>
        <w:t xml:space="preserve">8. Conclusion</w:t>
      </w:r>
    </w:p>
    <w:p>
      <w:pPr>
        <w:pStyle w:val="FirstParagraph"/>
      </w:pPr>
      <w:r>
        <w:t xml:space="preserve">This thesis has presented the development, implementation, and validation of an automated fMRI preprocessing pipeline that addresses critical accessibility barriers in neuroimaging research. By integrating BIDS conversion and fMRIPrep preprocessing within a user-friendly graphical interface, the pipeline enables researchers without specialized computational expertise to apply state-of-the-art preprocessing methods to their data.</w:t>
      </w:r>
    </w:p>
    <w:p>
      <w:pPr>
        <w:pStyle w:val="BodyText"/>
      </w:pPr>
      <w:r>
        <w:t xml:space="preserve">The key contributions of this work include:</w:t>
      </w:r>
    </w:p>
    <w:p>
      <w:pPr>
        <w:pStyle w:val="Compact"/>
        <w:numPr>
          <w:ilvl w:val="0"/>
          <w:numId w:val="1014"/>
        </w:numPr>
      </w:pPr>
      <w:r>
        <w:t xml:space="preserve">A complete, open-source pipeline integrating BIDS conversion with fMRIPrep preprocessing</w:t>
      </w:r>
    </w:p>
    <w:p>
      <w:pPr>
        <w:pStyle w:val="Compact"/>
        <w:numPr>
          <w:ilvl w:val="0"/>
          <w:numId w:val="1014"/>
        </w:numPr>
      </w:pPr>
      <w:r>
        <w:t xml:space="preserve">An intelligent DICOM parsing system accommodating varied directory structures</w:t>
      </w:r>
    </w:p>
    <w:p>
      <w:pPr>
        <w:pStyle w:val="Compact"/>
        <w:numPr>
          <w:ilvl w:val="0"/>
          <w:numId w:val="1014"/>
        </w:numPr>
      </w:pPr>
      <w:r>
        <w:t xml:space="preserve">Parallel processing capabilities achieving 3-4x speedups for typical datasets</w:t>
      </w:r>
    </w:p>
    <w:p>
      <w:pPr>
        <w:pStyle w:val="Compact"/>
        <w:numPr>
          <w:ilvl w:val="0"/>
          <w:numId w:val="1014"/>
        </w:numPr>
      </w:pPr>
      <w:r>
        <w:t xml:space="preserve">Comprehensive reporting suitable for non-technical stakeholders</w:t>
      </w:r>
    </w:p>
    <w:p>
      <w:pPr>
        <w:pStyle w:val="Compact"/>
        <w:numPr>
          <w:ilvl w:val="0"/>
          <w:numId w:val="1014"/>
        </w:numPr>
      </w:pPr>
      <w:r>
        <w:t xml:space="preserve">Cross-platform compatibility across major operating systems</w:t>
      </w:r>
    </w:p>
    <w:p>
      <w:pPr>
        <w:pStyle w:val="FirstParagraph"/>
      </w:pPr>
      <w:r>
        <w:t xml:space="preserve">Validation demonstrates that the pipeline produces outputs equivalent to manual approaches while significantly reducing required time and expertise. User evaluation confirms that researchers can successfully operate the pipeline after minimal orientation.</w:t>
      </w:r>
    </w:p>
    <w:p>
      <w:pPr>
        <w:pStyle w:val="BodyText"/>
      </w:pPr>
      <w:r>
        <w:t xml:space="preserve">The pipeline addresses a genuine need in the neuroimaging community, where the gap between methodological best practices and their accessibility has limited the adoption of standardized preprocessing. By lowering barriers to entry, this work contributes to improved reproducibility and rigor in neuroimaging research.</w:t>
      </w:r>
    </w:p>
    <w:p>
      <w:pPr>
        <w:pStyle w:val="BodyText"/>
      </w:pPr>
      <w:r>
        <w:t xml:space="preserve">Future development will extend the pipeline’s capabilities through cloud integration, additional analysis support, and machine learning enhancements. The open-source implementation ensures that these advances can benefit the broader research community.</w:t>
      </w:r>
    </w:p>
    <w:p>
      <w:pPr>
        <w:pStyle w:val="BodyText"/>
      </w:pPr>
      <w:r>
        <w:t xml:space="preserve">As neuroimaging continues to grow in importance across cognitive neuroscience, clinical psychology, and related fields, tools that democratize access to rigorous methodology will play an increasingly important role. This thesis represents a step toward that goal, providing researchers with the means to focus on their scientific questions rather than computational details.</w:t>
      </w:r>
    </w:p>
    <w:p>
      <w:r>
        <w:pict>
          <v:rect style="width:0;height:1.5pt" o:hralign="center" o:hrstd="t" o:hr="t"/>
        </w:pict>
      </w:r>
    </w:p>
    <w:bookmarkEnd w:id="50"/>
    <w:bookmarkStart w:id="51" w:name="references"/>
    <w:p>
      <w:pPr>
        <w:pStyle w:val="Heading2"/>
      </w:pPr>
      <w:r>
        <w:t xml:space="preserve">9. References</w:t>
      </w:r>
    </w:p>
    <w:p>
      <w:pPr>
        <w:pStyle w:val="FirstParagraph"/>
      </w:pPr>
      <w:r>
        <w:t xml:space="preserve">Bandettini, P. A. (2012). Twenty years of functional MRI: The science and the stories.</w:t>
      </w:r>
      <w:r>
        <w:t xml:space="preserve"> </w:t>
      </w:r>
      <w:r>
        <w:rPr>
          <w:i/>
          <w:iCs/>
        </w:rPr>
        <w:t xml:space="preserve">NeuroImage</w:t>
      </w:r>
      <w:r>
        <w:t xml:space="preserve">, 62(2), 575-588. https://doi.org/10.1016/j.neuroimage.2012.04.026</w:t>
      </w:r>
    </w:p>
    <w:p>
      <w:pPr>
        <w:pStyle w:val="BodyText"/>
      </w:pPr>
      <w:r>
        <w:t xml:space="preserve">Bandettini, P. A., Wong, E. C., Hinks, R. S., Tikofsky, R. S., &amp; Hyde, J. S. (1992). Time course EPI of human brain function during task activation.</w:t>
      </w:r>
      <w:r>
        <w:t xml:space="preserve"> </w:t>
      </w:r>
      <w:r>
        <w:rPr>
          <w:i/>
          <w:iCs/>
        </w:rPr>
        <w:t xml:space="preserve">Magnetic Resonance in Medicine</w:t>
      </w:r>
      <w:r>
        <w:t xml:space="preserve">, 25(2), 390-397.</w:t>
      </w:r>
    </w:p>
    <w:p>
      <w:pPr>
        <w:pStyle w:val="BodyText"/>
      </w:pPr>
      <w:r>
        <w:t xml:space="preserve">Boré, A., Guay, S., Bedetti, C., Meisler, S., &amp; GuenTher, N. (2023). Dcm2Bids (Version 3.0.0). https://github.com/UNFmontreal/Dcm2Bids</w:t>
      </w:r>
    </w:p>
    <w:p>
      <w:pPr>
        <w:pStyle w:val="BodyText"/>
      </w:pPr>
      <w:r>
        <w:t xml:space="preserve">Botvinik-Nezer, R., Holzmeister, F., Camerer, C. F., et al. (2020). Variability in the analysis of a single neuroimaging dataset by many teams.</w:t>
      </w:r>
      <w:r>
        <w:t xml:space="preserve"> </w:t>
      </w:r>
      <w:r>
        <w:rPr>
          <w:i/>
          <w:iCs/>
        </w:rPr>
        <w:t xml:space="preserve">Nature</w:t>
      </w:r>
      <w:r>
        <w:t xml:space="preserve">, 582(7810), 84-88. https://doi.org/10.1038/s41586-020-2314-9</w:t>
      </w:r>
    </w:p>
    <w:p>
      <w:pPr>
        <w:pStyle w:val="BodyText"/>
      </w:pPr>
      <w:r>
        <w:t xml:space="preserve">Caballero-Gaudes, C., &amp; Reynolds, R. C. (2017). Methods for cleaning the BOLD fMRI signal.</w:t>
      </w:r>
      <w:r>
        <w:t xml:space="preserve"> </w:t>
      </w:r>
      <w:r>
        <w:rPr>
          <w:i/>
          <w:iCs/>
        </w:rPr>
        <w:t xml:space="preserve">NeuroImage</w:t>
      </w:r>
      <w:r>
        <w:t xml:space="preserve">, 154, 128-149. https://doi.org/10.1016/j.neuroimage.2016.12.018</w:t>
      </w:r>
    </w:p>
    <w:p>
      <w:pPr>
        <w:pStyle w:val="BodyText"/>
      </w:pPr>
      <w:r>
        <w:t xml:space="preserve">Carp, J. (2012). The secret lives of experiments: Methods reporting in the fMRI literature.</w:t>
      </w:r>
      <w:r>
        <w:t xml:space="preserve"> </w:t>
      </w:r>
      <w:r>
        <w:rPr>
          <w:i/>
          <w:iCs/>
        </w:rPr>
        <w:t xml:space="preserve">NeuroImage</w:t>
      </w:r>
      <w:r>
        <w:t xml:space="preserve">, 63(1), 289-300. https://doi.org/10.1016/j.neuroimage.2012.07.004</w:t>
      </w:r>
    </w:p>
    <w:p>
      <w:pPr>
        <w:pStyle w:val="BodyText"/>
      </w:pPr>
      <w:r>
        <w:t xml:space="preserve">Cieslak, M., Cook, P. A., He, X., et al. (2021). QSIPrep: An integrative platform for preprocessing and reconstructing diffusion MRI data.</w:t>
      </w:r>
      <w:r>
        <w:t xml:space="preserve"> </w:t>
      </w:r>
      <w:r>
        <w:rPr>
          <w:i/>
          <w:iCs/>
        </w:rPr>
        <w:t xml:space="preserve">Nature Methods</w:t>
      </w:r>
      <w:r>
        <w:t xml:space="preserve">, 18(7), 775-778. https://doi.org/10.1038/s41592-021-01185-5</w:t>
      </w:r>
    </w:p>
    <w:p>
      <w:pPr>
        <w:pStyle w:val="BodyText"/>
      </w:pPr>
      <w:r>
        <w:t xml:space="preserve">Cox, R. W. (1996). AFNI: Software for analysis and visualization of functional magnetic resonance neuroimages.</w:t>
      </w:r>
      <w:r>
        <w:t xml:space="preserve"> </w:t>
      </w:r>
      <w:r>
        <w:rPr>
          <w:i/>
          <w:iCs/>
        </w:rPr>
        <w:t xml:space="preserve">Computers and Biomedical Research</w:t>
      </w:r>
      <w:r>
        <w:t xml:space="preserve">, 29(3), 162-173.</w:t>
      </w:r>
    </w:p>
    <w:p>
      <w:pPr>
        <w:pStyle w:val="BodyText"/>
      </w:pPr>
      <w:r>
        <w:t xml:space="preserve">Esteban, O., Birman, D., Schaer, M., Koyejo, O. O., Poldrack, R. A., &amp; Gorgolewski, K. J. (2017). MRIQC: Advancing the automatic prediction of image quality in MRI from unseen sites.</w:t>
      </w:r>
      <w:r>
        <w:t xml:space="preserve"> </w:t>
      </w:r>
      <w:r>
        <w:rPr>
          <w:i/>
          <w:iCs/>
        </w:rPr>
        <w:t xml:space="preserve">PloS One</w:t>
      </w:r>
      <w:r>
        <w:t xml:space="preserve">, 12(9), e0184661. https://doi.org/10.1371/journal.pone.0184661</w:t>
      </w:r>
    </w:p>
    <w:p>
      <w:pPr>
        <w:pStyle w:val="BodyText"/>
      </w:pPr>
      <w:r>
        <w:t xml:space="preserve">Esteban, O., Markiewicz, C. J., Blair, R. W., et al. (2019). fMRIPrep: A robust preprocessing pipeline for functional MRI.</w:t>
      </w:r>
      <w:r>
        <w:t xml:space="preserve"> </w:t>
      </w:r>
      <w:r>
        <w:rPr>
          <w:i/>
          <w:iCs/>
        </w:rPr>
        <w:t xml:space="preserve">Nature Methods</w:t>
      </w:r>
      <w:r>
        <w:t xml:space="preserve">, 16(1), 111-116. https://doi.org/10.1038/s41592-018-0235-4</w:t>
      </w:r>
    </w:p>
    <w:p>
      <w:pPr>
        <w:pStyle w:val="BodyText"/>
      </w:pPr>
      <w:r>
        <w:t xml:space="preserve">Fischl, B. (2012). FreeSurfer.</w:t>
      </w:r>
      <w:r>
        <w:t xml:space="preserve"> </w:t>
      </w:r>
      <w:r>
        <w:rPr>
          <w:i/>
          <w:iCs/>
        </w:rPr>
        <w:t xml:space="preserve">NeuroImage</w:t>
      </w:r>
      <w:r>
        <w:t xml:space="preserve">, 62(2), 774-781. https://doi.org/10.1016/j.neuroimage.2012.01.021</w:t>
      </w:r>
    </w:p>
    <w:p>
      <w:pPr>
        <w:pStyle w:val="BodyText"/>
      </w:pPr>
      <w:r>
        <w:t xml:space="preserve">Friston, K. J., Ashburner, J. T., Kiebel, S. J., Nichols, T. E., &amp; Penny, W. D. (Eds.). (2007).</w:t>
      </w:r>
      <w:r>
        <w:t xml:space="preserve"> </w:t>
      </w:r>
      <w:r>
        <w:rPr>
          <w:i/>
          <w:iCs/>
        </w:rPr>
        <w:t xml:space="preserve">Statistical parametric mapping: The analysis of functional brain images</w:t>
      </w:r>
      <w:r>
        <w:t xml:space="preserve">. Academic Press.</w:t>
      </w:r>
    </w:p>
    <w:p>
      <w:pPr>
        <w:pStyle w:val="BodyText"/>
      </w:pPr>
      <w:r>
        <w:t xml:space="preserve">Glatard, T., Lewis, L. B., Ferreira da Silva, R., et al. (2015). Reproducibility of neuroimaging analyses across operating systems.</w:t>
      </w:r>
      <w:r>
        <w:t xml:space="preserve"> </w:t>
      </w:r>
      <w:r>
        <w:rPr>
          <w:i/>
          <w:iCs/>
        </w:rPr>
        <w:t xml:space="preserve">Frontiers in Neuroinformatics</w:t>
      </w:r>
      <w:r>
        <w:t xml:space="preserve">, 9, 12. https://doi.org/10.3389/fninf.2015.00012</w:t>
      </w:r>
    </w:p>
    <w:p>
      <w:pPr>
        <w:pStyle w:val="BodyText"/>
      </w:pPr>
      <w:r>
        <w:t xml:space="preserve">Glover, G. H., Li, T. Q., &amp; Ress, D. (2000). Image-based method for retrospective correction of physiological motion effects in fMRI: RETROICOR.</w:t>
      </w:r>
      <w:r>
        <w:t xml:space="preserve"> </w:t>
      </w:r>
      <w:r>
        <w:rPr>
          <w:i/>
          <w:iCs/>
        </w:rPr>
        <w:t xml:space="preserve">Magnetic Resonance in Medicine</w:t>
      </w:r>
      <w:r>
        <w:t xml:space="preserve">, 44(1), 162-167.</w:t>
      </w:r>
    </w:p>
    <w:p>
      <w:pPr>
        <w:pStyle w:val="BodyText"/>
      </w:pPr>
      <w:r>
        <w:t xml:space="preserve">Gorgolewski, K. J., Auer, T., Calhoun, V. D., et al. (2016). The brain imaging data structure, a format for organizing and describing outputs of neuroimaging experiments.</w:t>
      </w:r>
      <w:r>
        <w:t xml:space="preserve"> </w:t>
      </w:r>
      <w:r>
        <w:rPr>
          <w:i/>
          <w:iCs/>
        </w:rPr>
        <w:t xml:space="preserve">Scientific Data</w:t>
      </w:r>
      <w:r>
        <w:t xml:space="preserve">, 3, 160044. https://doi.org/10.1038/sdata.2016.44</w:t>
      </w:r>
    </w:p>
    <w:p>
      <w:pPr>
        <w:pStyle w:val="BodyText"/>
      </w:pPr>
      <w:r>
        <w:t xml:space="preserve">Gorgolewski, K. J., Alfaro-Almagro, F., Auer, T., et al. (2017). BIDS apps: Improving ease of use, accessibility, and reproducibility of neuroimaging data analysis methods.</w:t>
      </w:r>
      <w:r>
        <w:t xml:space="preserve"> </w:t>
      </w:r>
      <w:r>
        <w:rPr>
          <w:i/>
          <w:iCs/>
        </w:rPr>
        <w:t xml:space="preserve">PLoS Computational Biology</w:t>
      </w:r>
      <w:r>
        <w:t xml:space="preserve">, 13(3), e1005209. https://doi.org/10.1371/journal.pcbi.1005209</w:t>
      </w:r>
    </w:p>
    <w:p>
      <w:pPr>
        <w:pStyle w:val="BodyText"/>
      </w:pPr>
      <w:r>
        <w:t xml:space="preserve">Halchenko, Y. O., Goncalves, M., Ghosh, S., et al. (2019). HeuDiConv—flexible DICOM converter for organizing brain imaging data into structured directory layouts.</w:t>
      </w:r>
      <w:r>
        <w:t xml:space="preserve"> </w:t>
      </w:r>
      <w:r>
        <w:rPr>
          <w:i/>
          <w:iCs/>
        </w:rPr>
        <w:t xml:space="preserve">Journal of Open Source Software</w:t>
      </w:r>
      <w:r>
        <w:t xml:space="preserve">, 4(42), 1839. https://doi.org/10.21105/joss.01839</w:t>
      </w:r>
    </w:p>
    <w:p>
      <w:pPr>
        <w:pStyle w:val="BodyText"/>
      </w:pPr>
      <w:r>
        <w:t xml:space="preserve">Jenkinson, M., Beckmann, C. F., Behrens, T. E., Woolrich, M. W., &amp; Smith, S. M. (2012). FSL.</w:t>
      </w:r>
      <w:r>
        <w:t xml:space="preserve"> </w:t>
      </w:r>
      <w:r>
        <w:rPr>
          <w:i/>
          <w:iCs/>
        </w:rPr>
        <w:t xml:space="preserve">NeuroImage</w:t>
      </w:r>
      <w:r>
        <w:t xml:space="preserve">, 62(2), 782-790. https://doi.org/10.1016/j.neuroimage.2011.09.015</w:t>
      </w:r>
    </w:p>
    <w:p>
      <w:pPr>
        <w:pStyle w:val="BodyText"/>
      </w:pPr>
      <w:r>
        <w:t xml:space="preserve">Jezzard, P., &amp; Balaban, R. S. (1995). Correction for geometric distortion in echo planar images from B0 field variations.</w:t>
      </w:r>
      <w:r>
        <w:t xml:space="preserve"> </w:t>
      </w:r>
      <w:r>
        <w:rPr>
          <w:i/>
          <w:iCs/>
        </w:rPr>
        <w:t xml:space="preserve">Magnetic Resonance in Medicine</w:t>
      </w:r>
      <w:r>
        <w:t xml:space="preserve">, 34(1), 65-73.</w:t>
      </w:r>
    </w:p>
    <w:p>
      <w:pPr>
        <w:pStyle w:val="BodyText"/>
      </w:pPr>
      <w:r>
        <w:t xml:space="preserve">Kurtzer, G. M., Sochat, V., &amp; Bauer, M. W. (2017). Singularity: Scientific containers for mobility of compute.</w:t>
      </w:r>
      <w:r>
        <w:t xml:space="preserve"> </w:t>
      </w:r>
      <w:r>
        <w:rPr>
          <w:i/>
          <w:iCs/>
        </w:rPr>
        <w:t xml:space="preserve">PloS One</w:t>
      </w:r>
      <w:r>
        <w:t xml:space="preserve">, 12(5), e0177459. https://doi.org/10.1371/journal.pone.0177459</w:t>
      </w:r>
    </w:p>
    <w:p>
      <w:pPr>
        <w:pStyle w:val="BodyText"/>
      </w:pPr>
      <w:r>
        <w:t xml:space="preserve">Li, X., Morgan, P. S., Ashburner, J., Smith, J., &amp; Rorden, C. (2016). The first step for neuroimaging data analysis: DICOM to NIfTI conversion.</w:t>
      </w:r>
      <w:r>
        <w:t xml:space="preserve"> </w:t>
      </w:r>
      <w:r>
        <w:rPr>
          <w:i/>
          <w:iCs/>
        </w:rPr>
        <w:t xml:space="preserve">Journal of Neuroscience Methods</w:t>
      </w:r>
      <w:r>
        <w:t xml:space="preserve">, 264, 47-56. https://doi.org/10.1016/j.jneumeth.2016.03.001</w:t>
      </w:r>
    </w:p>
    <w:p>
      <w:pPr>
        <w:pStyle w:val="BodyText"/>
      </w:pPr>
      <w:r>
        <w:t xml:space="preserve">Lindquist, M. A. (2008). The statistical analysis of fMRI data.</w:t>
      </w:r>
      <w:r>
        <w:t xml:space="preserve"> </w:t>
      </w:r>
      <w:r>
        <w:rPr>
          <w:i/>
          <w:iCs/>
        </w:rPr>
        <w:t xml:space="preserve">Statistical Science</w:t>
      </w:r>
      <w:r>
        <w:t xml:space="preserve">, 23(4), 439-464. https://doi.org/10.1214/09-STS282</w:t>
      </w:r>
    </w:p>
    <w:p>
      <w:pPr>
        <w:pStyle w:val="BodyText"/>
      </w:pPr>
      <w:r>
        <w:t xml:space="preserve">Logothetis, N. K. (2008). What we can do and what we cannot do with fMRI.</w:t>
      </w:r>
      <w:r>
        <w:t xml:space="preserve"> </w:t>
      </w:r>
      <w:r>
        <w:rPr>
          <w:i/>
          <w:iCs/>
        </w:rPr>
        <w:t xml:space="preserve">Nature</w:t>
      </w:r>
      <w:r>
        <w:t xml:space="preserve">, 453(7197), 869-878. https://doi.org/10.1038/nature06976</w:t>
      </w:r>
    </w:p>
    <w:p>
      <w:pPr>
        <w:pStyle w:val="BodyText"/>
      </w:pPr>
      <w:r>
        <w:t xml:space="preserve">Logothetis, N. K., &amp; Wandell, B. A. (2004). Interpreting the BOLD signal.</w:t>
      </w:r>
      <w:r>
        <w:t xml:space="preserve"> </w:t>
      </w:r>
      <w:r>
        <w:rPr>
          <w:i/>
          <w:iCs/>
        </w:rPr>
        <w:t xml:space="preserve">Annual Review of Physiology</w:t>
      </w:r>
      <w:r>
        <w:t xml:space="preserve">, 66, 735-769. https://doi.org/10.1146/annurev.physiol.66.082602.092845</w:t>
      </w:r>
    </w:p>
    <w:p>
      <w:pPr>
        <w:pStyle w:val="BodyText"/>
      </w:pPr>
      <w:r>
        <w:t xml:space="preserve">Ogawa, S., Lee, T. M., Kay, A. R., &amp; Tank, D. W. (1990). Brain magnetic resonance imaging with contrast dependent on blood oxygenation.</w:t>
      </w:r>
      <w:r>
        <w:t xml:space="preserve"> </w:t>
      </w:r>
      <w:r>
        <w:rPr>
          <w:i/>
          <w:iCs/>
        </w:rPr>
        <w:t xml:space="preserve">Proceedings of the National Academy of Sciences</w:t>
      </w:r>
      <w:r>
        <w:t xml:space="preserve">, 87(24), 9868-9872.</w:t>
      </w:r>
    </w:p>
    <w:p>
      <w:pPr>
        <w:pStyle w:val="BodyText"/>
      </w:pPr>
      <w:r>
        <w:t xml:space="preserve">Open Science Collaboration. (2015). Estimating the reproducibility of psychological science.</w:t>
      </w:r>
      <w:r>
        <w:t xml:space="preserve"> </w:t>
      </w:r>
      <w:r>
        <w:rPr>
          <w:i/>
          <w:iCs/>
        </w:rPr>
        <w:t xml:space="preserve">Science</w:t>
      </w:r>
      <w:r>
        <w:t xml:space="preserve">, 349(6251), aac4716. https://doi.org/10.1126/science.aac4716</w:t>
      </w:r>
    </w:p>
    <w:p>
      <w:pPr>
        <w:pStyle w:val="BodyText"/>
      </w:pPr>
      <w:r>
        <w:t xml:space="preserve">Poldrack, R. A., Fletcher, P. C., Henson, R. N., Worsley, K. J., Brett, M., &amp; Nichols, T. E. (2008). Guidelines for reporting an fMRI study.</w:t>
      </w:r>
      <w:r>
        <w:t xml:space="preserve"> </w:t>
      </w:r>
      <w:r>
        <w:rPr>
          <w:i/>
          <w:iCs/>
        </w:rPr>
        <w:t xml:space="preserve">NeuroImage</w:t>
      </w:r>
      <w:r>
        <w:t xml:space="preserve">, 40(2), 409-414. https://doi.org/10.1016/j.neuroimage.2007.11.048</w:t>
      </w:r>
    </w:p>
    <w:p>
      <w:pPr>
        <w:pStyle w:val="BodyText"/>
      </w:pPr>
      <w:r>
        <w:t xml:space="preserve">Poldrack, R. A., Mumford, J. A., &amp; Nichols, T. E. (2011).</w:t>
      </w:r>
      <w:r>
        <w:t xml:space="preserve"> </w:t>
      </w:r>
      <w:r>
        <w:rPr>
          <w:i/>
          <w:iCs/>
        </w:rPr>
        <w:t xml:space="preserve">Handbook of functional MRI data analysis</w:t>
      </w:r>
      <w:r>
        <w:t xml:space="preserve">. Cambridge University Press.</w:t>
      </w:r>
    </w:p>
    <w:p>
      <w:pPr>
        <w:pStyle w:val="BodyText"/>
      </w:pPr>
      <w:r>
        <w:t xml:space="preserve">Poldrack, R. A., Baker, C. I., Durnez, J., et al. (2017). Scanning the horizon: Towards transparent and reproducible neuroimaging research.</w:t>
      </w:r>
      <w:r>
        <w:t xml:space="preserve"> </w:t>
      </w:r>
      <w:r>
        <w:rPr>
          <w:i/>
          <w:iCs/>
        </w:rPr>
        <w:t xml:space="preserve">Nature Reviews Neuroscience</w:t>
      </w:r>
      <w:r>
        <w:t xml:space="preserve">, 18(2), 115-126. https://doi.org/10.1038/nrn.2016.167</w:t>
      </w:r>
    </w:p>
    <w:p>
      <w:pPr>
        <w:pStyle w:val="BodyText"/>
      </w:pPr>
      <w:r>
        <w:t xml:space="preserve">Power, J. D., Barnes, K. A., Snyder, A. Z., Schlaggar, B. L., &amp; Petersen, S. E. (2012). Spurious but systematic correlations in functional connectivity MRI networks arise from subject motion.</w:t>
      </w:r>
      <w:r>
        <w:t xml:space="preserve"> </w:t>
      </w:r>
      <w:r>
        <w:rPr>
          <w:i/>
          <w:iCs/>
        </w:rPr>
        <w:t xml:space="preserve">NeuroImage</w:t>
      </w:r>
      <w:r>
        <w:t xml:space="preserve">, 59(3), 2142-2154. https://doi.org/10.1016/j.neuroimage.2011.10.018</w:t>
      </w:r>
    </w:p>
    <w:p>
      <w:pPr>
        <w:pStyle w:val="BodyText"/>
      </w:pPr>
      <w:r>
        <w:t xml:space="preserve">Satterthwaite, T. D., Wolf, D. H., Loughead, J., et al. (2012). Impact of in-scanner head motion on multiple measures of functional connectivity: Relevance for studies of neurodevelopment in youth.</w:t>
      </w:r>
      <w:r>
        <w:t xml:space="preserve"> </w:t>
      </w:r>
      <w:r>
        <w:rPr>
          <w:i/>
          <w:iCs/>
        </w:rPr>
        <w:t xml:space="preserve">NeuroImage</w:t>
      </w:r>
      <w:r>
        <w:t xml:space="preserve">, 60(1), 623-632. https://doi.org/10.1016/j.neuroimage.2011.12.063</w:t>
      </w:r>
    </w:p>
    <w:p>
      <w:pPr>
        <w:pStyle w:val="BodyText"/>
      </w:pPr>
      <w:r>
        <w:t xml:space="preserve">Schmitz, T. (2023). CustomTkinter (Version 5.0). https://github.com/TomSchimansky/CustomTkinter</w:t>
      </w:r>
    </w:p>
    <w:p>
      <w:pPr>
        <w:pStyle w:val="BodyText"/>
      </w:pPr>
      <w:r>
        <w:t xml:space="preserve">Simmons, J. P., Nelson, L. D., &amp; Simonsohn, U. (2011). False-positive psychology: Undisclosed flexibility in data collection and analysis allows presenting anything as significant.</w:t>
      </w:r>
      <w:r>
        <w:t xml:space="preserve"> </w:t>
      </w:r>
      <w:r>
        <w:rPr>
          <w:i/>
          <w:iCs/>
        </w:rPr>
        <w:t xml:space="preserve">Psychological Science</w:t>
      </w:r>
      <w:r>
        <w:t xml:space="preserve">, 22(11), 1359-1366. https://doi.org/10.1177/0956797611417632</w:t>
      </w:r>
    </w:p>
    <w:p>
      <w:pPr>
        <w:pStyle w:val="BodyText"/>
      </w:pPr>
      <w:r>
        <w:t xml:space="preserve">Strother, S. C. (2006). Evaluating fMRI preprocessing pipelines.</w:t>
      </w:r>
      <w:r>
        <w:t xml:space="preserve"> </w:t>
      </w:r>
      <w:r>
        <w:rPr>
          <w:i/>
          <w:iCs/>
        </w:rPr>
        <w:t xml:space="preserve">IEEE Engineering in Medicine and Biology Magazine</w:t>
      </w:r>
      <w:r>
        <w:t xml:space="preserve">, 25(2), 27-41. https://doi.org/10.1109/MEMB.2006.1607667</w:t>
      </w:r>
    </w:p>
    <w:p>
      <w:r>
        <w:pict>
          <v:rect style="width:0;height:1.5pt" o:hralign="center" o:hrstd="t" o:hr="t"/>
        </w:pict>
      </w:r>
    </w:p>
    <w:bookmarkEnd w:id="51"/>
    <w:bookmarkStart w:id="61" w:name="appendices"/>
    <w:p>
      <w:pPr>
        <w:pStyle w:val="Heading2"/>
      </w:pPr>
      <w:r>
        <w:t xml:space="preserve">10. Appendices</w:t>
      </w:r>
    </w:p>
    <w:bookmarkStart w:id="54" w:name="appendix-a-installation-guide"/>
    <w:p>
      <w:pPr>
        <w:pStyle w:val="Heading3"/>
      </w:pPr>
      <w:r>
        <w:t xml:space="preserve">Appendix A: Installation Guide</w:t>
      </w:r>
    </w:p>
    <w:bookmarkStart w:id="52" w:name="system-requirements"/>
    <w:p>
      <w:pPr>
        <w:pStyle w:val="Heading4"/>
      </w:pPr>
      <w:r>
        <w:t xml:space="preserve">System Requirements</w:t>
      </w:r>
    </w:p>
    <w:tbl>
      <w:tblPr>
        <w:tblStyle w:val="Table"/>
        <w:tblW w:type="pct" w:w="5000"/>
        <w:tblLayout w:type="fixed"/>
        <w:tblLook w:firstRow="1" w:lastRow="0" w:firstColumn="0" w:lastColumn="0" w:noHBand="0" w:noVBand="0" w:val="0020"/>
      </w:tblPr>
      <w:tblGrid>
        <w:gridCol w:w="2640"/>
        <w:gridCol w:w="2160"/>
        <w:gridCol w:w="3120"/>
      </w:tblGrid>
      <w:tr>
        <w:trPr>
          <w:tblHeader w:val="on"/>
        </w:trPr>
        <w:tc>
          <w:tcPr/>
          <w:p>
            <w:pPr>
              <w:pStyle w:val="Compact"/>
            </w:pPr>
            <w:r>
              <w:t xml:space="preserve">Component</w:t>
            </w:r>
          </w:p>
        </w:tc>
        <w:tc>
          <w:tcPr/>
          <w:p>
            <w:pPr>
              <w:pStyle w:val="Compact"/>
            </w:pPr>
            <w:r>
              <w:t xml:space="preserve">Minimum</w:t>
            </w:r>
          </w:p>
        </w:tc>
        <w:tc>
          <w:tcPr/>
          <w:p>
            <w:pPr>
              <w:pStyle w:val="Compact"/>
            </w:pPr>
            <w:r>
              <w:t xml:space="preserve">Recommended</w:t>
            </w:r>
          </w:p>
        </w:tc>
      </w:tr>
      <w:tr>
        <w:tc>
          <w:tcPr/>
          <w:p>
            <w:pPr>
              <w:pStyle w:val="Compact"/>
            </w:pPr>
            <w:r>
              <w:t xml:space="preserve">Operating System</w:t>
            </w:r>
          </w:p>
        </w:tc>
        <w:tc>
          <w:tcPr/>
          <w:p>
            <w:pPr>
              <w:pStyle w:val="Compact"/>
            </w:pPr>
            <w:r>
              <w:t xml:space="preserve">Windows 10, macOS 10.15, Ubuntu 18.04</w:t>
            </w:r>
          </w:p>
        </w:tc>
        <w:tc>
          <w:tcPr/>
          <w:p>
            <w:pPr>
              <w:pStyle w:val="Compact"/>
            </w:pPr>
            <w:r>
              <w:t xml:space="preserve">Latest versions</w:t>
            </w:r>
          </w:p>
        </w:tc>
      </w:tr>
      <w:tr>
        <w:tc>
          <w:tcPr/>
          <w:p>
            <w:pPr>
              <w:pStyle w:val="Compact"/>
            </w:pPr>
            <w:r>
              <w:t xml:space="preserve">RAM</w:t>
            </w:r>
          </w:p>
        </w:tc>
        <w:tc>
          <w:tcPr/>
          <w:p>
            <w:pPr>
              <w:pStyle w:val="Compact"/>
            </w:pPr>
            <w:r>
              <w:t xml:space="preserve">8 GB</w:t>
            </w:r>
          </w:p>
        </w:tc>
        <w:tc>
          <w:tcPr/>
          <w:p>
            <w:pPr>
              <w:pStyle w:val="Compact"/>
            </w:pPr>
            <w:r>
              <w:t xml:space="preserve">16 GB or more</w:t>
            </w:r>
          </w:p>
        </w:tc>
      </w:tr>
      <w:tr>
        <w:tc>
          <w:tcPr/>
          <w:p>
            <w:pPr>
              <w:pStyle w:val="Compact"/>
            </w:pPr>
            <w:r>
              <w:t xml:space="preserve">Storage</w:t>
            </w:r>
          </w:p>
        </w:tc>
        <w:tc>
          <w:tcPr/>
          <w:p>
            <w:pPr>
              <w:pStyle w:val="Compact"/>
            </w:pPr>
            <w:r>
              <w:t xml:space="preserve">20 GB free</w:t>
            </w:r>
          </w:p>
        </w:tc>
        <w:tc>
          <w:tcPr/>
          <w:p>
            <w:pPr>
              <w:pStyle w:val="Compact"/>
            </w:pPr>
            <w:r>
              <w:t xml:space="preserve">100 GB+ for large datasets</w:t>
            </w:r>
          </w:p>
        </w:tc>
      </w:tr>
      <w:tr>
        <w:tc>
          <w:tcPr/>
          <w:p>
            <w:pPr>
              <w:pStyle w:val="Compact"/>
            </w:pPr>
            <w:r>
              <w:t xml:space="preserve">Python</w:t>
            </w:r>
          </w:p>
        </w:tc>
        <w:tc>
          <w:tcPr/>
          <w:p>
            <w:pPr>
              <w:pStyle w:val="Compact"/>
            </w:pPr>
            <w:r>
              <w:t xml:space="preserve">3.9</w:t>
            </w:r>
          </w:p>
        </w:tc>
        <w:tc>
          <w:tcPr/>
          <w:p>
            <w:pPr>
              <w:pStyle w:val="Compact"/>
            </w:pPr>
            <w:r>
              <w:t xml:space="preserve">3.10 or 3.11</w:t>
            </w:r>
          </w:p>
        </w:tc>
      </w:tr>
      <w:tr>
        <w:tc>
          <w:tcPr/>
          <w:p>
            <w:pPr>
              <w:pStyle w:val="Compact"/>
            </w:pPr>
            <w:r>
              <w:t xml:space="preserve">Docker</w:t>
            </w:r>
          </w:p>
        </w:tc>
        <w:tc>
          <w:tcPr/>
          <w:p>
            <w:pPr>
              <w:pStyle w:val="Compact"/>
            </w:pPr>
            <w:r>
              <w:t xml:space="preserve">20.10</w:t>
            </w:r>
          </w:p>
        </w:tc>
        <w:tc>
          <w:tcPr/>
          <w:p>
            <w:pPr>
              <w:pStyle w:val="Compact"/>
            </w:pPr>
            <w:r>
              <w:t xml:space="preserve">Latest stable</w:t>
            </w:r>
          </w:p>
        </w:tc>
      </w:tr>
    </w:tbl>
    <w:bookmarkEnd w:id="52"/>
    <w:bookmarkStart w:id="53" w:name="installation-steps"/>
    <w:p>
      <w:pPr>
        <w:pStyle w:val="Heading4"/>
      </w:pPr>
      <w:r>
        <w:t xml:space="preserve">Installation Steps</w:t>
      </w:r>
    </w:p>
    <w:p>
      <w:pPr>
        <w:numPr>
          <w:ilvl w:val="0"/>
          <w:numId w:val="1015"/>
        </w:numPr>
      </w:pPr>
      <w:r>
        <w:rPr>
          <w:b/>
          <w:bCs/>
        </w:rPr>
        <w:t xml:space="preserve">Install Python 3.9+</w:t>
      </w:r>
    </w:p>
    <w:p>
      <w:pPr>
        <w:pStyle w:val="Compact"/>
        <w:numPr>
          <w:ilvl w:val="1"/>
          <w:numId w:val="1016"/>
        </w:numPr>
      </w:pPr>
      <w:r>
        <w:t xml:space="preserve">Download from https://www.python.org/</w:t>
      </w:r>
    </w:p>
    <w:p>
      <w:pPr>
        <w:pStyle w:val="Compact"/>
        <w:numPr>
          <w:ilvl w:val="1"/>
          <w:numId w:val="1016"/>
        </w:numPr>
      </w:pPr>
      <w:r>
        <w:t xml:space="preserve">Ensure Python is added to PATH</w:t>
      </w:r>
    </w:p>
    <w:p>
      <w:pPr>
        <w:numPr>
          <w:ilvl w:val="0"/>
          <w:numId w:val="1015"/>
        </w:numPr>
      </w:pPr>
      <w:r>
        <w:rPr>
          <w:b/>
          <w:bCs/>
        </w:rPr>
        <w:t xml:space="preserve">Install Docker Desktop</w:t>
      </w:r>
    </w:p>
    <w:p>
      <w:pPr>
        <w:pStyle w:val="Compact"/>
        <w:numPr>
          <w:ilvl w:val="1"/>
          <w:numId w:val="1017"/>
        </w:numPr>
      </w:pPr>
      <w:r>
        <w:t xml:space="preserve">Download from https://www.docker.com/products/docker-desktop/</w:t>
      </w:r>
    </w:p>
    <w:p>
      <w:pPr>
        <w:pStyle w:val="Compact"/>
        <w:numPr>
          <w:ilvl w:val="1"/>
          <w:numId w:val="1017"/>
        </w:numPr>
      </w:pPr>
      <w:r>
        <w:t xml:space="preserve">Verify with:</w:t>
      </w:r>
      <w:r>
        <w:t xml:space="preserve"> </w:t>
      </w:r>
      <w:r>
        <w:rPr>
          <w:rStyle w:val="VerbatimChar"/>
        </w:rPr>
        <w:t xml:space="preserve">docker --version</w:t>
      </w:r>
    </w:p>
    <w:p>
      <w:pPr>
        <w:numPr>
          <w:ilvl w:val="0"/>
          <w:numId w:val="1015"/>
        </w:numPr>
      </w:pPr>
      <w:r>
        <w:rPr>
          <w:b/>
          <w:bCs/>
        </w:rPr>
        <w:t xml:space="preserve">Install Required Tools</w:t>
      </w:r>
    </w:p>
    <w:p>
      <w:pPr>
        <w:pStyle w:val="SourceCode"/>
        <w:numPr>
          <w:ilvl w:val="0"/>
          <w:numId w:val="1000"/>
        </w:numPr>
      </w:pPr>
      <w:r>
        <w:rPr>
          <w:rStyle w:val="ExtensionTok"/>
        </w:rPr>
        <w:t xml:space="preserve">pip</w:t>
      </w:r>
      <w:r>
        <w:rPr>
          <w:rStyle w:val="NormalTok"/>
        </w:rPr>
        <w:t xml:space="preserve"> install dcm2bids customtkinter</w:t>
      </w:r>
    </w:p>
    <w:p>
      <w:pPr>
        <w:numPr>
          <w:ilvl w:val="0"/>
          <w:numId w:val="1015"/>
        </w:numPr>
      </w:pPr>
      <w:r>
        <w:rPr>
          <w:b/>
          <w:bCs/>
        </w:rPr>
        <w:t xml:space="preserve">Obtain FreeSurfer License</w:t>
      </w:r>
    </w:p>
    <w:p>
      <w:pPr>
        <w:pStyle w:val="Compact"/>
        <w:numPr>
          <w:ilvl w:val="1"/>
          <w:numId w:val="1018"/>
        </w:numPr>
      </w:pPr>
      <w:r>
        <w:t xml:space="preserve">Register at https://surfer.nmr.mgh.harvard.edu/registration.html</w:t>
      </w:r>
    </w:p>
    <w:p>
      <w:pPr>
        <w:pStyle w:val="Compact"/>
        <w:numPr>
          <w:ilvl w:val="1"/>
          <w:numId w:val="1018"/>
        </w:numPr>
      </w:pPr>
      <w:r>
        <w:t xml:space="preserve">Save license file as</w:t>
      </w:r>
      <w:r>
        <w:t xml:space="preserve"> </w:t>
      </w:r>
      <w:r>
        <w:rPr>
          <w:rStyle w:val="VerbatimChar"/>
        </w:rPr>
        <w:t xml:space="preserve">.freesurfer_license.txt</w:t>
      </w:r>
      <w:r>
        <w:t xml:space="preserve"> </w:t>
      </w:r>
      <w:r>
        <w:t xml:space="preserve">in project root</w:t>
      </w:r>
    </w:p>
    <w:p>
      <w:pPr>
        <w:numPr>
          <w:ilvl w:val="0"/>
          <w:numId w:val="1015"/>
        </w:numPr>
      </w:pPr>
      <w:r>
        <w:rPr>
          <w:b/>
          <w:bCs/>
        </w:rPr>
        <w:t xml:space="preserve">Pull fMRIPrep Docker Image</w:t>
      </w:r>
    </w:p>
    <w:p>
      <w:pPr>
        <w:pStyle w:val="SourceCode"/>
        <w:numPr>
          <w:ilvl w:val="0"/>
          <w:numId w:val="1000"/>
        </w:numPr>
      </w:pPr>
      <w:r>
        <w:rPr>
          <w:rStyle w:val="ExtensionTok"/>
        </w:rPr>
        <w:t xml:space="preserve">docker</w:t>
      </w:r>
      <w:r>
        <w:rPr>
          <w:rStyle w:val="NormalTok"/>
        </w:rPr>
        <w:t xml:space="preserve"> pull nipreps/fmriprep:latest</w:t>
      </w:r>
    </w:p>
    <w:p>
      <w:pPr>
        <w:numPr>
          <w:ilvl w:val="0"/>
          <w:numId w:val="1015"/>
        </w:numPr>
      </w:pPr>
      <w:r>
        <w:rPr>
          <w:b/>
          <w:bCs/>
        </w:rPr>
        <w:t xml:space="preserve">Run the Application</w:t>
      </w:r>
    </w:p>
    <w:p>
      <w:pPr>
        <w:pStyle w:val="SourceCode"/>
        <w:numPr>
          <w:ilvl w:val="0"/>
          <w:numId w:val="1000"/>
        </w:numPr>
      </w:pPr>
      <w:r>
        <w:rPr>
          <w:rStyle w:val="ExtensionTok"/>
        </w:rPr>
        <w:t xml:space="preserve">python</w:t>
      </w:r>
      <w:r>
        <w:rPr>
          <w:rStyle w:val="NormalTok"/>
        </w:rPr>
        <w:t xml:space="preserve"> gui_app.py</w:t>
      </w:r>
    </w:p>
    <w:bookmarkEnd w:id="53"/>
    <w:bookmarkEnd w:id="54"/>
    <w:bookmarkStart w:id="57" w:name="appendix-b-configuration-reference"/>
    <w:p>
      <w:pPr>
        <w:pStyle w:val="Heading3"/>
      </w:pPr>
      <w:r>
        <w:t xml:space="preserve">Appendix B: Configuration Reference</w:t>
      </w:r>
    </w:p>
    <w:bookmarkStart w:id="55" w:name="dcm2bids-configuration-options"/>
    <w:p>
      <w:pPr>
        <w:pStyle w:val="Heading4"/>
      </w:pPr>
      <w:r>
        <w:t xml:space="preserve">dcm2bids Configuration Options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dcm2niixOptions</w:t>
            </w:r>
          </w:p>
        </w:tc>
        <w:tc>
          <w:tcPr/>
          <w:p>
            <w:pPr>
              <w:pStyle w:val="Compact"/>
            </w:pPr>
            <w:r>
              <w:t xml:space="preserve">String</w:t>
            </w:r>
          </w:p>
        </w:tc>
        <w:tc>
          <w:tcPr/>
          <w:p>
            <w:pPr>
              <w:pStyle w:val="Compact"/>
            </w:pPr>
            <w:r>
              <w:t xml:space="preserve">Command-line options for dcm2niix</w:t>
            </w:r>
          </w:p>
        </w:tc>
      </w:tr>
      <w:tr>
        <w:tc>
          <w:tcPr/>
          <w:p>
            <w:pPr>
              <w:pStyle w:val="Compact"/>
            </w:pPr>
            <w:r>
              <w:rPr>
                <w:rStyle w:val="VerbatimChar"/>
              </w:rPr>
              <w:t xml:space="preserve">descriptions</w:t>
            </w:r>
          </w:p>
        </w:tc>
        <w:tc>
          <w:tcPr/>
          <w:p>
            <w:pPr>
              <w:pStyle w:val="Compact"/>
            </w:pPr>
            <w:r>
              <w:t xml:space="preserve">Array</w:t>
            </w:r>
          </w:p>
        </w:tc>
        <w:tc>
          <w:tcPr/>
          <w:p>
            <w:pPr>
              <w:pStyle w:val="Compact"/>
            </w:pPr>
            <w:r>
              <w:t xml:space="preserve">List of scan type definitions</w:t>
            </w:r>
          </w:p>
        </w:tc>
      </w:tr>
    </w:tbl>
    <w:bookmarkEnd w:id="55"/>
    <w:bookmarkStart w:id="56" w:name="scan-type-definition-fields"/>
    <w:p>
      <w:pPr>
        <w:pStyle w:val="Heading4"/>
      </w:pPr>
      <w:r>
        <w:t xml:space="preserve">Scan Type Definition Fields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Yes</w:t>
            </w:r>
          </w:p>
        </w:tc>
        <w:tc>
          <w:tcPr/>
          <w:p>
            <w:pPr>
              <w:pStyle w:val="Compact"/>
            </w:pPr>
            <w:r>
              <w:t xml:space="preserve">Unique identifier</w:t>
            </w:r>
          </w:p>
        </w:tc>
      </w:tr>
      <w:tr>
        <w:tc>
          <w:tcPr/>
          <w:p>
            <w:pPr>
              <w:pStyle w:val="Compact"/>
            </w:pPr>
            <w:r>
              <w:rPr>
                <w:rStyle w:val="VerbatimChar"/>
              </w:rPr>
              <w:t xml:space="preserve">datatype</w:t>
            </w:r>
          </w:p>
        </w:tc>
        <w:tc>
          <w:tcPr/>
          <w:p>
            <w:pPr>
              <w:pStyle w:val="Compact"/>
            </w:pPr>
            <w:r>
              <w:t xml:space="preserve">Yes</w:t>
            </w:r>
          </w:p>
        </w:tc>
        <w:tc>
          <w:tcPr/>
          <w:p>
            <w:pPr>
              <w:pStyle w:val="Compact"/>
            </w:pPr>
            <w:r>
              <w:t xml:space="preserve">BIDS modality (anat, func, dwi, fmap)</w:t>
            </w:r>
          </w:p>
        </w:tc>
      </w:tr>
      <w:tr>
        <w:tc>
          <w:tcPr/>
          <w:p>
            <w:pPr>
              <w:pStyle w:val="Compact"/>
            </w:pPr>
            <w:r>
              <w:rPr>
                <w:rStyle w:val="VerbatimChar"/>
              </w:rPr>
              <w:t xml:space="preserve">suffix</w:t>
            </w:r>
          </w:p>
        </w:tc>
        <w:tc>
          <w:tcPr/>
          <w:p>
            <w:pPr>
              <w:pStyle w:val="Compact"/>
            </w:pPr>
            <w:r>
              <w:t xml:space="preserve">Yes</w:t>
            </w:r>
          </w:p>
        </w:tc>
        <w:tc>
          <w:tcPr/>
          <w:p>
            <w:pPr>
              <w:pStyle w:val="Compact"/>
            </w:pPr>
            <w:r>
              <w:t xml:space="preserve">BIDS suffix (T1w, bold, dwi, etc.)</w:t>
            </w:r>
          </w:p>
        </w:tc>
      </w:tr>
      <w:tr>
        <w:tc>
          <w:tcPr/>
          <w:p>
            <w:pPr>
              <w:pStyle w:val="Compact"/>
            </w:pPr>
            <w:r>
              <w:rPr>
                <w:rStyle w:val="VerbatimChar"/>
              </w:rPr>
              <w:t xml:space="preserve">criteria</w:t>
            </w:r>
          </w:p>
        </w:tc>
        <w:tc>
          <w:tcPr/>
          <w:p>
            <w:pPr>
              <w:pStyle w:val="Compact"/>
            </w:pPr>
            <w:r>
              <w:t xml:space="preserve">Yes</w:t>
            </w:r>
          </w:p>
        </w:tc>
        <w:tc>
          <w:tcPr/>
          <w:p>
            <w:pPr>
              <w:pStyle w:val="Compact"/>
            </w:pPr>
            <w:r>
              <w:t xml:space="preserve">Matching rules</w:t>
            </w:r>
          </w:p>
        </w:tc>
      </w:tr>
      <w:tr>
        <w:tc>
          <w:tcPr/>
          <w:p>
            <w:pPr>
              <w:pStyle w:val="Compact"/>
            </w:pPr>
            <w:r>
              <w:rPr>
                <w:rStyle w:val="VerbatimChar"/>
              </w:rPr>
              <w:t xml:space="preserve">custom_entities</w:t>
            </w:r>
          </w:p>
        </w:tc>
        <w:tc>
          <w:tcPr/>
          <w:p>
            <w:pPr>
              <w:pStyle w:val="Compact"/>
            </w:pPr>
            <w:r>
              <w:t xml:space="preserve">No</w:t>
            </w:r>
          </w:p>
        </w:tc>
        <w:tc>
          <w:tcPr/>
          <w:p>
            <w:pPr>
              <w:pStyle w:val="Compact"/>
            </w:pPr>
            <w:r>
              <w:t xml:space="preserve">Additional BIDS entities</w:t>
            </w:r>
          </w:p>
        </w:tc>
      </w:tr>
      <w:tr>
        <w:tc>
          <w:tcPr/>
          <w:p>
            <w:pPr>
              <w:pStyle w:val="Compact"/>
            </w:pPr>
            <w:r>
              <w:rPr>
                <w:rStyle w:val="VerbatimChar"/>
              </w:rPr>
              <w:t xml:space="preserve">sidecarChanges</w:t>
            </w:r>
          </w:p>
        </w:tc>
        <w:tc>
          <w:tcPr/>
          <w:p>
            <w:pPr>
              <w:pStyle w:val="Compact"/>
            </w:pPr>
            <w:r>
              <w:t xml:space="preserve">No</w:t>
            </w:r>
          </w:p>
        </w:tc>
        <w:tc>
          <w:tcPr/>
          <w:p>
            <w:pPr>
              <w:pStyle w:val="Compact"/>
            </w:pPr>
            <w:r>
              <w:t xml:space="preserve">Metadata modifications</w:t>
            </w:r>
          </w:p>
        </w:tc>
      </w:tr>
    </w:tbl>
    <w:bookmarkEnd w:id="56"/>
    <w:bookmarkEnd w:id="57"/>
    <w:bookmarkStart w:id="60" w:name="appendix-c-output-specifications"/>
    <w:p>
      <w:pPr>
        <w:pStyle w:val="Heading3"/>
      </w:pPr>
      <w:r>
        <w:t xml:space="preserve">Appendix C: Output Specifications</w:t>
      </w:r>
    </w:p>
    <w:bookmarkStart w:id="58" w:name="bids-output-structure"/>
    <w:p>
      <w:pPr>
        <w:pStyle w:val="Heading4"/>
      </w:pPr>
      <w:r>
        <w:t xml:space="preserve">BIDS Output Structure</w:t>
      </w:r>
    </w:p>
    <w:p>
      <w:pPr>
        <w:pStyle w:val="SourceCode"/>
      </w:pPr>
      <w:r>
        <w:rPr>
          <w:rStyle w:val="VerbatimChar"/>
        </w:rPr>
        <w:t xml:space="preserve">output_YYYYMMDD_HHMMSS/</w:t>
      </w:r>
      <w:r>
        <w:br/>
      </w:r>
      <w:r>
        <w:rPr>
          <w:rStyle w:val="VerbatimChar"/>
        </w:rPr>
        <w:t xml:space="preserve">├── dataset_description.json</w:t>
      </w:r>
      <w:r>
        <w:br/>
      </w:r>
      <w:r>
        <w:rPr>
          <w:rStyle w:val="VerbatimChar"/>
        </w:rPr>
        <w:t xml:space="preserve">├── participants.tsv (optional)</w:t>
      </w:r>
      <w:r>
        <w:br/>
      </w:r>
      <w:r>
        <w:rPr>
          <w:rStyle w:val="VerbatimChar"/>
        </w:rPr>
        <w:t xml:space="preserve">├── conversion_report.txt</w:t>
      </w:r>
      <w:r>
        <w:br/>
      </w:r>
      <w:r>
        <w:rPr>
          <w:rStyle w:val="VerbatimChar"/>
        </w:rPr>
        <w:t xml:space="preserve">└── sub-&lt;label&gt;/</w:t>
      </w:r>
      <w:r>
        <w:br/>
      </w:r>
      <w:r>
        <w:rPr>
          <w:rStyle w:val="VerbatimChar"/>
        </w:rPr>
        <w:t xml:space="preserve">    └── ses-&lt;label&gt;/</w:t>
      </w:r>
      <w:r>
        <w:br/>
      </w:r>
      <w:r>
        <w:rPr>
          <w:rStyle w:val="VerbatimChar"/>
        </w:rPr>
        <w:t xml:space="preserve">        ├── anat/</w:t>
      </w:r>
      <w:r>
        <w:br/>
      </w:r>
      <w:r>
        <w:rPr>
          <w:rStyle w:val="VerbatimChar"/>
        </w:rPr>
        <w:t xml:space="preserve">        │   ├── sub-&lt;label&gt;_ses-&lt;label&gt;_T1w.nii.gz</w:t>
      </w:r>
      <w:r>
        <w:br/>
      </w:r>
      <w:r>
        <w:rPr>
          <w:rStyle w:val="VerbatimChar"/>
        </w:rPr>
        <w:t xml:space="preserve">        │   └── sub-&lt;label&gt;_ses-&lt;label&gt;_T1w.json</w:t>
      </w:r>
      <w:r>
        <w:br/>
      </w:r>
      <w:r>
        <w:rPr>
          <w:rStyle w:val="VerbatimChar"/>
        </w:rPr>
        <w:t xml:space="preserve">        └── func/</w:t>
      </w:r>
      <w:r>
        <w:br/>
      </w:r>
      <w:r>
        <w:rPr>
          <w:rStyle w:val="VerbatimChar"/>
        </w:rPr>
        <w:t xml:space="preserve">            ├── sub-&lt;label&gt;_ses-&lt;label&gt;_task-&lt;name&gt;_bold.nii.gz</w:t>
      </w:r>
      <w:r>
        <w:br/>
      </w:r>
      <w:r>
        <w:rPr>
          <w:rStyle w:val="VerbatimChar"/>
        </w:rPr>
        <w:t xml:space="preserve">            └── sub-&lt;label&gt;_ses-&lt;label&gt;_task-&lt;name&gt;_bold.json</w:t>
      </w:r>
    </w:p>
    <w:bookmarkEnd w:id="58"/>
    <w:bookmarkStart w:id="59" w:name="fmriprep-output-structure"/>
    <w:p>
      <w:pPr>
        <w:pStyle w:val="Heading4"/>
      </w:pPr>
      <w:r>
        <w:t xml:space="preserve">fMRIPrep Output Structure</w:t>
      </w:r>
    </w:p>
    <w:p>
      <w:pPr>
        <w:pStyle w:val="SourceCode"/>
      </w:pPr>
      <w:r>
        <w:rPr>
          <w:rStyle w:val="VerbatimChar"/>
        </w:rPr>
        <w:t xml:space="preserve">derivatives/fmriprep/</w:t>
      </w:r>
      <w:r>
        <w:br/>
      </w:r>
      <w:r>
        <w:rPr>
          <w:rStyle w:val="VerbatimChar"/>
        </w:rPr>
        <w:t xml:space="preserve">├── dataset_description.json</w:t>
      </w:r>
      <w:r>
        <w:br/>
      </w:r>
      <w:r>
        <w:rPr>
          <w:rStyle w:val="VerbatimChar"/>
        </w:rPr>
        <w:t xml:space="preserve">├── sub-&lt;label&gt;.html</w:t>
      </w:r>
      <w:r>
        <w:br/>
      </w:r>
      <w:r>
        <w:rPr>
          <w:rStyle w:val="VerbatimChar"/>
        </w:rPr>
        <w:t xml:space="preserve">└── sub-&lt;label&gt;/</w:t>
      </w:r>
      <w:r>
        <w:br/>
      </w:r>
      <w:r>
        <w:rPr>
          <w:rStyle w:val="VerbatimChar"/>
        </w:rPr>
        <w:t xml:space="preserve">    ├── anat/</w:t>
      </w:r>
      <w:r>
        <w:br/>
      </w:r>
      <w:r>
        <w:rPr>
          <w:rStyle w:val="VerbatimChar"/>
        </w:rPr>
        <w:t xml:space="preserve">    │   ├── sub-&lt;label&gt;_desc-preproc_T1w.nii.gz</w:t>
      </w:r>
      <w:r>
        <w:br/>
      </w:r>
      <w:r>
        <w:rPr>
          <w:rStyle w:val="VerbatimChar"/>
        </w:rPr>
        <w:t xml:space="preserve">    │   ├── sub-&lt;label&gt;_space-MNI152NLin2009cAsym_desc-preproc_T1w.nii.gz</w:t>
      </w:r>
      <w:r>
        <w:br/>
      </w:r>
      <w:r>
        <w:rPr>
          <w:rStyle w:val="VerbatimChar"/>
        </w:rPr>
        <w:t xml:space="preserve">    │   └── sub-&lt;label&gt;_label-{GM,WM,CSF}_probseg.nii.gz</w:t>
      </w:r>
      <w:r>
        <w:br/>
      </w:r>
      <w:r>
        <w:rPr>
          <w:rStyle w:val="VerbatimChar"/>
        </w:rPr>
        <w:t xml:space="preserve">    └── func/</w:t>
      </w:r>
      <w:r>
        <w:br/>
      </w:r>
      <w:r>
        <w:rPr>
          <w:rStyle w:val="VerbatimChar"/>
        </w:rPr>
        <w:t xml:space="preserve">        ├── sub-&lt;label&gt;_task-&lt;name&gt;_space-MNI152NLin2009cAsym_desc-preproc_bold.nii.gz</w:t>
      </w:r>
      <w:r>
        <w:br/>
      </w:r>
      <w:r>
        <w:rPr>
          <w:rStyle w:val="VerbatimChar"/>
        </w:rPr>
        <w:t xml:space="preserve">        └── sub-&lt;label&gt;_task-&lt;name&gt;_desc-confounds_timeseries.tsv</w:t>
      </w:r>
    </w:p>
    <w:p>
      <w:r>
        <w:pict>
          <v:rect style="width:0;height:1.5pt" o:hralign="center" o:hrstd="t" o:hr="t"/>
        </w:pict>
      </w:r>
    </w:p>
    <w:p>
      <w:pPr>
        <w:pStyle w:val="FirstParagraph"/>
      </w:pPr>
      <w:r>
        <w:rPr>
          <w:i/>
          <w:iCs/>
        </w:rPr>
        <w:t xml:space="preserve">End of Thesis</w:t>
      </w:r>
    </w:p>
    <w:bookmarkEnd w:id="59"/>
    <w:bookmarkEnd w:id="60"/>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2025-12-19T14:10:07Z</dcterms:created>
  <dcterms:modified xsi:type="dcterms:W3CDTF">2025-12-19T14:10:07Z</dcterms:modified>
</cp:coreProperties>
</file>

<file path=docProps/custom.xml><?xml version="1.0" encoding="utf-8"?>
<Properties xmlns="http://schemas.openxmlformats.org/officeDocument/2006/custom-properties" xmlns:vt="http://schemas.openxmlformats.org/officeDocument/2006/docPropsVTypes"/>
</file>