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40231" w14:textId="77777777" w:rsidR="0076797E" w:rsidRPr="0076797E" w:rsidRDefault="0076797E" w:rsidP="0076797E">
      <w:pPr>
        <w:rPr>
          <w:b/>
          <w:bCs/>
        </w:rPr>
      </w:pPr>
      <w:r w:rsidRPr="0076797E">
        <w:rPr>
          <w:b/>
          <w:bCs/>
        </w:rPr>
        <w:t>Section 138 of the Income Tax Ordinance, 2001 – Recovery of Tax through Enforcement</w:t>
      </w:r>
    </w:p>
    <w:p w14:paraId="276509B0" w14:textId="77777777" w:rsidR="0076797E" w:rsidRPr="0076797E" w:rsidRDefault="0076797E" w:rsidP="0076797E">
      <w:r w:rsidRPr="0076797E">
        <w:pict w14:anchorId="4273D109">
          <v:rect id="_x0000_i1067" style="width:0;height:.75pt" o:hralign="center" o:hrstd="t" o:hr="t" fillcolor="#a0a0a0" stroked="f"/>
        </w:pict>
      </w:r>
    </w:p>
    <w:p w14:paraId="6A317063" w14:textId="77777777" w:rsidR="0076797E" w:rsidRPr="0076797E" w:rsidRDefault="0076797E" w:rsidP="0076797E">
      <w:pPr>
        <w:rPr>
          <w:b/>
          <w:bCs/>
        </w:rPr>
      </w:pPr>
      <w:r w:rsidRPr="0076797E">
        <w:rPr>
          <w:rFonts w:ascii="Segoe UI Emoji" w:hAnsi="Segoe UI Emoji" w:cs="Segoe UI Emoji"/>
          <w:b/>
          <w:bCs/>
        </w:rPr>
        <w:t>🔍</w:t>
      </w:r>
      <w:r w:rsidRPr="0076797E">
        <w:rPr>
          <w:b/>
          <w:bCs/>
        </w:rPr>
        <w:t xml:space="preserve"> Overview</w:t>
      </w:r>
    </w:p>
    <w:p w14:paraId="05B182CD" w14:textId="77777777" w:rsidR="0076797E" w:rsidRPr="0076797E" w:rsidRDefault="0076797E" w:rsidP="0076797E">
      <w:r w:rsidRPr="0076797E">
        <w:t>Section 138 of the </w:t>
      </w:r>
      <w:r w:rsidRPr="0076797E">
        <w:rPr>
          <w:b/>
          <w:bCs/>
        </w:rPr>
        <w:t>Income Tax Ordinance, 2001</w:t>
      </w:r>
      <w:r w:rsidRPr="0076797E">
        <w:t> grants the </w:t>
      </w:r>
      <w:r w:rsidRPr="0076797E">
        <w:rPr>
          <w:b/>
          <w:bCs/>
        </w:rPr>
        <w:t>Federal Board of Revenue (FBR)</w:t>
      </w:r>
      <w:r w:rsidRPr="0076797E">
        <w:t> the authority to enforce recovery of unpaid tax dues. When a taxpayer fails to pay their tax liability after being served a demand notice, FBR is empowered to initiate </w:t>
      </w:r>
      <w:r w:rsidRPr="0076797E">
        <w:rPr>
          <w:b/>
          <w:bCs/>
        </w:rPr>
        <w:t>coercive recovery measures</w:t>
      </w:r>
      <w:r w:rsidRPr="0076797E">
        <w:t> — such as freezing bank accounts, attaching assets, or appointing a receiver.</w:t>
      </w:r>
    </w:p>
    <w:p w14:paraId="05F3971E" w14:textId="77777777" w:rsidR="0076797E" w:rsidRPr="0076797E" w:rsidRDefault="0076797E" w:rsidP="0076797E">
      <w:r w:rsidRPr="0076797E">
        <w:t>This section represents the final stage of enforcement in tax collection and should be taken </w:t>
      </w:r>
      <w:r w:rsidRPr="0076797E">
        <w:rPr>
          <w:b/>
          <w:bCs/>
        </w:rPr>
        <w:t>very seriously</w:t>
      </w:r>
      <w:r w:rsidRPr="0076797E">
        <w:t> by taxpayers.</w:t>
      </w:r>
    </w:p>
    <w:p w14:paraId="6CF9068E" w14:textId="77777777" w:rsidR="0076797E" w:rsidRPr="0076797E" w:rsidRDefault="0076797E" w:rsidP="0076797E">
      <w:r w:rsidRPr="0076797E">
        <w:pict w14:anchorId="70272008">
          <v:rect id="_x0000_i1068" style="width:0;height:.75pt" o:hralign="center" o:hrstd="t" o:hr="t" fillcolor="#a0a0a0" stroked="f"/>
        </w:pict>
      </w:r>
    </w:p>
    <w:p w14:paraId="287D5951" w14:textId="77777777" w:rsidR="0076797E" w:rsidRPr="0076797E" w:rsidRDefault="0076797E" w:rsidP="0076797E">
      <w:pPr>
        <w:rPr>
          <w:b/>
          <w:bCs/>
        </w:rPr>
      </w:pPr>
      <w:r w:rsidRPr="0076797E">
        <w:rPr>
          <w:rFonts w:ascii="Segoe UI Emoji" w:hAnsi="Segoe UI Emoji" w:cs="Segoe UI Emoji"/>
          <w:b/>
          <w:bCs/>
        </w:rPr>
        <w:t>📜</w:t>
      </w:r>
      <w:r w:rsidRPr="0076797E">
        <w:rPr>
          <w:b/>
          <w:bCs/>
        </w:rPr>
        <w:t xml:space="preserve"> Legal Text – What Does Section 138 Say?</w:t>
      </w:r>
    </w:p>
    <w:p w14:paraId="6BD84945" w14:textId="77777777" w:rsidR="0076797E" w:rsidRPr="0076797E" w:rsidRDefault="0076797E" w:rsidP="0076797E">
      <w:pPr>
        <w:rPr>
          <w:i/>
          <w:iCs/>
        </w:rPr>
      </w:pPr>
      <w:r w:rsidRPr="0076797E">
        <w:rPr>
          <w:b/>
          <w:bCs/>
          <w:i/>
          <w:iCs/>
        </w:rPr>
        <w:t>Section 138(1)</w:t>
      </w:r>
      <w:r w:rsidRPr="0076797E">
        <w:rPr>
          <w:i/>
          <w:iCs/>
        </w:rPr>
        <w:t>: “Where any tax due under this Ordinance is not paid within the time specified in the notice of demand, the Commissioner may proceed to recover the tax by attachment and sale of the taxpayer’s movable or immovable property, including through the bank accounts, or by appointing a receiver.”</w:t>
      </w:r>
    </w:p>
    <w:p w14:paraId="637FDBE4" w14:textId="77777777" w:rsidR="0076797E" w:rsidRPr="0076797E" w:rsidRDefault="0076797E" w:rsidP="0076797E">
      <w:r w:rsidRPr="0076797E">
        <w:rPr>
          <w:b/>
          <w:bCs/>
        </w:rPr>
        <w:t>Translation:</w:t>
      </w:r>
      <w:r w:rsidRPr="0076797E">
        <w:t> If a tax liability is not cleared within the time allowed in the notice of demand, FBR can recover the amount through </w:t>
      </w:r>
      <w:r w:rsidRPr="0076797E">
        <w:rPr>
          <w:b/>
          <w:bCs/>
        </w:rPr>
        <w:t>direct legal actions</w:t>
      </w:r>
      <w:r w:rsidRPr="0076797E">
        <w:t> against your assets.</w:t>
      </w:r>
    </w:p>
    <w:p w14:paraId="3B23B589" w14:textId="77777777" w:rsidR="0076797E" w:rsidRPr="0076797E" w:rsidRDefault="0076797E" w:rsidP="0076797E">
      <w:r w:rsidRPr="0076797E">
        <w:pict w14:anchorId="2804C3FA">
          <v:rect id="_x0000_i1069" style="width:0;height:.75pt" o:hralign="center" o:hrstd="t" o:hr="t" fillcolor="#a0a0a0" stroked="f"/>
        </w:pict>
      </w:r>
    </w:p>
    <w:p w14:paraId="63F81E56" w14:textId="77777777" w:rsidR="0076797E" w:rsidRPr="0076797E" w:rsidRDefault="0076797E" w:rsidP="0076797E">
      <w:pPr>
        <w:rPr>
          <w:b/>
          <w:bCs/>
        </w:rPr>
      </w:pPr>
      <w:r w:rsidRPr="0076797E">
        <w:rPr>
          <w:rFonts w:ascii="Segoe UI Emoji" w:hAnsi="Segoe UI Emoji" w:cs="Segoe UI Emoji"/>
          <w:b/>
          <w:bCs/>
        </w:rPr>
        <w:t>🛑</w:t>
      </w:r>
      <w:r w:rsidRPr="0076797E">
        <w:rPr>
          <w:b/>
          <w:bCs/>
        </w:rPr>
        <w:t xml:space="preserve"> When Is a Section 138 Notice Issued?</w:t>
      </w:r>
    </w:p>
    <w:p w14:paraId="40B0B3B7" w14:textId="77777777" w:rsidR="0076797E" w:rsidRPr="0076797E" w:rsidRDefault="0076797E" w:rsidP="0076797E">
      <w:r w:rsidRPr="0076797E">
        <w:t>A notice under Section 138 is issued </w:t>
      </w:r>
      <w:r w:rsidRPr="0076797E">
        <w:rPr>
          <w:b/>
          <w:bCs/>
        </w:rPr>
        <w:t>after a taxpayer fails to comply with a prior demand notice</w:t>
      </w:r>
      <w:r w:rsidRPr="0076797E">
        <w:t>, typically served under </w:t>
      </w:r>
      <w:r w:rsidRPr="0076797E">
        <w:rPr>
          <w:b/>
          <w:bCs/>
        </w:rPr>
        <w:t>Section 137</w:t>
      </w:r>
      <w:r w:rsidRPr="0076797E">
        <w:t>. If the taxpayer neither pays nor challenges the demand, FBR proceeds with recovery enforcement.</w:t>
      </w:r>
    </w:p>
    <w:p w14:paraId="55EB5197" w14:textId="77777777" w:rsidR="0076797E" w:rsidRPr="0076797E" w:rsidRDefault="0076797E" w:rsidP="0076797E">
      <w:pPr>
        <w:rPr>
          <w:b/>
          <w:bCs/>
        </w:rPr>
      </w:pPr>
      <w:r w:rsidRPr="0076797E">
        <w:rPr>
          <w:rFonts w:ascii="Segoe UI Emoji" w:hAnsi="Segoe UI Emoji" w:cs="Segoe UI Emoji"/>
          <w:b/>
          <w:bCs/>
        </w:rPr>
        <w:t>✅</w:t>
      </w:r>
      <w:r w:rsidRPr="0076797E">
        <w:rPr>
          <w:b/>
          <w:bCs/>
        </w:rPr>
        <w:t xml:space="preserve"> Typical Triggers:</w:t>
      </w:r>
    </w:p>
    <w:p w14:paraId="3FA5ED17" w14:textId="77777777" w:rsidR="0076797E" w:rsidRPr="0076797E" w:rsidRDefault="0076797E" w:rsidP="0076797E">
      <w:pPr>
        <w:numPr>
          <w:ilvl w:val="0"/>
          <w:numId w:val="1"/>
        </w:numPr>
      </w:pPr>
      <w:r w:rsidRPr="0076797E">
        <w:t>Non-payment of tax determined after audit or assessment</w:t>
      </w:r>
    </w:p>
    <w:p w14:paraId="5B856006" w14:textId="77777777" w:rsidR="0076797E" w:rsidRPr="0076797E" w:rsidRDefault="0076797E" w:rsidP="0076797E">
      <w:pPr>
        <w:numPr>
          <w:ilvl w:val="0"/>
          <w:numId w:val="1"/>
        </w:numPr>
      </w:pPr>
      <w:r w:rsidRPr="0076797E">
        <w:t>Default on installment agreements</w:t>
      </w:r>
    </w:p>
    <w:p w14:paraId="26C1A9C3" w14:textId="77777777" w:rsidR="0076797E" w:rsidRPr="0076797E" w:rsidRDefault="0076797E" w:rsidP="0076797E">
      <w:pPr>
        <w:numPr>
          <w:ilvl w:val="0"/>
          <w:numId w:val="1"/>
        </w:numPr>
      </w:pPr>
      <w:r w:rsidRPr="0076797E">
        <w:t>Rejected appeals without further challenge</w:t>
      </w:r>
    </w:p>
    <w:p w14:paraId="6E9A60AC" w14:textId="77777777" w:rsidR="0076797E" w:rsidRPr="0076797E" w:rsidRDefault="0076797E" w:rsidP="0076797E">
      <w:pPr>
        <w:numPr>
          <w:ilvl w:val="0"/>
          <w:numId w:val="1"/>
        </w:numPr>
      </w:pPr>
      <w:r w:rsidRPr="0076797E">
        <w:t>Ignored tax notices or non-response to reminders</w:t>
      </w:r>
    </w:p>
    <w:p w14:paraId="337BA796" w14:textId="77777777" w:rsidR="0076797E" w:rsidRPr="0076797E" w:rsidRDefault="0076797E" w:rsidP="0076797E">
      <w:r w:rsidRPr="0076797E">
        <w:pict w14:anchorId="59DF050B">
          <v:rect id="_x0000_i1070" style="width:0;height:.75pt" o:hralign="center" o:hrstd="t" o:hr="t" fillcolor="#a0a0a0" stroked="f"/>
        </w:pict>
      </w:r>
    </w:p>
    <w:p w14:paraId="29D8FE22" w14:textId="77777777" w:rsidR="0076797E" w:rsidRPr="0076797E" w:rsidRDefault="0076797E" w:rsidP="0076797E">
      <w:pPr>
        <w:rPr>
          <w:b/>
          <w:bCs/>
        </w:rPr>
      </w:pPr>
      <w:r w:rsidRPr="0076797E">
        <w:rPr>
          <w:rFonts w:ascii="Segoe UI Emoji" w:hAnsi="Segoe UI Emoji" w:cs="Segoe UI Emoji"/>
          <w:b/>
          <w:bCs/>
        </w:rPr>
        <w:t>⚙️</w:t>
      </w:r>
      <w:r w:rsidRPr="0076797E">
        <w:rPr>
          <w:b/>
          <w:bCs/>
        </w:rPr>
        <w:t xml:space="preserve"> Modes of Recovery under Section 138 – How FBR Recovers Unpaid Taxes</w:t>
      </w:r>
    </w:p>
    <w:p w14:paraId="049A33A0" w14:textId="77777777" w:rsidR="0076797E" w:rsidRPr="0076797E" w:rsidRDefault="0076797E" w:rsidP="0076797E">
      <w:r w:rsidRPr="0076797E">
        <w:lastRenderedPageBreak/>
        <w:t>FBR can use several legal methods to recover outstanding tax dues from defaulting taxpayers:</w:t>
      </w:r>
    </w:p>
    <w:p w14:paraId="2ABB295D" w14:textId="77777777" w:rsidR="0076797E" w:rsidRPr="0076797E" w:rsidRDefault="0076797E" w:rsidP="0076797E">
      <w:pPr>
        <w:numPr>
          <w:ilvl w:val="0"/>
          <w:numId w:val="2"/>
        </w:numPr>
      </w:pPr>
      <w:r w:rsidRPr="0076797E">
        <w:rPr>
          <w:b/>
          <w:bCs/>
        </w:rPr>
        <w:t>Bank Account Attachment</w:t>
      </w:r>
      <w:r w:rsidRPr="0076797E">
        <w:t> FBR may instruct a bank to freeze and debit the taxpayer’s account for the amount due.</w:t>
      </w:r>
    </w:p>
    <w:p w14:paraId="692E9D04" w14:textId="77777777" w:rsidR="0076797E" w:rsidRPr="0076797E" w:rsidRDefault="0076797E" w:rsidP="0076797E">
      <w:pPr>
        <w:numPr>
          <w:ilvl w:val="0"/>
          <w:numId w:val="2"/>
        </w:numPr>
      </w:pPr>
      <w:r w:rsidRPr="0076797E">
        <w:rPr>
          <w:b/>
          <w:bCs/>
        </w:rPr>
        <w:t>Property Seizure</w:t>
      </w:r>
      <w:r w:rsidRPr="0076797E">
        <w:t> FBR can seize movable assets like vehicles or stock, and immovable assets like land or buildings, for recovery purposes. These may be sealed or auctioned.</w:t>
      </w:r>
    </w:p>
    <w:p w14:paraId="3C4A8030" w14:textId="77777777" w:rsidR="0076797E" w:rsidRPr="0076797E" w:rsidRDefault="0076797E" w:rsidP="0076797E">
      <w:pPr>
        <w:numPr>
          <w:ilvl w:val="0"/>
          <w:numId w:val="2"/>
        </w:numPr>
      </w:pPr>
      <w:r w:rsidRPr="0076797E">
        <w:rPr>
          <w:b/>
          <w:bCs/>
        </w:rPr>
        <w:t>Salary Garnishment</w:t>
      </w:r>
      <w:r w:rsidRPr="0076797E">
        <w:t> If the taxpayer is a salaried individual, FBR can direct the employer to deduct a portion of the salary and deposit it as tax.</w:t>
      </w:r>
    </w:p>
    <w:p w14:paraId="11249432" w14:textId="77777777" w:rsidR="0076797E" w:rsidRPr="0076797E" w:rsidRDefault="0076797E" w:rsidP="0076797E">
      <w:pPr>
        <w:numPr>
          <w:ilvl w:val="0"/>
          <w:numId w:val="2"/>
        </w:numPr>
      </w:pPr>
      <w:r w:rsidRPr="0076797E">
        <w:rPr>
          <w:b/>
          <w:bCs/>
        </w:rPr>
        <w:t>Appointment of Receiver</w:t>
      </w:r>
      <w:r w:rsidRPr="0076797E">
        <w:t> A court-appointed receiver may take control of the taxpayer’s business or property to manage revenue recovery.</w:t>
      </w:r>
    </w:p>
    <w:p w14:paraId="43560513" w14:textId="77777777" w:rsidR="0076797E" w:rsidRPr="0076797E" w:rsidRDefault="0076797E" w:rsidP="0076797E">
      <w:pPr>
        <w:numPr>
          <w:ilvl w:val="0"/>
          <w:numId w:val="2"/>
        </w:numPr>
      </w:pPr>
      <w:r w:rsidRPr="0076797E">
        <w:rPr>
          <w:b/>
          <w:bCs/>
        </w:rPr>
        <w:t>Auction Proceedings</w:t>
      </w:r>
      <w:r w:rsidRPr="0076797E">
        <w:t> After issuing a notice, FBR may conduct a public auction of the taxpayer’s attached assets to recover dues.</w:t>
      </w:r>
    </w:p>
    <w:p w14:paraId="560D8B9C" w14:textId="77777777" w:rsidR="0076797E" w:rsidRPr="0076797E" w:rsidRDefault="0076797E" w:rsidP="0076797E">
      <w:r w:rsidRPr="0076797E">
        <w:pict w14:anchorId="5BD14BD0">
          <v:rect id="_x0000_i1071" style="width:0;height:.75pt" o:hralign="center" o:hrstd="t" o:hr="t" fillcolor="#a0a0a0" stroked="f"/>
        </w:pict>
      </w:r>
    </w:p>
    <w:p w14:paraId="60B1B41D" w14:textId="77777777" w:rsidR="0076797E" w:rsidRPr="0076797E" w:rsidRDefault="0076797E" w:rsidP="0076797E">
      <w:r w:rsidRPr="0076797E">
        <w:rPr>
          <w:rFonts w:ascii="Segoe UI Emoji" w:hAnsi="Segoe UI Emoji" w:cs="Segoe UI Emoji"/>
        </w:rPr>
        <w:t>✅</w:t>
      </w:r>
      <w:r w:rsidRPr="0076797E">
        <w:t xml:space="preserve"> Timely action and legal advice are essential to avoid these consequences. If you’ve received a recovery notice under Section 138, consult a qualified tax professional immediately.</w:t>
      </w:r>
    </w:p>
    <w:p w14:paraId="1C57B193" w14:textId="77777777" w:rsidR="0076797E" w:rsidRPr="0076797E" w:rsidRDefault="0076797E" w:rsidP="0076797E">
      <w:r w:rsidRPr="0076797E">
        <w:pict w14:anchorId="07565C15">
          <v:rect id="_x0000_i1072" style="width:0;height:.75pt" o:hralign="center" o:hrstd="t" o:hr="t" fillcolor="#a0a0a0" stroked="f"/>
        </w:pict>
      </w:r>
    </w:p>
    <w:p w14:paraId="6B442399" w14:textId="77777777" w:rsidR="0076797E" w:rsidRPr="0076797E" w:rsidRDefault="0076797E" w:rsidP="0076797E">
      <w:pPr>
        <w:rPr>
          <w:b/>
          <w:bCs/>
        </w:rPr>
      </w:pPr>
      <w:r w:rsidRPr="0076797E">
        <w:rPr>
          <w:rFonts w:ascii="Segoe UI Emoji" w:hAnsi="Segoe UI Emoji" w:cs="Segoe UI Emoji"/>
          <w:b/>
          <w:bCs/>
        </w:rPr>
        <w:t>📌</w:t>
      </w:r>
      <w:r w:rsidRPr="0076797E">
        <w:rPr>
          <w:b/>
          <w:bCs/>
        </w:rPr>
        <w:t xml:space="preserve"> What Should a Taxpayer Do Upon Receiving a Section 138 Notice?</w:t>
      </w:r>
    </w:p>
    <w:p w14:paraId="3016A490" w14:textId="77777777" w:rsidR="0076797E" w:rsidRPr="0076797E" w:rsidRDefault="0076797E" w:rsidP="0076797E">
      <w:r w:rsidRPr="0076797E">
        <w:t>Receiving a recovery notice can be alarming, but prompt and informed action can help avoid severe consequences.</w:t>
      </w:r>
    </w:p>
    <w:p w14:paraId="6FB3E514" w14:textId="77777777" w:rsidR="0076797E" w:rsidRPr="0076797E" w:rsidRDefault="0076797E" w:rsidP="0076797E">
      <w:pPr>
        <w:rPr>
          <w:b/>
          <w:bCs/>
        </w:rPr>
      </w:pPr>
      <w:r w:rsidRPr="0076797E">
        <w:rPr>
          <w:rFonts w:ascii="Segoe UI Emoji" w:hAnsi="Segoe UI Emoji" w:cs="Segoe UI Emoji"/>
          <w:b/>
          <w:bCs/>
        </w:rPr>
        <w:t>✅</w:t>
      </w:r>
      <w:r w:rsidRPr="0076797E">
        <w:rPr>
          <w:b/>
          <w:bCs/>
        </w:rPr>
        <w:t xml:space="preserve"> Recommended Steps:</w:t>
      </w:r>
    </w:p>
    <w:p w14:paraId="63681604" w14:textId="77777777" w:rsidR="0076797E" w:rsidRPr="0076797E" w:rsidRDefault="0076797E" w:rsidP="0076797E">
      <w:pPr>
        <w:numPr>
          <w:ilvl w:val="0"/>
          <w:numId w:val="3"/>
        </w:numPr>
      </w:pPr>
      <w:r w:rsidRPr="0076797E">
        <w:rPr>
          <w:b/>
          <w:bCs/>
        </w:rPr>
        <w:t>Review the Notice Carefully</w:t>
      </w:r>
      <w:r w:rsidRPr="0076797E">
        <w:t> Cross-check the amount and legal reference. It may stem from a prior assessment, penalty, or default.</w:t>
      </w:r>
    </w:p>
    <w:p w14:paraId="2B218B12" w14:textId="77777777" w:rsidR="0076797E" w:rsidRPr="0076797E" w:rsidRDefault="0076797E" w:rsidP="0076797E">
      <w:pPr>
        <w:numPr>
          <w:ilvl w:val="0"/>
          <w:numId w:val="3"/>
        </w:numPr>
      </w:pPr>
      <w:r w:rsidRPr="0076797E">
        <w:rPr>
          <w:b/>
          <w:bCs/>
        </w:rPr>
        <w:t>Verify the Validity of Demand</w:t>
      </w:r>
      <w:r w:rsidRPr="0076797E">
        <w:t> If the amount is disputed, consider filing a </w:t>
      </w:r>
      <w:r w:rsidRPr="0076797E">
        <w:rPr>
          <w:b/>
          <w:bCs/>
        </w:rPr>
        <w:t>stay application</w:t>
      </w:r>
      <w:r w:rsidRPr="0076797E">
        <w:t> with the Commissioner (Appeals), </w:t>
      </w:r>
      <w:r w:rsidRPr="0076797E">
        <w:rPr>
          <w:b/>
          <w:bCs/>
        </w:rPr>
        <w:t>Appellate Tribunal</w:t>
      </w:r>
      <w:r w:rsidRPr="0076797E">
        <w:t>, or the </w:t>
      </w:r>
      <w:r w:rsidRPr="0076797E">
        <w:rPr>
          <w:b/>
          <w:bCs/>
        </w:rPr>
        <w:t>High Court</w:t>
      </w:r>
      <w:r w:rsidRPr="0076797E">
        <w:t> depending on your stage of litigation.</w:t>
      </w:r>
    </w:p>
    <w:p w14:paraId="40E0EF6E" w14:textId="77777777" w:rsidR="0076797E" w:rsidRPr="0076797E" w:rsidRDefault="0076797E" w:rsidP="0076797E">
      <w:pPr>
        <w:numPr>
          <w:ilvl w:val="0"/>
          <w:numId w:val="3"/>
        </w:numPr>
      </w:pPr>
      <w:r w:rsidRPr="0076797E">
        <w:rPr>
          <w:b/>
          <w:bCs/>
        </w:rPr>
        <w:t>Pay Immediately (if due)</w:t>
      </w:r>
      <w:r w:rsidRPr="0076797E">
        <w:t> If the liability is correct and undisputed, settle it at the earliest to avoid enforcement actions.</w:t>
      </w:r>
    </w:p>
    <w:p w14:paraId="104E2A27" w14:textId="77777777" w:rsidR="0076797E" w:rsidRPr="0076797E" w:rsidRDefault="0076797E" w:rsidP="0076797E">
      <w:pPr>
        <w:numPr>
          <w:ilvl w:val="0"/>
          <w:numId w:val="3"/>
        </w:numPr>
      </w:pPr>
      <w:r w:rsidRPr="0076797E">
        <w:rPr>
          <w:b/>
          <w:bCs/>
        </w:rPr>
        <w:t>Engage a Tax Consultant or Lawyer</w:t>
      </w:r>
      <w:r w:rsidRPr="0076797E">
        <w:t> Legal guidance is crucial for navigating the intricacies of tax litigation and for filing urgent applications.</w:t>
      </w:r>
    </w:p>
    <w:p w14:paraId="21B3CFD2" w14:textId="77777777" w:rsidR="0076797E" w:rsidRPr="0076797E" w:rsidRDefault="0076797E" w:rsidP="0076797E">
      <w:r w:rsidRPr="0076797E">
        <w:pict w14:anchorId="17174C3A">
          <v:rect id="_x0000_i1073" style="width:0;height:.75pt" o:hralign="center" o:hrstd="t" o:hr="t" fillcolor="#a0a0a0" stroked="f"/>
        </w:pict>
      </w:r>
    </w:p>
    <w:p w14:paraId="0A3860DE" w14:textId="77777777" w:rsidR="0076797E" w:rsidRPr="0076797E" w:rsidRDefault="0076797E" w:rsidP="0076797E">
      <w:pPr>
        <w:rPr>
          <w:b/>
          <w:bCs/>
        </w:rPr>
      </w:pPr>
      <w:r w:rsidRPr="0076797E">
        <w:rPr>
          <w:rFonts w:ascii="Segoe UI Emoji" w:hAnsi="Segoe UI Emoji" w:cs="Segoe UI Emoji"/>
          <w:b/>
          <w:bCs/>
        </w:rPr>
        <w:lastRenderedPageBreak/>
        <w:t>💼</w:t>
      </w:r>
      <w:r w:rsidRPr="0076797E">
        <w:rPr>
          <w:b/>
          <w:bCs/>
        </w:rPr>
        <w:t xml:space="preserve"> Example – How Section 138 Works in Practice</w:t>
      </w:r>
    </w:p>
    <w:p w14:paraId="2FE8D341" w14:textId="77777777" w:rsidR="0076797E" w:rsidRPr="0076797E" w:rsidRDefault="0076797E" w:rsidP="0076797E">
      <w:r w:rsidRPr="0076797E">
        <w:rPr>
          <w:b/>
          <w:bCs/>
        </w:rPr>
        <w:t>Case Example:</w:t>
      </w:r>
      <w:r w:rsidRPr="0076797E">
        <w:t> </w:t>
      </w:r>
      <w:r w:rsidRPr="0076797E">
        <w:rPr>
          <w:i/>
          <w:iCs/>
        </w:rPr>
        <w:t>Mr. B</w:t>
      </w:r>
      <w:r w:rsidRPr="0076797E">
        <w:t>, a textile trader, is issued a demand notice of </w:t>
      </w:r>
      <w:r w:rsidRPr="0076797E">
        <w:rPr>
          <w:b/>
          <w:bCs/>
        </w:rPr>
        <w:t>PKR 3 million</w:t>
      </w:r>
      <w:r w:rsidRPr="0076797E">
        <w:t> after an audit. He ignores it, assuming the matter will lapse. FBR, after repeated reminders, invokes Section 138 and writes to his bank. His accounts are frozen without warning. Later, FBR attaches his warehouse inventory for auction.</w:t>
      </w:r>
    </w:p>
    <w:p w14:paraId="11FD3DB5" w14:textId="77777777" w:rsidR="0076797E" w:rsidRPr="0076797E" w:rsidRDefault="0076797E" w:rsidP="0076797E">
      <w:r w:rsidRPr="0076797E">
        <w:rPr>
          <w:i/>
          <w:iCs/>
        </w:rPr>
        <w:t>Lesson:</w:t>
      </w:r>
      <w:r w:rsidRPr="0076797E">
        <w:t> Procrastination in tax matters can lead to </w:t>
      </w:r>
      <w:r w:rsidRPr="0076797E">
        <w:rPr>
          <w:b/>
          <w:bCs/>
        </w:rPr>
        <w:t>irreversible damage</w:t>
      </w:r>
      <w:r w:rsidRPr="0076797E">
        <w:t> to your business and reputation.</w:t>
      </w:r>
    </w:p>
    <w:p w14:paraId="2D0FBF44" w14:textId="77777777" w:rsidR="00E10AE3" w:rsidRDefault="00E10AE3"/>
    <w:sectPr w:rsidR="00E10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85A2D"/>
    <w:multiLevelType w:val="multilevel"/>
    <w:tmpl w:val="4D90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3E2F5B"/>
    <w:multiLevelType w:val="multilevel"/>
    <w:tmpl w:val="DBD28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516DC4"/>
    <w:multiLevelType w:val="multilevel"/>
    <w:tmpl w:val="8C16B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132993">
    <w:abstractNumId w:val="0"/>
  </w:num>
  <w:num w:numId="2" w16cid:durableId="547953619">
    <w:abstractNumId w:val="1"/>
  </w:num>
  <w:num w:numId="3" w16cid:durableId="246234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D9C"/>
    <w:rsid w:val="0001323A"/>
    <w:rsid w:val="0012016B"/>
    <w:rsid w:val="00285D9C"/>
    <w:rsid w:val="0029309B"/>
    <w:rsid w:val="003D1835"/>
    <w:rsid w:val="0076797E"/>
    <w:rsid w:val="008C514D"/>
    <w:rsid w:val="00E10AE3"/>
    <w:rsid w:val="00FF53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B11171-80BD-4652-A4EC-A08CF4C24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5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5D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5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5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5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5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5D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5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D9C"/>
    <w:rPr>
      <w:rFonts w:eastAsiaTheme="majorEastAsia" w:cstheme="majorBidi"/>
      <w:color w:val="272727" w:themeColor="text1" w:themeTint="D8"/>
    </w:rPr>
  </w:style>
  <w:style w:type="paragraph" w:styleId="Title">
    <w:name w:val="Title"/>
    <w:basedOn w:val="Normal"/>
    <w:next w:val="Normal"/>
    <w:link w:val="TitleChar"/>
    <w:uiPriority w:val="10"/>
    <w:qFormat/>
    <w:rsid w:val="00285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D9C"/>
    <w:pPr>
      <w:spacing w:before="160"/>
      <w:jc w:val="center"/>
    </w:pPr>
    <w:rPr>
      <w:i/>
      <w:iCs/>
      <w:color w:val="404040" w:themeColor="text1" w:themeTint="BF"/>
    </w:rPr>
  </w:style>
  <w:style w:type="character" w:customStyle="1" w:styleId="QuoteChar">
    <w:name w:val="Quote Char"/>
    <w:basedOn w:val="DefaultParagraphFont"/>
    <w:link w:val="Quote"/>
    <w:uiPriority w:val="29"/>
    <w:rsid w:val="00285D9C"/>
    <w:rPr>
      <w:i/>
      <w:iCs/>
      <w:color w:val="404040" w:themeColor="text1" w:themeTint="BF"/>
    </w:rPr>
  </w:style>
  <w:style w:type="paragraph" w:styleId="ListParagraph">
    <w:name w:val="List Paragraph"/>
    <w:basedOn w:val="Normal"/>
    <w:uiPriority w:val="34"/>
    <w:qFormat/>
    <w:rsid w:val="00285D9C"/>
    <w:pPr>
      <w:ind w:left="720"/>
      <w:contextualSpacing/>
    </w:pPr>
  </w:style>
  <w:style w:type="character" w:styleId="IntenseEmphasis">
    <w:name w:val="Intense Emphasis"/>
    <w:basedOn w:val="DefaultParagraphFont"/>
    <w:uiPriority w:val="21"/>
    <w:qFormat/>
    <w:rsid w:val="00285D9C"/>
    <w:rPr>
      <w:i/>
      <w:iCs/>
      <w:color w:val="2F5496" w:themeColor="accent1" w:themeShade="BF"/>
    </w:rPr>
  </w:style>
  <w:style w:type="paragraph" w:styleId="IntenseQuote">
    <w:name w:val="Intense Quote"/>
    <w:basedOn w:val="Normal"/>
    <w:next w:val="Normal"/>
    <w:link w:val="IntenseQuoteChar"/>
    <w:uiPriority w:val="30"/>
    <w:qFormat/>
    <w:rsid w:val="00285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D9C"/>
    <w:rPr>
      <w:i/>
      <w:iCs/>
      <w:color w:val="2F5496" w:themeColor="accent1" w:themeShade="BF"/>
    </w:rPr>
  </w:style>
  <w:style w:type="character" w:styleId="IntenseReference">
    <w:name w:val="Intense Reference"/>
    <w:basedOn w:val="DefaultParagraphFont"/>
    <w:uiPriority w:val="32"/>
    <w:qFormat/>
    <w:rsid w:val="00285D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581</Words>
  <Characters>3315</Characters>
  <Application>Microsoft Office Word</Application>
  <DocSecurity>0</DocSecurity>
  <Lines>27</Lines>
  <Paragraphs>7</Paragraphs>
  <ScaleCrop>false</ScaleCrop>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pervaiz malik</dc:creator>
  <cp:keywords/>
  <dc:description/>
  <cp:lastModifiedBy>omer pervaiz malik</cp:lastModifiedBy>
  <cp:revision>2</cp:revision>
  <dcterms:created xsi:type="dcterms:W3CDTF">2026-04-18T13:41:00Z</dcterms:created>
  <dcterms:modified xsi:type="dcterms:W3CDTF">2026-04-18T13:41:00Z</dcterms:modified>
</cp:coreProperties>
</file>