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/>
          <w:b/>
          <w:sz w:val="36"/>
        </w:rPr>
        <w:t>RECOMMENDER SYSTEMS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 Collaborative Filtering Approach Based on Naïve Bayes Classifier</w:t>
      </w:r>
    </w:p>
    <w:p/>
    <w:p>
      <w:pPr>
        <w:jc w:val="center"/>
      </w:pPr>
      <w:r>
        <w:rPr>
          <w:rFonts w:ascii="Times New Roman" w:hAnsi="Times New Roman"/>
          <w:sz w:val="26"/>
        </w:rPr>
        <w:t>Report 2 — Midterm vs. Final: Summary of Differences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Supervisor: Gamze USLU, Ph.D.</w:t>
      </w:r>
    </w:p>
    <w:p>
      <w:pPr>
        <w:jc w:val="center"/>
      </w:pPr>
      <w:r>
        <w:rPr>
          <w:rFonts w:ascii="Times New Roman" w:hAnsi="Times New Roman"/>
          <w:sz w:val="24"/>
        </w:rPr>
        <w:t>Ömer MANAV – 210209003</w:t>
      </w:r>
    </w:p>
    <w:p>
      <w:pPr>
        <w:jc w:val="center"/>
      </w:pPr>
      <w:r>
        <w:rPr>
          <w:rFonts w:ascii="Times New Roman" w:hAnsi="Times New Roman"/>
          <w:sz w:val="24"/>
        </w:rPr>
        <w:t>Kaan Bahadır SAĞRA – 210201011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color w:val="1A4F8A"/>
        </w:rPr>
        <w:t>Overview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4"/>
        </w:rPr>
        <w:t>The final submission extends the midterm NBCF implementation with two algorithmic improvements and three evaluation additions. The midterm's temporal hybrid achieved MAE = 0.792 but had a non-functional confidence system (0% coverage) and evaluated only a single narrow user group. The final version addresses both issues and adds RMSE, stratified user-group analysis, and an alpha sensitivity study.</w:t>
      </w:r>
    </w:p>
    <w:p>
      <w:pPr>
        <w:pStyle w:val="Heading1"/>
        <w:jc w:val="left"/>
      </w:pPr>
      <w:r>
        <w:rPr>
          <w:rFonts w:ascii="Times New Roman" w:hAnsi="Times New Roman"/>
          <w:color w:val="1A4F8A"/>
        </w:rPr>
        <w:t>Algorithm Changes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1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Change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Impact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Top-K Neighbor</w:t>
              <w:br/>
              <w:t>Selection (NEW)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Candidates ranked by co-rater overlap</w:t>
              <w:br/>
              <w:t>(|users(i)∩users(j)| for UB;</w:t>
              <w:br/>
              <w:t>|items(u)∩items(v)| for IB).</w:t>
              <w:br/>
              <w:t>Top K=30 retained; rest discarded.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Latency: 34.8ms → 14.3ms (−59%)</w:t>
              <w:br/>
              <w:t>MAE medium users: 0.803 → 0.753 (−6.2%)</w:t>
              <w:br/>
              <w:t>MAE heavy users: 0.740 → 0.777 (+slight)</w:t>
            </w:r>
          </w:p>
        </w:tc>
      </w:tr>
      <w:tr>
        <w:tc>
          <w:tcPr>
            <w:tcW w:type="dxa" w:w="215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Confidence Score</w:t>
              <w:br/>
              <w:t>Fixed (UPDATED)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Entropy-based measure replaced with</w:t>
              <w:br/>
              <w:t>max-probability: conf = max P(y|u,i)</w:t>
              <w:br/>
              <w:t>applied to UB-Temporal scores before</w:t>
              <w:br/>
              <w:t>geometric hybrid mixing.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Coverage: 0% → 29.3% (at τ=0.45)</w:t>
              <w:br/>
              <w:t>Filtered MAE: 0.706 (−11.5% vs overall)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1A4F8A"/>
        </w:rPr>
        <w:t>Evaluation Changes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Addition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Midterm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Final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RMSE metric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Not reported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Added alongside MAE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User group eval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20–30 rating users only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Light / Medium / Heavy (300 each)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Alpha sensitivity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α=0.01 fixed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 values: 0.001 – 1.0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Confidence sweep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Single threshold τ=0.30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Sweep τ=0.20 to 0.95 (Figure 8)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New figures/tables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 figures, 5 tables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 figures, 7 tables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1A4F8A"/>
        </w:rPr>
        <w:t>Metric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MAE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RMSE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Coverage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Latency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UB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0.861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IB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2.335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Hybrid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1.102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1.495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28.3 ms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Hybrid + Temporal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0.792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34.8 ms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TopK + Temporal [NEW]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0.798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29.3%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14.3 ms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