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18" w:space="0" w:color="1B3A6B"/>
        </w:pBdr>
        <w:spacing w:before="0" w:after="0"/>
        <w:rPr>
          <w:rFonts w:ascii="Ubuntu" w:hAnsi="Ubuntu"/>
          <w:color w:val="000000"/>
        </w:rPr>
      </w:pPr>
      <w:r>
        <w:rPr>
          <w:rFonts w:ascii="Ubuntu" w:hAnsi="Ubuntu"/>
          <w:color w:val="000000"/>
        </w:rPr>
      </w:r>
    </w:p>
    <w:p>
      <w:pPr>
        <w:pStyle w:val="Normal"/>
        <w:spacing w:before="0" w:after="600"/>
        <w:rPr>
          <w:rFonts w:ascii="Ubuntu" w:hAnsi="Ubuntu"/>
          <w:color w:val="000000"/>
        </w:rPr>
      </w:pPr>
      <w:r>
        <w:rPr>
          <w:rFonts w:ascii="Ubuntu" w:hAnsi="Ubuntu"/>
          <w:color w:val="000000"/>
        </w:rPr>
      </w:r>
    </w:p>
    <w:p>
      <w:pPr>
        <w:pStyle w:val="Normal"/>
        <w:spacing w:before="0" w:after="120"/>
        <w:jc w:val="center"/>
        <w:rPr>
          <w:rFonts w:ascii="Ubuntu" w:hAnsi="Ubuntu"/>
          <w:color w:val="000000"/>
        </w:rPr>
      </w:pPr>
      <w:r>
        <w:rPr>
          <w:rFonts w:eastAsia="Arial" w:cs="Arial" w:ascii="Ubuntu" w:hAnsi="Ubuntu"/>
          <w:b/>
          <w:bCs/>
          <w:color w:val="000000"/>
          <w:sz w:val="52"/>
          <w:szCs w:val="52"/>
        </w:rPr>
        <w:t>RECOMMENDER SYSTEMS</w:t>
      </w:r>
    </w:p>
    <w:p>
      <w:pPr>
        <w:pStyle w:val="Normal"/>
        <w:spacing w:before="0" w:after="200"/>
        <w:jc w:val="center"/>
        <w:rPr>
          <w:rFonts w:ascii="Ubuntu" w:hAnsi="Ubuntu"/>
          <w:color w:val="000000"/>
        </w:rPr>
      </w:pPr>
      <w:r>
        <w:rPr>
          <w:rFonts w:eastAsia="Arial" w:cs="Arial" w:ascii="Ubuntu" w:hAnsi="Ubuntu"/>
          <w:i/>
          <w:iCs/>
          <w:color w:val="000000"/>
          <w:sz w:val="26"/>
          <w:szCs w:val="26"/>
        </w:rPr>
        <w:t>A Collaborative Filtering Approach Based on Naïve Bayes Classifier</w:t>
      </w:r>
    </w:p>
    <w:p>
      <w:pPr>
        <w:pStyle w:val="Normal"/>
        <w:shd w:val="clear" w:fill="1B3A6B"/>
        <w:spacing w:before="0" w:after="0"/>
        <w:jc w:val="center"/>
        <w:rPr>
          <w:rFonts w:ascii="Ubuntu" w:hAnsi="Ubuntu"/>
          <w:color w:val="EEEEEE"/>
        </w:rPr>
      </w:pPr>
      <w:r>
        <w:rPr>
          <w:rFonts w:eastAsia="Arial" w:cs="Arial" w:ascii="Ubuntu" w:hAnsi="Ubuntu"/>
          <w:b/>
          <w:bCs/>
          <w:color w:val="EEEEEE"/>
          <w:sz w:val="28"/>
          <w:szCs w:val="28"/>
        </w:rPr>
        <w:t>Report 1</w:t>
      </w:r>
    </w:p>
    <w:p>
      <w:pPr>
        <w:pStyle w:val="Normal"/>
        <w:rPr>
          <w:rFonts w:ascii="Ubuntu" w:hAnsi="Ubuntu"/>
          <w:b w:val="false"/>
          <w:bCs w:val="false"/>
          <w:color w:val="000000"/>
        </w:rPr>
      </w:pPr>
      <w:r>
        <w:rPr>
          <w:rFonts w:ascii="Ubuntu" w:hAnsi="Ubuntu"/>
          <w:b w:val="false"/>
          <w:bCs w:val="false"/>
          <w:color w:val="000000"/>
        </w:rPr>
      </w:r>
    </w:p>
    <w:p>
      <w:pPr>
        <w:pStyle w:val="Normal"/>
        <w:rPr>
          <w:rFonts w:ascii="Ubuntu" w:hAnsi="Ubuntu"/>
          <w:b w:val="false"/>
          <w:bCs w:val="false"/>
          <w:color w:val="000000"/>
        </w:rPr>
      </w:pPr>
      <w:r>
        <w:rPr>
          <w:rFonts w:ascii="Ubuntu" w:hAnsi="Ubuntu"/>
          <w:b w:val="false"/>
          <w:bCs w:val="false"/>
          <w:color w:val="000000"/>
        </w:rPr>
      </w:r>
    </w:p>
    <w:p>
      <w:pPr>
        <w:pStyle w:val="Normal"/>
        <w:spacing w:before="0" w:after="0"/>
        <w:jc w:val="center"/>
        <w:rPr>
          <w:sz w:val="36"/>
          <w:szCs w:val="36"/>
        </w:rPr>
      </w:pPr>
      <w:r>
        <w:rPr>
          <w:rFonts w:ascii="Ubuntu" w:hAnsi="Ubuntu"/>
          <w:b w:val="false"/>
          <w:bCs w:val="false"/>
          <w:color w:val="000000"/>
          <w:sz w:val="36"/>
          <w:szCs w:val="36"/>
        </w:rPr>
        <w:t>Supervisor:  Gamze USLU, Ph.D.</w:t>
      </w:r>
    </w:p>
    <w:p>
      <w:pPr>
        <w:pStyle w:val="Normal"/>
        <w:spacing w:before="0" w:after="0"/>
        <w:jc w:val="center"/>
        <w:rPr>
          <w:rFonts w:ascii="Ubuntu" w:hAnsi="Ubuntu"/>
          <w:b w:val="false"/>
          <w:bCs w:val="false"/>
          <w:color w:val="000000"/>
          <w:sz w:val="36"/>
          <w:szCs w:val="36"/>
        </w:rPr>
      </w:pPr>
      <w:r>
        <w:rPr>
          <w:rFonts w:ascii="Ubuntu" w:hAnsi="Ubuntu"/>
          <w:b w:val="false"/>
          <w:bCs w:val="false"/>
          <w:color w:val="000000"/>
          <w:sz w:val="36"/>
          <w:szCs w:val="36"/>
        </w:rPr>
      </w:r>
    </w:p>
    <w:p>
      <w:pPr>
        <w:pStyle w:val="Normal"/>
        <w:spacing w:before="0" w:after="0"/>
        <w:jc w:val="center"/>
        <w:rPr>
          <w:sz w:val="36"/>
          <w:szCs w:val="36"/>
        </w:rPr>
      </w:pPr>
      <w:r>
        <w:rPr>
          <w:rFonts w:ascii="Ubuntu" w:hAnsi="Ubuntu"/>
          <w:b w:val="false"/>
          <w:bCs w:val="false"/>
          <w:color w:val="000000"/>
          <w:sz w:val="36"/>
          <w:szCs w:val="36"/>
        </w:rPr>
        <w:t>Ömer MANAV – 210209003</w:t>
      </w:r>
    </w:p>
    <w:p>
      <w:pPr>
        <w:pStyle w:val="Normal"/>
        <w:spacing w:before="0" w:after="0"/>
        <w:jc w:val="center"/>
        <w:rPr>
          <w:sz w:val="36"/>
          <w:szCs w:val="36"/>
        </w:rPr>
      </w:pPr>
      <w:r>
        <w:rPr>
          <w:rFonts w:ascii="Ubuntu" w:hAnsi="Ubuntu"/>
          <w:b w:val="false"/>
          <w:bCs w:val="false"/>
          <w:color w:val="000000"/>
          <w:sz w:val="36"/>
          <w:szCs w:val="36"/>
        </w:rPr>
        <w:t>Kaan Bahadır SAĞRA – 210201011</w:t>
      </w:r>
      <w:r>
        <w:br w:type="page"/>
      </w:r>
    </w:p>
    <w:p>
      <w:pPr>
        <w:pStyle w:val="Heading1"/>
        <w:pBdr>
          <w:bottom w:val="single" w:sz="4" w:space="4" w:color="2563A8"/>
        </w:pBdr>
        <w:spacing w:before="0" w:after="120"/>
        <w:rPr>
          <w:rFonts w:ascii="Ubuntu" w:hAnsi="Ubuntu"/>
          <w:color w:val="000000"/>
        </w:rPr>
      </w:pPr>
      <w:r>
        <w:rPr>
          <w:rFonts w:eastAsia="Arial" w:cs="Arial" w:ascii="Ubuntu" w:hAnsi="Ubuntu"/>
          <w:b/>
          <w:bCs/>
          <w:color w:val="000000"/>
          <w:sz w:val="28"/>
          <w:szCs w:val="28"/>
        </w:rPr>
        <w:t>1. Problem Definition</w:t>
      </w:r>
    </w:p>
    <w:p>
      <w:pPr>
        <w:pStyle w:val="Heading2"/>
        <w:spacing w:before="240" w:after="80"/>
        <w:rPr>
          <w:rFonts w:ascii="Ubuntu" w:hAnsi="Ubuntu"/>
          <w:color w:val="000000"/>
        </w:rPr>
      </w:pPr>
      <w:r>
        <w:rPr>
          <w:rFonts w:eastAsia="Arial" w:cs="Arial" w:ascii="Ubuntu" w:hAnsi="Ubuntu"/>
          <w:b/>
          <w:bCs/>
          <w:color w:val="000000"/>
          <w:sz w:val="24"/>
          <w:szCs w:val="24"/>
        </w:rPr>
        <w:t>1.1 Background</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Online platforms such as streaming services and e-commerce sites offer millions of items. It is impossible for a user to look at all of them. Recommender systems solve this problem by predicting which items a user will like and showing those items first.</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Collaborative Filtering (CF) is the most common approach in this area. It works on a simple idea: if two users liked the same items in the past, they will probably agree again in the future. CF does not look at what an item contains — it only uses the history of user ratings.</w:t>
      </w:r>
    </w:p>
    <w:p>
      <w:pPr>
        <w:pStyle w:val="Normal"/>
        <w:spacing w:before="0" w:after="8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1.2 Dataset</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We use the MovieLens-1M dataset. This is a well-known benchmark in recommender systems research. Its main properties are shown in the table below.</w:t>
      </w:r>
    </w:p>
    <w:p>
      <w:pPr>
        <w:pStyle w:val="Normal"/>
        <w:spacing w:before="0" w:after="80"/>
        <w:rPr>
          <w:rFonts w:ascii="Ubuntu" w:hAnsi="Ubuntu"/>
          <w:color w:val="000000"/>
        </w:rPr>
      </w:pPr>
      <w:r>
        <w:rPr>
          <w:rFonts w:ascii="Ubuntu" w:hAnsi="Ubuntu"/>
          <w:color w:val="000000"/>
        </w:rPr>
      </w:r>
    </w:p>
    <w:tbl>
      <w:tblPr>
        <w:tblW w:w="8960" w:type="dxa"/>
        <w:jc w:val="left"/>
        <w:tblInd w:w="0" w:type="dxa"/>
        <w:tblLayout w:type="fixed"/>
        <w:tblCellMar>
          <w:top w:w="80" w:type="dxa"/>
          <w:left w:w="120" w:type="dxa"/>
          <w:bottom w:w="80" w:type="dxa"/>
          <w:right w:w="120" w:type="dxa"/>
        </w:tblCellMar>
      </w:tblPr>
      <w:tblGrid>
        <w:gridCol w:w="5200"/>
        <w:gridCol w:w="3759"/>
      </w:tblGrid>
      <w:tr>
        <w:trPr/>
        <w:tc>
          <w:tcPr>
            <w:tcW w:w="5200" w:type="dxa"/>
            <w:tcBorders>
              <w:top w:val="single" w:sz="2" w:space="0" w:color="C5D3E8"/>
              <w:left w:val="single" w:sz="2" w:space="0" w:color="C5D3E8"/>
              <w:bottom w:val="single" w:sz="2" w:space="0" w:color="C5D3E8"/>
              <w:right w:val="single" w:sz="2" w:space="0" w:color="C5D3E8"/>
            </w:tcBorders>
            <w:shd w:fill="1B3A6B" w:val="clear"/>
          </w:tcPr>
          <w:p>
            <w:pPr>
              <w:pStyle w:val="Normal"/>
              <w:jc w:val="center"/>
              <w:rPr>
                <w:rFonts w:ascii="Ubuntu" w:hAnsi="Ubuntu"/>
                <w:color w:val="EEEEEE"/>
              </w:rPr>
            </w:pPr>
            <w:r>
              <w:rPr>
                <w:rFonts w:eastAsia="Arial" w:cs="Arial" w:ascii="Ubuntu" w:hAnsi="Ubuntu"/>
                <w:b/>
                <w:bCs/>
                <w:color w:val="EEEEEE"/>
                <w:sz w:val="20"/>
                <w:szCs w:val="20"/>
              </w:rPr>
              <w:t>Property</w:t>
            </w:r>
          </w:p>
        </w:tc>
        <w:tc>
          <w:tcPr>
            <w:tcW w:w="3759" w:type="dxa"/>
            <w:tcBorders>
              <w:top w:val="single" w:sz="2" w:space="0" w:color="C5D3E8"/>
              <w:left w:val="single" w:sz="2" w:space="0" w:color="C5D3E8"/>
              <w:bottom w:val="single" w:sz="2" w:space="0" w:color="C5D3E8"/>
              <w:right w:val="single" w:sz="2" w:space="0" w:color="C5D3E8"/>
            </w:tcBorders>
            <w:shd w:fill="1B3A6B" w:val="clear"/>
          </w:tcPr>
          <w:p>
            <w:pPr>
              <w:pStyle w:val="Normal"/>
              <w:jc w:val="center"/>
              <w:rPr>
                <w:rFonts w:ascii="Ubuntu" w:hAnsi="Ubuntu"/>
                <w:color w:val="EEEEEE"/>
              </w:rPr>
            </w:pPr>
            <w:r>
              <w:rPr>
                <w:rFonts w:eastAsia="Arial" w:cs="Arial" w:ascii="Ubuntu" w:hAnsi="Ubuntu"/>
                <w:b/>
                <w:bCs/>
                <w:color w:val="EEEEEE"/>
                <w:sz w:val="20"/>
                <w:szCs w:val="20"/>
              </w:rPr>
              <w:t>Value</w:t>
            </w:r>
          </w:p>
        </w:tc>
      </w:tr>
      <w:tr>
        <w:trPr/>
        <w:tc>
          <w:tcPr>
            <w:tcW w:w="52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Number of users</w:t>
            </w:r>
          </w:p>
        </w:tc>
        <w:tc>
          <w:tcPr>
            <w:tcW w:w="3759"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6,040</w:t>
            </w:r>
          </w:p>
        </w:tc>
      </w:tr>
      <w:tr>
        <w:trPr/>
        <w:tc>
          <w:tcPr>
            <w:tcW w:w="52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Number of movies</w:t>
            </w:r>
          </w:p>
        </w:tc>
        <w:tc>
          <w:tcPr>
            <w:tcW w:w="3759"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3,701</w:t>
            </w:r>
          </w:p>
        </w:tc>
      </w:tr>
      <w:tr>
        <w:trPr/>
        <w:tc>
          <w:tcPr>
            <w:tcW w:w="52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Total ratings</w:t>
            </w:r>
          </w:p>
        </w:tc>
        <w:tc>
          <w:tcPr>
            <w:tcW w:w="3759"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1,000,209</w:t>
            </w:r>
          </w:p>
        </w:tc>
      </w:tr>
      <w:tr>
        <w:trPr/>
        <w:tc>
          <w:tcPr>
            <w:tcW w:w="52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Rating scale</w:t>
            </w:r>
          </w:p>
        </w:tc>
        <w:tc>
          <w:tcPr>
            <w:tcW w:w="3759"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1 to 5 (integer)</w:t>
            </w:r>
          </w:p>
        </w:tc>
      </w:tr>
      <w:tr>
        <w:trPr/>
        <w:tc>
          <w:tcPr>
            <w:tcW w:w="52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Matrix sparsity</w:t>
            </w:r>
          </w:p>
        </w:tc>
        <w:tc>
          <w:tcPr>
            <w:tcW w:w="3759"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95.53 %</w:t>
            </w:r>
          </w:p>
        </w:tc>
      </w:tr>
      <w:tr>
        <w:trPr/>
        <w:tc>
          <w:tcPr>
            <w:tcW w:w="52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Timestamp range</w:t>
            </w:r>
          </w:p>
        </w:tc>
        <w:tc>
          <w:tcPr>
            <w:tcW w:w="3759"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2000 – 2003 (Unix epoch)</w:t>
            </w:r>
          </w:p>
        </w:tc>
      </w:tr>
    </w:tbl>
    <w:p>
      <w:pPr>
        <w:pStyle w:val="Normal"/>
        <w:spacing w:before="0" w:after="120"/>
        <w:rPr>
          <w:rFonts w:ascii="Ubuntu" w:hAnsi="Ubuntu"/>
          <w:color w:val="000000"/>
        </w:rPr>
      </w:pPr>
      <w:r>
        <w:rPr>
          <w:rFonts w:ascii="Ubuntu" w:hAnsi="Ubuntu"/>
          <w:color w:val="000000"/>
        </w:rPr>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The sparsity of 95.53 % means that most user–item pairs have no rating at all. This makes prediction hard and is the main challenge in this project.</w:t>
      </w:r>
    </w:p>
    <w:p>
      <w:pPr>
        <w:pStyle w:val="Normal"/>
        <w:spacing w:before="0" w:after="8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1.3 Formal Problem Statement</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Let U = {u₁, u₂, …, u_m} be the set of users and I = {i₁, i₂, …, i_n} be the set of items. The rating matrix R is only partially filled: entry R_{u,i} exists only when user u has rated item i. A timestamp t(u, i) records when each rating was given.</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The goal is to build a function f̂(u, i) that predicts the missing ratings:</w:t>
      </w:r>
    </w:p>
    <w:p>
      <w:pPr>
        <w:pStyle w:val="Normal"/>
        <w:spacing w:before="0" w:after="40"/>
        <w:rPr>
          <w:rFonts w:ascii="Ubuntu" w:hAnsi="Ubuntu"/>
          <w:color w:val="000000"/>
        </w:rPr>
      </w:pPr>
      <w:r>
        <w:rPr>
          <w:rFonts w:ascii="Ubuntu" w:hAnsi="Ubuntu"/>
          <w:color w:val="000000"/>
        </w:rPr>
      </w:r>
    </w:p>
    <w:p>
      <w:pPr>
        <w:pStyle w:val="Normal"/>
        <w:spacing w:before="80" w:after="80"/>
        <w:jc w:val="center"/>
        <w:rPr>
          <w:rFonts w:ascii="Ubuntu" w:hAnsi="Ubuntu"/>
          <w:color w:val="000000"/>
        </w:rPr>
      </w:pPr>
      <w:r>
        <w:rPr>
          <w:rFonts w:eastAsia="Courier New" w:cs="Courier New" w:ascii="Ubuntu" w:hAnsi="Ubuntu"/>
          <w:b/>
          <w:bCs/>
          <w:color w:val="000000"/>
          <w:sz w:val="24"/>
          <w:szCs w:val="24"/>
        </w:rPr>
        <w:t>f̂(u, i)  →  ŷ  ∈  {1, 2, 3, 4, 5}</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We measure the quality of these predictions using Mean Absolute Error (MAE):</w:t>
      </w:r>
    </w:p>
    <w:p>
      <w:pPr>
        <w:pStyle w:val="Normal"/>
        <w:spacing w:before="80" w:after="80"/>
        <w:jc w:val="center"/>
        <w:rPr>
          <w:rFonts w:ascii="Ubuntu" w:hAnsi="Ubuntu"/>
          <w:color w:val="000000"/>
        </w:rPr>
      </w:pPr>
      <w:r>
        <w:rPr>
          <w:rFonts w:eastAsia="Courier New" w:cs="Courier New" w:ascii="Ubuntu" w:hAnsi="Ubuntu"/>
          <w:b/>
          <w:bCs/>
          <w:color w:val="000000"/>
          <w:sz w:val="24"/>
          <w:szCs w:val="24"/>
        </w:rPr>
        <w:t>MAE  =  (1 / |T|)  ×  Σ  |r(u,i) − f̂(u,i)|</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where T is the test set. A lower MAE means better predictions. In addition, the system should support binary decisions (rating ≥ 4 means 'Like'), produce a confidence score for each prediction, and run fast enough for practical use.</w:t>
      </w:r>
    </w:p>
    <w:p>
      <w:pPr>
        <w:pStyle w:val="Normal"/>
        <w:spacing w:before="0" w:after="8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1.4 Key Challenges</w:t>
      </w:r>
    </w:p>
    <w:p>
      <w:pPr>
        <w:pStyle w:val="ListParagraph"/>
        <w:numPr>
          <w:ilvl w:val="0"/>
          <w:numId w:val="4"/>
        </w:numPr>
        <w:spacing w:before="0" w:after="60"/>
        <w:rPr>
          <w:rFonts w:ascii="Ubuntu" w:hAnsi="Ubuntu"/>
          <w:color w:val="000000"/>
        </w:rPr>
      </w:pPr>
      <w:r>
        <w:rPr>
          <w:rFonts w:eastAsia="Arial" w:cs="Arial" w:ascii="Ubuntu" w:hAnsi="Ubuntu"/>
          <w:color w:val="000000"/>
          <w:sz w:val="22"/>
          <w:szCs w:val="22"/>
        </w:rPr>
        <w:t>Data sparsity — 95.53 % of ratings are missing, so the model must generalise from limited information.</w:t>
      </w:r>
    </w:p>
    <w:p>
      <w:pPr>
        <w:pStyle w:val="ListParagraph"/>
        <w:numPr>
          <w:ilvl w:val="0"/>
          <w:numId w:val="5"/>
        </w:numPr>
        <w:spacing w:before="0" w:after="60"/>
        <w:rPr>
          <w:rFonts w:ascii="Ubuntu" w:hAnsi="Ubuntu"/>
          <w:color w:val="000000"/>
        </w:rPr>
      </w:pPr>
      <w:r>
        <w:rPr>
          <w:rFonts w:eastAsia="Arial" w:cs="Arial" w:ascii="Ubuntu" w:hAnsi="Ubuntu"/>
          <w:color w:val="000000"/>
          <w:sz w:val="22"/>
          <w:szCs w:val="22"/>
        </w:rPr>
        <w:t>Cold-start — users or items with very few ratings do not have enough data for reliable predictions.</w:t>
      </w:r>
    </w:p>
    <w:p>
      <w:pPr>
        <w:pStyle w:val="ListParagraph"/>
        <w:numPr>
          <w:ilvl w:val="0"/>
          <w:numId w:val="6"/>
        </w:numPr>
        <w:spacing w:before="0" w:after="60"/>
        <w:rPr>
          <w:rFonts w:ascii="Ubuntu" w:hAnsi="Ubuntu"/>
          <w:color w:val="000000"/>
        </w:rPr>
      </w:pPr>
      <w:r>
        <w:rPr>
          <w:rFonts w:eastAsia="Arial" w:cs="Arial" w:ascii="Ubuntu" w:hAnsi="Ubuntu"/>
          <w:color w:val="000000"/>
          <w:sz w:val="22"/>
          <w:szCs w:val="22"/>
        </w:rPr>
        <w:t>Preference drift — a user's taste changes over time, so old ratings may not reflect what they like today.</w:t>
      </w:r>
    </w:p>
    <w:p>
      <w:pPr>
        <w:pStyle w:val="ListParagraph"/>
        <w:numPr>
          <w:ilvl w:val="0"/>
          <w:numId w:val="7"/>
        </w:numPr>
        <w:spacing w:before="0" w:after="60"/>
        <w:rPr>
          <w:rFonts w:ascii="Ubuntu" w:hAnsi="Ubuntu"/>
          <w:color w:val="000000"/>
        </w:rPr>
      </w:pPr>
      <w:r>
        <w:rPr>
          <w:rFonts w:eastAsia="Arial" w:cs="Arial" w:ascii="Ubuntu" w:hAnsi="Ubuntu"/>
          <w:color w:val="000000"/>
          <w:sz w:val="22"/>
          <w:szCs w:val="22"/>
        </w:rPr>
        <w:t>Scalability — each prediction must be computed quickly enough for real systems.</w:t>
      </w:r>
    </w:p>
    <w:p>
      <w:pPr>
        <w:pStyle w:val="ListParagraph"/>
        <w:numPr>
          <w:ilvl w:val="0"/>
          <w:numId w:val="8"/>
        </w:numPr>
        <w:spacing w:before="0" w:after="60"/>
        <w:rPr>
          <w:rFonts w:ascii="Ubuntu" w:hAnsi="Ubuntu"/>
          <w:color w:val="000000"/>
        </w:rPr>
      </w:pPr>
      <w:r>
        <w:rPr>
          <w:rFonts w:eastAsia="Arial" w:cs="Arial" w:ascii="Ubuntu" w:hAnsi="Ubuntu"/>
          <w:color w:val="000000"/>
          <w:sz w:val="22"/>
          <w:szCs w:val="22"/>
        </w:rPr>
        <w:t>Confidence — the system should indicate when it is uncertain about a prediction.</w:t>
      </w:r>
    </w:p>
    <w:p>
      <w:pPr>
        <w:pStyle w:val="Normal"/>
        <w:spacing w:before="0" w:after="80"/>
        <w:rPr>
          <w:rFonts w:ascii="Ubuntu" w:hAnsi="Ubuntu"/>
          <w:color w:val="000000"/>
        </w:rPr>
      </w:pPr>
      <w:r>
        <w:rPr>
          <w:rFonts w:ascii="Ubuntu" w:hAnsi="Ubuntu"/>
          <w:color w:val="000000"/>
        </w:rPr>
      </w:r>
    </w:p>
    <w:p>
      <w:pPr>
        <w:pStyle w:val="Heading1"/>
        <w:pBdr>
          <w:bottom w:val="single" w:sz="4" w:space="4" w:color="2563A8"/>
        </w:pBdr>
        <w:spacing w:before="360" w:after="120"/>
        <w:rPr>
          <w:rFonts w:ascii="Ubuntu" w:hAnsi="Ubuntu"/>
          <w:color w:val="000000"/>
        </w:rPr>
      </w:pPr>
      <w:r>
        <w:rPr>
          <w:rFonts w:eastAsia="Arial" w:cs="Arial" w:ascii="Ubuntu" w:hAnsi="Ubuntu"/>
          <w:b/>
          <w:bCs/>
          <w:color w:val="000000"/>
          <w:sz w:val="28"/>
          <w:szCs w:val="28"/>
        </w:rPr>
        <w:t>2. Proposed Approach</w:t>
      </w:r>
    </w:p>
    <w:p>
      <w:pPr>
        <w:pStyle w:val="Heading2"/>
        <w:spacing w:before="240" w:after="80"/>
        <w:rPr>
          <w:rFonts w:ascii="Ubuntu" w:hAnsi="Ubuntu"/>
          <w:color w:val="000000"/>
        </w:rPr>
      </w:pPr>
      <w:r>
        <w:rPr>
          <w:rFonts w:eastAsia="Arial" w:cs="Arial" w:ascii="Ubuntu" w:hAnsi="Ubuntu"/>
          <w:b/>
          <w:bCs/>
          <w:color w:val="000000"/>
          <w:sz w:val="24"/>
          <w:szCs w:val="24"/>
        </w:rPr>
        <w:t>2.1 Naïve Bayes Collaborative Filtering (NBCF)</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We treat rating prediction as a classification task. For a given user u and item i, we want to find which rating class y ∈ {1, 2, 3, 4, 5} is most likely. Under the Naïve Bayes assumption, the features (past ratings) are independent of each other given the class. This gives:</w:t>
      </w:r>
    </w:p>
    <w:p>
      <w:pPr>
        <w:pStyle w:val="Normal"/>
        <w:spacing w:before="80" w:after="80"/>
        <w:jc w:val="center"/>
        <w:rPr>
          <w:rFonts w:ascii="Ubuntu" w:hAnsi="Ubuntu"/>
          <w:color w:val="000000"/>
        </w:rPr>
      </w:pPr>
      <w:r>
        <w:rPr>
          <w:rFonts w:eastAsia="Courier New" w:cs="Courier New" w:ascii="Ubuntu" w:hAnsi="Ubuntu"/>
          <w:b/>
          <w:bCs/>
          <w:color w:val="000000"/>
          <w:sz w:val="22"/>
          <w:szCs w:val="22"/>
        </w:rPr>
        <w:t>P(y | u, i)  ∝  P(y | i)  ×  Π_{j ∈ I_u}  P(r_{u,j} = k_j  |  y)</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Here P(y | i) is the item prior (how often item i received rating y), and the product collects evidence from every item j that user u has rated before. This is the user-based (UB) variant. An item-based (IB) variant works the same way but uses co-raters of item i instead of past items of user u.</w:t>
      </w:r>
    </w:p>
    <w:p>
      <w:pPr>
        <w:pStyle w:val="Normal"/>
        <w:spacing w:before="0" w:after="8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2.2 Log-Space Computation</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Multiplying many small probabilities together causes numerical underflow — the result becomes zero before we finish. To avoid this, we add logarithms instead of multiplying probabilities, and then convert back at the end using the log-sum-exp method:</w:t>
      </w:r>
    </w:p>
    <w:p>
      <w:pPr>
        <w:pStyle w:val="Normal"/>
        <w:spacing w:before="80" w:after="40"/>
        <w:jc w:val="center"/>
        <w:rPr>
          <w:rFonts w:ascii="Ubuntu" w:hAnsi="Ubuntu"/>
          <w:color w:val="000000"/>
        </w:rPr>
      </w:pPr>
      <w:r>
        <w:rPr>
          <w:rFonts w:eastAsia="Courier New" w:cs="Courier New" w:ascii="Ubuntu" w:hAnsi="Ubuntu"/>
          <w:color w:val="000000"/>
          <w:sz w:val="22"/>
          <w:szCs w:val="22"/>
        </w:rPr>
        <w:t>log_s(y)  =  log P(y|i)  +  Σ_j  log P(r_{u,j} = k  |  y)</w:t>
      </w:r>
    </w:p>
    <w:p>
      <w:pPr>
        <w:pStyle w:val="Normal"/>
        <w:spacing w:before="40" w:after="80"/>
        <w:jc w:val="center"/>
        <w:rPr>
          <w:rFonts w:ascii="Ubuntu" w:hAnsi="Ubuntu"/>
          <w:color w:val="000000"/>
        </w:rPr>
      </w:pPr>
      <w:r>
        <w:rPr>
          <w:rFonts w:eastAsia="Courier New" w:cs="Courier New" w:ascii="Ubuntu" w:hAnsi="Ubuntu"/>
          <w:color w:val="000000"/>
          <w:sz w:val="22"/>
          <w:szCs w:val="22"/>
        </w:rPr>
        <w:t>P(y)  =  exp(log_s(y) − max log_s)  /  Σ exp(log_s(y') − max log_s)</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We also apply Laplace smoothing (α = 0.01) to all probability estimates. This ensures that no probability is exactly zero, even for rating combinations that never appeared in the training data.</w:t>
      </w:r>
    </w:p>
    <w:p>
      <w:pPr>
        <w:pStyle w:val="Normal"/>
        <w:spacing w:before="0" w:after="8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2.3 Novel Contribution 1 — Temporal Decay Weighting</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The standard NBCF gives the same weight to all past ratings, regardless of when they were made. However, a rating from three years ago tells us less about a user's current preferences than a rating from last month.</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We add an exponential decay weight w(u, j) to each past rating:</w:t>
      </w:r>
    </w:p>
    <w:p>
      <w:pPr>
        <w:pStyle w:val="Normal"/>
        <w:spacing w:before="80" w:after="40"/>
        <w:jc w:val="center"/>
        <w:rPr>
          <w:rFonts w:ascii="Ubuntu" w:hAnsi="Ubuntu"/>
          <w:color w:val="000000"/>
        </w:rPr>
      </w:pPr>
      <w:r>
        <w:rPr>
          <w:rFonts w:eastAsia="Courier New" w:cs="Courier New" w:ascii="Ubuntu" w:hAnsi="Ubuntu"/>
          <w:b/>
          <w:bCs/>
          <w:color w:val="000000"/>
          <w:sz w:val="22"/>
          <w:szCs w:val="22"/>
        </w:rPr>
        <w:t>w(u, j)  =  exp( −λ × age(u, j) )</w:t>
      </w:r>
    </w:p>
    <w:p>
      <w:pPr>
        <w:pStyle w:val="Normal"/>
        <w:spacing w:before="0" w:after="80"/>
        <w:jc w:val="center"/>
        <w:rPr>
          <w:rFonts w:ascii="Ubuntu" w:hAnsi="Ubuntu"/>
          <w:color w:val="000000"/>
        </w:rPr>
      </w:pPr>
      <w:r>
        <w:rPr>
          <w:rFonts w:eastAsia="Courier New" w:cs="Courier New" w:ascii="Ubuntu" w:hAnsi="Ubuntu"/>
          <w:color w:val="000000"/>
          <w:sz w:val="22"/>
          <w:szCs w:val="22"/>
        </w:rPr>
        <w:t>age(u, j)  =  t_max  −  t(u, j)          λ  =  1 × 10⁻⁷</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A very recent rating has age ≈ 0, so w ≈ 1 (full weight). A rating from three years ago has a weight of about 0.09 (10 % weight). The decay is applied inside the log-score formula:</w:t>
      </w:r>
    </w:p>
    <w:p>
      <w:pPr>
        <w:pStyle w:val="Normal"/>
        <w:spacing w:before="80" w:after="80"/>
        <w:jc w:val="center"/>
        <w:rPr>
          <w:rFonts w:ascii="Ubuntu" w:hAnsi="Ubuntu"/>
          <w:color w:val="000000"/>
        </w:rPr>
      </w:pPr>
      <w:r>
        <w:rPr>
          <w:rFonts w:eastAsia="Courier New" w:cs="Courier New" w:ascii="Ubuntu" w:hAnsi="Ubuntu"/>
          <w:color w:val="000000"/>
          <w:sz w:val="22"/>
          <w:szCs w:val="22"/>
        </w:rPr>
        <w:t>log_s(y)  =  log P(y|i)  +  Σ_j  w(u,j)  ×  log P(r_{u,j} = k  |  y)</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This decay is applied in the same way to both the user-based and item-based variants. The two temporal variants are then combined into a single Hybrid + Temporal model.</w:t>
      </w:r>
    </w:p>
    <w:p>
      <w:pPr>
        <w:pStyle w:val="Normal"/>
        <w:spacing w:before="0" w:after="8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2.4 Novel Contribution 2 — Confidence-Aware Prediction</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The model always outputs a prediction, but sometimes the probability is spread almost equally across all five rating classes. In such cases, the prediction is not reliable. We measure this uncertainty using Shannon entropy:</w:t>
      </w:r>
    </w:p>
    <w:p>
      <w:pPr>
        <w:pStyle w:val="Normal"/>
        <w:spacing w:before="80" w:after="40"/>
        <w:jc w:val="center"/>
        <w:rPr>
          <w:rFonts w:ascii="Ubuntu" w:hAnsi="Ubuntu"/>
          <w:color w:val="000000"/>
        </w:rPr>
      </w:pPr>
      <w:r>
        <w:rPr>
          <w:rFonts w:eastAsia="Courier New" w:cs="Courier New" w:ascii="Ubuntu" w:hAnsi="Ubuntu"/>
          <w:color w:val="000000"/>
          <w:sz w:val="22"/>
          <w:szCs w:val="22"/>
        </w:rPr>
        <w:t>H  =  −Σ_y  P(y) × log( P(y) + ε )</w:t>
      </w:r>
    </w:p>
    <w:p>
      <w:pPr>
        <w:pStyle w:val="Normal"/>
        <w:spacing w:before="0" w:after="80"/>
        <w:jc w:val="center"/>
        <w:rPr>
          <w:rFonts w:ascii="Ubuntu" w:hAnsi="Ubuntu"/>
          <w:color w:val="000000"/>
        </w:rPr>
      </w:pPr>
      <w:r>
        <w:rPr>
          <w:rFonts w:eastAsia="Courier New" w:cs="Courier New" w:ascii="Ubuntu" w:hAnsi="Ubuntu"/>
          <w:color w:val="000000"/>
          <w:sz w:val="22"/>
          <w:szCs w:val="22"/>
        </w:rPr>
        <w:t>confidence  =  1  −  H / log(|R|)          ε = 10⁻¹²</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A confidence of 1.0 means all probability mass is on one rating class. A confidence of 0.0 means the distribution is completely flat. We use a threshold of τ = 0.30: predictions below this value are flagged as uncertain. The coverage metric is the fraction of test predictions above this threshold.</w:t>
      </w:r>
    </w:p>
    <w:p>
      <w:pPr>
        <w:pStyle w:val="Normal"/>
        <w:spacing w:before="0" w:after="8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2.5 Hybrid Combination</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We combine the UB and IB scores using weights that reflect how much data is available for each side:</w:t>
      </w:r>
    </w:p>
    <w:p>
      <w:pPr>
        <w:pStyle w:val="Normal"/>
        <w:spacing w:before="80" w:after="40"/>
        <w:jc w:val="center"/>
        <w:rPr>
          <w:rFonts w:ascii="Ubuntu" w:hAnsi="Ubuntu"/>
          <w:color w:val="000000"/>
        </w:rPr>
      </w:pPr>
      <w:r>
        <w:rPr>
          <w:rFonts w:eastAsia="Courier New" w:cs="Courier New" w:ascii="Ubuntu" w:hAnsi="Ubuntu"/>
          <w:color w:val="000000"/>
          <w:sz w:val="22"/>
          <w:szCs w:val="22"/>
        </w:rPr>
        <w:t>w_UB  =  1 / (1 + |I_u|)          w_IB  =  1 / (1 + |U_i|)</w:t>
      </w:r>
    </w:p>
    <w:p>
      <w:pPr>
        <w:pStyle w:val="Normal"/>
        <w:spacing w:before="0" w:after="80"/>
        <w:jc w:val="center"/>
        <w:rPr>
          <w:rFonts w:ascii="Ubuntu" w:hAnsi="Ubuntu"/>
          <w:color w:val="000000"/>
        </w:rPr>
      </w:pPr>
      <w:r>
        <w:rPr>
          <w:rFonts w:eastAsia="Courier New" w:cs="Courier New" w:ascii="Ubuntu" w:hAnsi="Ubuntu"/>
          <w:color w:val="000000"/>
          <w:sz w:val="22"/>
          <w:szCs w:val="22"/>
        </w:rPr>
        <w:t>P_hybrid(y)  ∝  P_UB(y) ^ w_UB  ×  P_IB(y) ^ w_IB</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If user u has many past ratings, the UB side already has rich information, so the IB weight gets a relatively larger share, and vice versa. This way, no fixed mixing coefficient needs to be set manually.</w:t>
      </w:r>
    </w:p>
    <w:p>
      <w:pPr>
        <w:pStyle w:val="Normal"/>
        <w:spacing w:before="0" w:after="80"/>
        <w:rPr>
          <w:rFonts w:ascii="Ubuntu" w:hAnsi="Ubuntu"/>
          <w:color w:val="000000"/>
        </w:rPr>
      </w:pPr>
      <w:r>
        <w:rPr>
          <w:rFonts w:ascii="Ubuntu" w:hAnsi="Ubuntu"/>
          <w:color w:val="000000"/>
        </w:rPr>
      </w:r>
    </w:p>
    <w:p>
      <w:pPr>
        <w:pStyle w:val="Heading1"/>
        <w:pBdr>
          <w:bottom w:val="single" w:sz="4" w:space="4" w:color="2563A8"/>
        </w:pBdr>
        <w:spacing w:before="360" w:after="120"/>
        <w:rPr>
          <w:rFonts w:ascii="Ubuntu" w:hAnsi="Ubuntu"/>
          <w:color w:val="000000"/>
        </w:rPr>
      </w:pPr>
      <w:r>
        <w:rPr>
          <w:rFonts w:eastAsia="Arial" w:cs="Arial" w:ascii="Ubuntu" w:hAnsi="Ubuntu"/>
          <w:b/>
          <w:bCs/>
          <w:color w:val="000000"/>
          <w:sz w:val="28"/>
          <w:szCs w:val="28"/>
        </w:rPr>
        <w:t>3. Alternative Methods</w:t>
      </w:r>
    </w:p>
    <w:p>
      <w:pPr>
        <w:pStyle w:val="Heading2"/>
        <w:spacing w:before="240" w:after="80"/>
        <w:rPr>
          <w:rFonts w:ascii="Ubuntu" w:hAnsi="Ubuntu"/>
          <w:color w:val="000000"/>
        </w:rPr>
      </w:pPr>
      <w:r>
        <w:rPr>
          <w:rFonts w:eastAsia="Arial" w:cs="Arial" w:ascii="Ubuntu" w:hAnsi="Ubuntu"/>
          <w:b/>
          <w:bCs/>
          <w:color w:val="000000"/>
          <w:sz w:val="24"/>
          <w:szCs w:val="24"/>
        </w:rPr>
        <w:t>3.1 Overview</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We compare six model variants in total. The first three are baselines; the last three include our contributions. This structure allows us to measure the effect of each addition separately.</w:t>
      </w:r>
    </w:p>
    <w:p>
      <w:pPr>
        <w:pStyle w:val="Normal"/>
        <w:spacing w:before="0" w:after="80"/>
        <w:rPr>
          <w:rFonts w:ascii="Ubuntu" w:hAnsi="Ubuntu"/>
          <w:color w:val="000000"/>
        </w:rPr>
      </w:pPr>
      <w:r>
        <w:rPr>
          <w:rFonts w:ascii="Ubuntu" w:hAnsi="Ubuntu"/>
          <w:color w:val="000000"/>
        </w:rPr>
      </w:r>
    </w:p>
    <w:tbl>
      <w:tblPr>
        <w:tblW w:w="8960" w:type="dxa"/>
        <w:jc w:val="left"/>
        <w:tblInd w:w="0" w:type="dxa"/>
        <w:tblLayout w:type="fixed"/>
        <w:tblCellMar>
          <w:top w:w="80" w:type="dxa"/>
          <w:left w:w="120" w:type="dxa"/>
          <w:bottom w:w="80" w:type="dxa"/>
          <w:right w:w="120" w:type="dxa"/>
        </w:tblCellMar>
      </w:tblPr>
      <w:tblGrid>
        <w:gridCol w:w="2800"/>
        <w:gridCol w:w="4558"/>
        <w:gridCol w:w="1602"/>
      </w:tblGrid>
      <w:tr>
        <w:trPr/>
        <w:tc>
          <w:tcPr>
            <w:tcW w:w="2800" w:type="dxa"/>
            <w:tcBorders>
              <w:top w:val="single" w:sz="2" w:space="0" w:color="C5D3E8"/>
              <w:left w:val="single" w:sz="2" w:space="0" w:color="C5D3E8"/>
              <w:bottom w:val="single" w:sz="2" w:space="0" w:color="C5D3E8"/>
              <w:right w:val="single" w:sz="2" w:space="0" w:color="C5D3E8"/>
            </w:tcBorders>
            <w:shd w:fill="1B3A6B" w:val="clear"/>
          </w:tcPr>
          <w:p>
            <w:pPr>
              <w:pStyle w:val="Normal"/>
              <w:jc w:val="center"/>
              <w:rPr>
                <w:rFonts w:ascii="Ubuntu" w:hAnsi="Ubuntu"/>
                <w:color w:val="EEEEEE"/>
              </w:rPr>
            </w:pPr>
            <w:r>
              <w:rPr>
                <w:rFonts w:eastAsia="Arial" w:cs="Arial" w:ascii="Ubuntu" w:hAnsi="Ubuntu"/>
                <w:b/>
                <w:bCs/>
                <w:color w:val="EEEEEE"/>
                <w:sz w:val="20"/>
                <w:szCs w:val="20"/>
              </w:rPr>
              <w:t>Method</w:t>
            </w:r>
          </w:p>
        </w:tc>
        <w:tc>
          <w:tcPr>
            <w:tcW w:w="4558" w:type="dxa"/>
            <w:tcBorders>
              <w:top w:val="single" w:sz="2" w:space="0" w:color="C5D3E8"/>
              <w:left w:val="single" w:sz="2" w:space="0" w:color="C5D3E8"/>
              <w:bottom w:val="single" w:sz="2" w:space="0" w:color="C5D3E8"/>
              <w:right w:val="single" w:sz="2" w:space="0" w:color="C5D3E8"/>
            </w:tcBorders>
            <w:shd w:fill="1B3A6B" w:val="clear"/>
          </w:tcPr>
          <w:p>
            <w:pPr>
              <w:pStyle w:val="Normal"/>
              <w:jc w:val="center"/>
              <w:rPr>
                <w:rFonts w:ascii="Ubuntu" w:hAnsi="Ubuntu"/>
                <w:color w:val="EEEEEE"/>
              </w:rPr>
            </w:pPr>
            <w:r>
              <w:rPr>
                <w:rFonts w:eastAsia="Arial" w:cs="Arial" w:ascii="Ubuntu" w:hAnsi="Ubuntu"/>
                <w:b/>
                <w:bCs/>
                <w:color w:val="EEEEEE"/>
                <w:sz w:val="20"/>
                <w:szCs w:val="20"/>
              </w:rPr>
              <w:t>Description</w:t>
            </w:r>
          </w:p>
        </w:tc>
        <w:tc>
          <w:tcPr>
            <w:tcW w:w="1602" w:type="dxa"/>
            <w:tcBorders>
              <w:top w:val="single" w:sz="2" w:space="0" w:color="C5D3E8"/>
              <w:left w:val="single" w:sz="2" w:space="0" w:color="C5D3E8"/>
              <w:bottom w:val="single" w:sz="2" w:space="0" w:color="C5D3E8"/>
              <w:right w:val="single" w:sz="2" w:space="0" w:color="C5D3E8"/>
            </w:tcBorders>
            <w:shd w:fill="1B3A6B" w:val="clear"/>
          </w:tcPr>
          <w:p>
            <w:pPr>
              <w:pStyle w:val="Normal"/>
              <w:jc w:val="center"/>
              <w:rPr>
                <w:rFonts w:ascii="Ubuntu" w:hAnsi="Ubuntu"/>
                <w:color w:val="EEEEEE"/>
              </w:rPr>
            </w:pPr>
            <w:r>
              <w:rPr>
                <w:rFonts w:eastAsia="Arial" w:cs="Arial" w:ascii="Ubuntu" w:hAnsi="Ubuntu"/>
                <w:b/>
                <w:bCs/>
                <w:color w:val="EEEEEE"/>
                <w:sz w:val="20"/>
                <w:szCs w:val="20"/>
              </w:rPr>
              <w:t>Status</w:t>
            </w:r>
          </w:p>
        </w:tc>
      </w:tr>
      <w:tr>
        <w:trPr/>
        <w:tc>
          <w:tcPr>
            <w:tcW w:w="28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NBCF (user-based)</w:t>
            </w:r>
          </w:p>
        </w:tc>
        <w:tc>
          <w:tcPr>
            <w:tcW w:w="4558"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UB log-likelihood, no temporal decay</w:t>
            </w:r>
          </w:p>
        </w:tc>
        <w:tc>
          <w:tcPr>
            <w:tcW w:w="1602"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Baseline</w:t>
            </w:r>
          </w:p>
        </w:tc>
      </w:tr>
      <w:tr>
        <w:trPr/>
        <w:tc>
          <w:tcPr>
            <w:tcW w:w="28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NBCF (item-based)</w:t>
            </w:r>
          </w:p>
        </w:tc>
        <w:tc>
          <w:tcPr>
            <w:tcW w:w="4558"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IB log-likelihood, no temporal decay</w:t>
            </w:r>
          </w:p>
        </w:tc>
        <w:tc>
          <w:tcPr>
            <w:tcW w:w="1602"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Baseline</w:t>
            </w:r>
          </w:p>
        </w:tc>
      </w:tr>
      <w:tr>
        <w:trPr/>
        <w:tc>
          <w:tcPr>
            <w:tcW w:w="28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NBCF (hybrid)</w:t>
            </w:r>
          </w:p>
        </w:tc>
        <w:tc>
          <w:tcPr>
            <w:tcW w:w="4558"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Adaptive mix of UB and IB, no temporal decay</w:t>
            </w:r>
          </w:p>
        </w:tc>
        <w:tc>
          <w:tcPr>
            <w:tcW w:w="1602"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Baseline</w:t>
            </w:r>
          </w:p>
        </w:tc>
      </w:tr>
      <w:tr>
        <w:trPr/>
        <w:tc>
          <w:tcPr>
            <w:tcW w:w="28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Temporal UB</w:t>
            </w:r>
          </w:p>
        </w:tc>
        <w:tc>
          <w:tcPr>
            <w:tcW w:w="4558"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UB with exponential decay weights</w:t>
            </w:r>
          </w:p>
        </w:tc>
        <w:tc>
          <w:tcPr>
            <w:tcW w:w="1602"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Ours</w:t>
            </w:r>
          </w:p>
        </w:tc>
      </w:tr>
      <w:tr>
        <w:trPr/>
        <w:tc>
          <w:tcPr>
            <w:tcW w:w="28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Temporal IB</w:t>
            </w:r>
          </w:p>
        </w:tc>
        <w:tc>
          <w:tcPr>
            <w:tcW w:w="4558"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IB with exponential decay weights</w:t>
            </w:r>
          </w:p>
        </w:tc>
        <w:tc>
          <w:tcPr>
            <w:tcW w:w="1602"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Ours</w:t>
            </w:r>
          </w:p>
        </w:tc>
      </w:tr>
      <w:tr>
        <w:trPr/>
        <w:tc>
          <w:tcPr>
            <w:tcW w:w="28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Hybrid + Temporal (NEW)</w:t>
            </w:r>
          </w:p>
        </w:tc>
        <w:tc>
          <w:tcPr>
            <w:tcW w:w="4558"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Temporal UB + IB, combined</w:t>
            </w:r>
          </w:p>
        </w:tc>
        <w:tc>
          <w:tcPr>
            <w:tcW w:w="1602"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Proposed</w:t>
            </w:r>
          </w:p>
        </w:tc>
      </w:tr>
    </w:tbl>
    <w:p>
      <w:pPr>
        <w:pStyle w:val="Normal"/>
        <w:spacing w:before="0" w:after="12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3.2 User-Based NBCF (Baseline)</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This variant uses the item prior P(y | i) and collects evidence from all items that user u has previously rated. The idea is that items with similar co-rating patterns should receive similar predictions. Its main weakness is that it gives the same weight to old and recent ratings.</w:t>
      </w:r>
    </w:p>
    <w:p>
      <w:pPr>
        <w:pStyle w:val="Normal"/>
        <w:spacing w:before="0" w:after="8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3.3 Item-Based NBCF (Baseline)</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This variant uses the user prior P(y | u) and collects evidence from other users who have rated the same item. The idea is that users with similar rating histories are predictive of each other. It tends to perform well on popular items that have many co-raters.</w:t>
      </w:r>
    </w:p>
    <w:p>
      <w:pPr>
        <w:pStyle w:val="Normal"/>
        <w:spacing w:before="0" w:after="8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3.4 Hybrid NBCF (Baseline)</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This variant combines UB and IB scores using the adaptive geometric weights described in Section 2.5. It is the strongest baseline and the direct predecessor of our proposed model. Adding temporal decay is the only change between this baseline and our proposed approach.</w:t>
      </w:r>
    </w:p>
    <w:p>
      <w:pPr>
        <w:pStyle w:val="Normal"/>
        <w:spacing w:before="0" w:after="8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3.5 Evaluation Metrics</w:t>
      </w:r>
    </w:p>
    <w:p>
      <w:pPr>
        <w:pStyle w:val="ListParagraph"/>
        <w:numPr>
          <w:ilvl w:val="0"/>
          <w:numId w:val="9"/>
        </w:numPr>
        <w:spacing w:before="0" w:after="60"/>
        <w:rPr>
          <w:rFonts w:ascii="Ubuntu" w:hAnsi="Ubuntu"/>
          <w:color w:val="000000"/>
        </w:rPr>
      </w:pPr>
      <w:r>
        <w:rPr>
          <w:rFonts w:eastAsia="Arial" w:cs="Arial" w:ascii="Ubuntu" w:hAnsi="Ubuntu"/>
          <w:color w:val="000000"/>
          <w:sz w:val="22"/>
          <w:szCs w:val="22"/>
        </w:rPr>
        <w:t>Mean Absolute Error (MAE) — average size of the prediction error in rating units. Lower is better.</w:t>
      </w:r>
    </w:p>
    <w:p>
      <w:pPr>
        <w:pStyle w:val="ListParagraph"/>
        <w:numPr>
          <w:ilvl w:val="0"/>
          <w:numId w:val="10"/>
        </w:numPr>
        <w:spacing w:before="0" w:after="60"/>
        <w:rPr>
          <w:rFonts w:ascii="Ubuntu" w:hAnsi="Ubuntu"/>
          <w:color w:val="000000"/>
        </w:rPr>
      </w:pPr>
      <w:r>
        <w:rPr>
          <w:rFonts w:eastAsia="Arial" w:cs="Arial" w:ascii="Ubuntu" w:hAnsi="Ubuntu"/>
          <w:color w:val="000000"/>
          <w:sz w:val="22"/>
          <w:szCs w:val="22"/>
        </w:rPr>
        <w:t>Macro Precision / Recall / F1 — classification quality computed for each of the five rating classes separately and then averaged equally. This treats all classes as equally important.</w:t>
      </w:r>
    </w:p>
    <w:p>
      <w:pPr>
        <w:pStyle w:val="ListParagraph"/>
        <w:numPr>
          <w:ilvl w:val="0"/>
          <w:numId w:val="11"/>
        </w:numPr>
        <w:spacing w:before="0" w:after="60"/>
        <w:rPr>
          <w:rFonts w:ascii="Ubuntu" w:hAnsi="Ubuntu"/>
          <w:color w:val="000000"/>
        </w:rPr>
      </w:pPr>
      <w:r>
        <w:rPr>
          <w:rFonts w:eastAsia="Arial" w:cs="Arial" w:ascii="Ubuntu" w:hAnsi="Ubuntu"/>
          <w:color w:val="000000"/>
          <w:sz w:val="22"/>
          <w:szCs w:val="22"/>
        </w:rPr>
        <w:t>Binary Confusion Matrix — performance on the simpler like / dislike decision (rating ≥ 4 means Like).</w:t>
      </w:r>
    </w:p>
    <w:p>
      <w:pPr>
        <w:pStyle w:val="ListParagraph"/>
        <w:numPr>
          <w:ilvl w:val="0"/>
          <w:numId w:val="12"/>
        </w:numPr>
        <w:spacing w:before="0" w:after="60"/>
        <w:rPr>
          <w:rFonts w:ascii="Ubuntu" w:hAnsi="Ubuntu"/>
          <w:color w:val="000000"/>
        </w:rPr>
      </w:pPr>
      <w:r>
        <w:rPr>
          <w:rFonts w:eastAsia="Arial" w:cs="Arial" w:ascii="Ubuntu" w:hAnsi="Ubuntu"/>
          <w:color w:val="000000"/>
          <w:sz w:val="22"/>
          <w:szCs w:val="22"/>
        </w:rPr>
        <w:t>Coverage — fraction of test predictions where the Hybrid + Temporal model has confidence ≥ 0.30.</w:t>
      </w:r>
    </w:p>
    <w:p>
      <w:pPr>
        <w:pStyle w:val="Normal"/>
        <w:spacing w:before="0" w:after="80"/>
        <w:rPr>
          <w:rFonts w:ascii="Ubuntu" w:hAnsi="Ubuntu"/>
          <w:color w:val="000000"/>
        </w:rPr>
      </w:pPr>
      <w:r>
        <w:rPr>
          <w:rFonts w:ascii="Ubuntu" w:hAnsi="Ubuntu"/>
          <w:color w:val="000000"/>
        </w:rPr>
      </w:r>
    </w:p>
    <w:p>
      <w:pPr>
        <w:pStyle w:val="Heading1"/>
        <w:pBdr>
          <w:bottom w:val="single" w:sz="4" w:space="4" w:color="2563A8"/>
        </w:pBdr>
        <w:spacing w:before="360" w:after="120"/>
        <w:rPr>
          <w:rFonts w:ascii="Ubuntu" w:hAnsi="Ubuntu"/>
          <w:color w:val="000000"/>
        </w:rPr>
      </w:pPr>
      <w:r>
        <w:rPr>
          <w:rFonts w:eastAsia="Arial" w:cs="Arial" w:ascii="Ubuntu" w:hAnsi="Ubuntu"/>
          <w:b/>
          <w:bCs/>
          <w:color w:val="000000"/>
          <w:sz w:val="28"/>
          <w:szCs w:val="28"/>
        </w:rPr>
        <w:t>4. Key Implementation Functions</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This section shows the three most important functions in the implementation. A full line-by-line explanation of all code is given in Report 2.</w:t>
      </w:r>
    </w:p>
    <w:p>
      <w:pPr>
        <w:pStyle w:val="Normal"/>
        <w:spacing w:before="0" w:after="8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4.1 Laplace-Smoothed Prior Probabilities</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Both the item prior and the user prior are computed with Laplace smoothing to handle items or users that have very few ratings.</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calc_item_prior(i, y, item_r, alpha=0.01, num_R=5):</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if i not in item_r: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1.0 / num_R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ratings = list(item_r[i].values())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count_y = sum(1 for r in ratings if r == y)</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(count_y + alpha) / (len(ratings) + num_R * alpha)</w:t>
      </w:r>
    </w:p>
    <w:p>
      <w:pPr>
        <w:pStyle w:val="Normal"/>
        <w:spacing w:before="0" w:after="8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4.2 Temporal Decay Weight</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Each past rating is multiplied by a weight that depends on how old it is. Newer ratings have a weight close to 1; older ratings have a lower weight.</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temporal_weight(user_id, item_id, global_max_ts, decay_lambda=1e-7):</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ts  = user_ts.get(user_id, {}).get(item_id, global_max_ts)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age = global_max_ts - ts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math.exp(-decay_lambda * age)</w:t>
      </w:r>
    </w:p>
    <w:p>
      <w:pPr>
        <w:pStyle w:val="Normal"/>
        <w:pBdr>
          <w:left w:val="single" w:sz="14" w:space="6" w:color="2563A8"/>
        </w:pBdr>
        <w:shd w:val="clear" w:fill="F0F4FA"/>
        <w:spacing w:lineRule="exact" w:line="240" w:before="0" w:after="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ub_score_temporal(u, i, user_r, item_r, alpha=0.01, num_R=5):</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log_scores = {}</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past_items = list(user_r.get(u, {}).items())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for y in R_values: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log_s = math.log(calc_item_prior(i, y, item_r, alpha, num_R))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for j, k in past_items: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w   = temporal_weight(u, j, global_max_ts)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lik = calc_ub_likelihood(i, y, j, k, item_r, alpha, num_R)</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log_s += w * (math.log(lik) if lik &gt; 0 else -1e9)</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log_scores[y] = log_s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normalize_log_scores(log_scores)</w:t>
      </w:r>
    </w:p>
    <w:p>
      <w:pPr>
        <w:pStyle w:val="Normal"/>
        <w:spacing w:before="0" w:after="80"/>
        <w:rPr>
          <w:rFonts w:ascii="Ubuntu" w:hAnsi="Ubuntu"/>
          <w:color w:val="000000"/>
        </w:rPr>
      </w:pPr>
      <w:r>
        <w:rPr>
          <w:rFonts w:ascii="Ubuntu" w:hAnsi="Ubuntu"/>
          <w:color w:val="000000"/>
        </w:rPr>
      </w:r>
    </w:p>
    <w:p>
      <w:pPr>
        <w:pStyle w:val="Heading2"/>
        <w:spacing w:before="240" w:after="80"/>
        <w:rPr>
          <w:rFonts w:ascii="Ubuntu" w:hAnsi="Ubuntu"/>
          <w:color w:val="000000"/>
        </w:rPr>
      </w:pPr>
      <w:r>
        <w:rPr>
          <w:rFonts w:eastAsia="Arial" w:cs="Arial" w:ascii="Ubuntu" w:hAnsi="Ubuntu"/>
          <w:b/>
          <w:bCs/>
          <w:color w:val="000000"/>
          <w:sz w:val="24"/>
          <w:szCs w:val="24"/>
        </w:rPr>
        <w:t>4.3 Confidence Score</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The confidence score tells us how sure the model is about a prediction. It is based on the entropy of the probability distribution over the five rating classes.</w:t>
      </w:r>
    </w:p>
    <w:p>
      <w:pPr>
        <w:pStyle w:val="Normal"/>
        <w:spacing w:before="0" w:after="40"/>
        <w:rPr>
          <w:rFonts w:ascii="Ubuntu" w:hAnsi="Ubuntu"/>
          <w:color w:val="000000"/>
        </w:rPr>
      </w:pPr>
      <w:r>
        <w:rPr>
          <w:rFonts w:ascii="Ubuntu" w:hAnsi="Ubuntu"/>
          <w:color w:val="000000"/>
        </w:rPr>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def prediction_confidence(scores_dict):</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probs       = list(scores_dict.values())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entropy     = -sum(p * math.log(p + 1e-12) for p in probs)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max_entropy = math.log(len(probs))</w:t>
      </w:r>
    </w:p>
    <w:p>
      <w:pPr>
        <w:pStyle w:val="Normal"/>
        <w:pBdr>
          <w:left w:val="single" w:sz="14" w:space="6" w:color="2563A8"/>
        </w:pBdr>
        <w:shd w:val="clear" w:fill="F0F4FA"/>
        <w:spacing w:lineRule="exact" w:line="240" w:before="0" w:after="0"/>
        <w:rPr>
          <w:rFonts w:ascii="Ubuntu" w:hAnsi="Ubuntu"/>
          <w:color w:val="000000"/>
        </w:rPr>
      </w:pPr>
      <w:r>
        <w:rPr>
          <w:rFonts w:eastAsia="Courier New" w:cs="Courier New" w:ascii="Ubuntu" w:hAnsi="Ubuntu"/>
          <w:color w:val="000000"/>
          <w:sz w:val="18"/>
          <w:szCs w:val="18"/>
        </w:rPr>
        <w:t xml:space="preserve">    </w:t>
      </w:r>
      <w:r>
        <w:rPr>
          <w:rFonts w:eastAsia="Courier New" w:cs="Courier New" w:ascii="Ubuntu" w:hAnsi="Ubuntu"/>
          <w:color w:val="000000"/>
          <w:sz w:val="18"/>
          <w:szCs w:val="18"/>
        </w:rPr>
        <w:t>return 1.0 - (entropy / max_entropy) if max_entropy &gt; 0 else 1.0</w:t>
      </w:r>
    </w:p>
    <w:p>
      <w:pPr>
        <w:pStyle w:val="Normal"/>
        <w:spacing w:before="0" w:after="80"/>
        <w:rPr>
          <w:rFonts w:ascii="Ubuntu" w:hAnsi="Ubuntu"/>
          <w:color w:val="000000"/>
        </w:rPr>
      </w:pPr>
      <w:r>
        <w:rPr>
          <w:rFonts w:ascii="Ubuntu" w:hAnsi="Ubuntu"/>
          <w:color w:val="000000"/>
        </w:rPr>
      </w:r>
    </w:p>
    <w:p>
      <w:pPr>
        <w:pStyle w:val="Heading1"/>
        <w:pBdr>
          <w:bottom w:val="single" w:sz="4" w:space="4" w:color="2563A8"/>
        </w:pBdr>
        <w:spacing w:before="360" w:after="120"/>
        <w:rPr>
          <w:rFonts w:ascii="Ubuntu" w:hAnsi="Ubuntu"/>
          <w:color w:val="000000"/>
        </w:rPr>
      </w:pPr>
      <w:r>
        <w:rPr>
          <w:rFonts w:eastAsia="Arial" w:cs="Arial" w:ascii="Ubuntu" w:hAnsi="Ubuntu"/>
          <w:b/>
          <w:bCs/>
          <w:color w:val="000000"/>
          <w:sz w:val="28"/>
          <w:szCs w:val="28"/>
        </w:rPr>
        <w:t>5. Results Summary</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The table below shows the evaluation results for all model variants. The test set contains 1,000 interactions from users who have between 20 and 30 ratings in the training set.</w:t>
      </w:r>
    </w:p>
    <w:p>
      <w:pPr>
        <w:pStyle w:val="Normal"/>
        <w:spacing w:before="0" w:after="80"/>
        <w:rPr>
          <w:rFonts w:ascii="Ubuntu" w:hAnsi="Ubuntu"/>
          <w:color w:val="000000"/>
        </w:rPr>
      </w:pPr>
      <w:r>
        <w:rPr>
          <w:rFonts w:ascii="Ubuntu" w:hAnsi="Ubuntu"/>
          <w:color w:val="000000"/>
        </w:rPr>
      </w:r>
    </w:p>
    <w:tbl>
      <w:tblPr>
        <w:tblW w:w="8460" w:type="dxa"/>
        <w:jc w:val="left"/>
        <w:tblInd w:w="0" w:type="dxa"/>
        <w:tblLayout w:type="fixed"/>
        <w:tblCellMar>
          <w:top w:w="80" w:type="dxa"/>
          <w:left w:w="120" w:type="dxa"/>
          <w:bottom w:w="80" w:type="dxa"/>
          <w:right w:w="120" w:type="dxa"/>
        </w:tblCellMar>
      </w:tblPr>
      <w:tblGrid>
        <w:gridCol w:w="2800"/>
        <w:gridCol w:w="900"/>
        <w:gridCol w:w="1200"/>
        <w:gridCol w:w="1000"/>
        <w:gridCol w:w="1400"/>
        <w:gridCol w:w="1159"/>
      </w:tblGrid>
      <w:tr>
        <w:trPr/>
        <w:tc>
          <w:tcPr>
            <w:tcW w:w="2800" w:type="dxa"/>
            <w:tcBorders>
              <w:top w:val="single" w:sz="2" w:space="0" w:color="C5D3E8"/>
              <w:left w:val="single" w:sz="2" w:space="0" w:color="C5D3E8"/>
              <w:bottom w:val="single" w:sz="2" w:space="0" w:color="C5D3E8"/>
              <w:right w:val="single" w:sz="2" w:space="0" w:color="C5D3E8"/>
            </w:tcBorders>
            <w:shd w:fill="1B3A6B" w:val="clear"/>
          </w:tcPr>
          <w:p>
            <w:pPr>
              <w:pStyle w:val="Normal"/>
              <w:jc w:val="center"/>
              <w:rPr>
                <w:rFonts w:ascii="Ubuntu" w:hAnsi="Ubuntu"/>
                <w:color w:val="EEEEEE"/>
              </w:rPr>
            </w:pPr>
            <w:r>
              <w:rPr>
                <w:rFonts w:eastAsia="Arial" w:cs="Arial" w:ascii="Ubuntu" w:hAnsi="Ubuntu"/>
                <w:b/>
                <w:bCs/>
                <w:color w:val="EEEEEE"/>
                <w:sz w:val="20"/>
                <w:szCs w:val="20"/>
              </w:rPr>
              <w:t>Method</w:t>
            </w:r>
          </w:p>
        </w:tc>
        <w:tc>
          <w:tcPr>
            <w:tcW w:w="900" w:type="dxa"/>
            <w:tcBorders>
              <w:top w:val="single" w:sz="2" w:space="0" w:color="C5D3E8"/>
              <w:left w:val="single" w:sz="2" w:space="0" w:color="C5D3E8"/>
              <w:bottom w:val="single" w:sz="2" w:space="0" w:color="C5D3E8"/>
              <w:right w:val="single" w:sz="2" w:space="0" w:color="C5D3E8"/>
            </w:tcBorders>
            <w:shd w:fill="1B3A6B" w:val="clear"/>
          </w:tcPr>
          <w:p>
            <w:pPr>
              <w:pStyle w:val="Normal"/>
              <w:jc w:val="center"/>
              <w:rPr>
                <w:rFonts w:ascii="Ubuntu" w:hAnsi="Ubuntu"/>
                <w:color w:val="EEEEEE"/>
              </w:rPr>
            </w:pPr>
            <w:r>
              <w:rPr>
                <w:rFonts w:eastAsia="Arial" w:cs="Arial" w:ascii="Ubuntu" w:hAnsi="Ubuntu"/>
                <w:b/>
                <w:bCs/>
                <w:color w:val="EEEEEE"/>
                <w:sz w:val="20"/>
                <w:szCs w:val="20"/>
              </w:rPr>
              <w:t>MAE</w:t>
            </w:r>
          </w:p>
        </w:tc>
        <w:tc>
          <w:tcPr>
            <w:tcW w:w="1200" w:type="dxa"/>
            <w:tcBorders>
              <w:top w:val="single" w:sz="2" w:space="0" w:color="C5D3E8"/>
              <w:left w:val="single" w:sz="2" w:space="0" w:color="C5D3E8"/>
              <w:bottom w:val="single" w:sz="2" w:space="0" w:color="C5D3E8"/>
              <w:right w:val="single" w:sz="2" w:space="0" w:color="C5D3E8"/>
            </w:tcBorders>
            <w:shd w:fill="1B3A6B" w:val="clear"/>
          </w:tcPr>
          <w:p>
            <w:pPr>
              <w:pStyle w:val="Normal"/>
              <w:jc w:val="center"/>
              <w:rPr>
                <w:rFonts w:ascii="Ubuntu" w:hAnsi="Ubuntu"/>
                <w:color w:val="EEEEEE"/>
              </w:rPr>
            </w:pPr>
            <w:r>
              <w:rPr>
                <w:rFonts w:eastAsia="Arial" w:cs="Arial" w:ascii="Ubuntu" w:hAnsi="Ubuntu"/>
                <w:b/>
                <w:bCs/>
                <w:color w:val="EEEEEE"/>
                <w:sz w:val="20"/>
                <w:szCs w:val="20"/>
              </w:rPr>
              <w:t>Precision</w:t>
            </w:r>
          </w:p>
        </w:tc>
        <w:tc>
          <w:tcPr>
            <w:tcW w:w="1000" w:type="dxa"/>
            <w:tcBorders>
              <w:top w:val="single" w:sz="2" w:space="0" w:color="C5D3E8"/>
              <w:left w:val="single" w:sz="2" w:space="0" w:color="C5D3E8"/>
              <w:bottom w:val="single" w:sz="2" w:space="0" w:color="C5D3E8"/>
              <w:right w:val="single" w:sz="2" w:space="0" w:color="C5D3E8"/>
            </w:tcBorders>
            <w:shd w:fill="1B3A6B" w:val="clear"/>
          </w:tcPr>
          <w:p>
            <w:pPr>
              <w:pStyle w:val="Normal"/>
              <w:jc w:val="center"/>
              <w:rPr>
                <w:rFonts w:ascii="Ubuntu" w:hAnsi="Ubuntu"/>
                <w:color w:val="EEEEEE"/>
              </w:rPr>
            </w:pPr>
            <w:r>
              <w:rPr>
                <w:rFonts w:eastAsia="Arial" w:cs="Arial" w:ascii="Ubuntu" w:hAnsi="Ubuntu"/>
                <w:b/>
                <w:bCs/>
                <w:color w:val="EEEEEE"/>
                <w:sz w:val="20"/>
                <w:szCs w:val="20"/>
              </w:rPr>
              <w:t>Recall</w:t>
            </w:r>
          </w:p>
        </w:tc>
        <w:tc>
          <w:tcPr>
            <w:tcW w:w="1400" w:type="dxa"/>
            <w:tcBorders>
              <w:top w:val="single" w:sz="2" w:space="0" w:color="C5D3E8"/>
              <w:left w:val="single" w:sz="2" w:space="0" w:color="C5D3E8"/>
              <w:bottom w:val="single" w:sz="2" w:space="0" w:color="C5D3E8"/>
              <w:right w:val="single" w:sz="2" w:space="0" w:color="C5D3E8"/>
            </w:tcBorders>
            <w:shd w:fill="1B3A6B" w:val="clear"/>
          </w:tcPr>
          <w:p>
            <w:pPr>
              <w:pStyle w:val="Normal"/>
              <w:jc w:val="center"/>
              <w:rPr>
                <w:rFonts w:ascii="Ubuntu" w:hAnsi="Ubuntu"/>
                <w:color w:val="EEEEEE"/>
              </w:rPr>
            </w:pPr>
            <w:r>
              <w:rPr>
                <w:rFonts w:eastAsia="Arial" w:cs="Arial" w:ascii="Ubuntu" w:hAnsi="Ubuntu"/>
                <w:b/>
                <w:bCs/>
                <w:color w:val="EEEEEE"/>
                <w:sz w:val="20"/>
                <w:szCs w:val="20"/>
              </w:rPr>
              <w:t>F1 (macro)</w:t>
            </w:r>
          </w:p>
        </w:tc>
        <w:tc>
          <w:tcPr>
            <w:tcW w:w="1159" w:type="dxa"/>
            <w:tcBorders>
              <w:top w:val="single" w:sz="2" w:space="0" w:color="C5D3E8"/>
              <w:left w:val="single" w:sz="2" w:space="0" w:color="C5D3E8"/>
              <w:bottom w:val="single" w:sz="2" w:space="0" w:color="C5D3E8"/>
              <w:right w:val="single" w:sz="2" w:space="0" w:color="C5D3E8"/>
            </w:tcBorders>
            <w:shd w:fill="1B3A6B" w:val="clear"/>
          </w:tcPr>
          <w:p>
            <w:pPr>
              <w:pStyle w:val="Normal"/>
              <w:jc w:val="center"/>
              <w:rPr>
                <w:rFonts w:ascii="Ubuntu" w:hAnsi="Ubuntu"/>
                <w:color w:val="EEEEEE"/>
              </w:rPr>
            </w:pPr>
            <w:r>
              <w:rPr>
                <w:rFonts w:eastAsia="Arial" w:cs="Arial" w:ascii="Ubuntu" w:hAnsi="Ubuntu"/>
                <w:b/>
                <w:bCs/>
                <w:color w:val="EEEEEE"/>
                <w:sz w:val="20"/>
                <w:szCs w:val="20"/>
              </w:rPr>
              <w:t>Coverage</w:t>
            </w:r>
          </w:p>
        </w:tc>
      </w:tr>
      <w:tr>
        <w:trPr/>
        <w:tc>
          <w:tcPr>
            <w:tcW w:w="28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NBCF (user-based)</w:t>
            </w:r>
          </w:p>
        </w:tc>
        <w:tc>
          <w:tcPr>
            <w:tcW w:w="9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0.861</w:t>
            </w:r>
          </w:p>
        </w:tc>
        <w:tc>
          <w:tcPr>
            <w:tcW w:w="12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w:t>
            </w:r>
          </w:p>
        </w:tc>
        <w:tc>
          <w:tcPr>
            <w:tcW w:w="10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w:t>
            </w:r>
          </w:p>
        </w:tc>
        <w:tc>
          <w:tcPr>
            <w:tcW w:w="14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w:t>
            </w:r>
          </w:p>
        </w:tc>
        <w:tc>
          <w:tcPr>
            <w:tcW w:w="1159"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w:t>
            </w:r>
          </w:p>
        </w:tc>
      </w:tr>
      <w:tr>
        <w:trPr/>
        <w:tc>
          <w:tcPr>
            <w:tcW w:w="28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NBCF (item-based)</w:t>
            </w:r>
          </w:p>
        </w:tc>
        <w:tc>
          <w:tcPr>
            <w:tcW w:w="9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2.335</w:t>
            </w:r>
          </w:p>
        </w:tc>
        <w:tc>
          <w:tcPr>
            <w:tcW w:w="12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w:t>
            </w:r>
          </w:p>
        </w:tc>
        <w:tc>
          <w:tcPr>
            <w:tcW w:w="10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w:t>
            </w:r>
          </w:p>
        </w:tc>
        <w:tc>
          <w:tcPr>
            <w:tcW w:w="14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w:t>
            </w:r>
          </w:p>
        </w:tc>
        <w:tc>
          <w:tcPr>
            <w:tcW w:w="1159"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w:t>
            </w:r>
          </w:p>
        </w:tc>
      </w:tr>
      <w:tr>
        <w:trPr/>
        <w:tc>
          <w:tcPr>
            <w:tcW w:w="28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NBCF (hybrid)</w:t>
            </w:r>
          </w:p>
        </w:tc>
        <w:tc>
          <w:tcPr>
            <w:tcW w:w="9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1.102</w:t>
            </w:r>
          </w:p>
        </w:tc>
        <w:tc>
          <w:tcPr>
            <w:tcW w:w="12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0.275</w:t>
            </w:r>
          </w:p>
        </w:tc>
        <w:tc>
          <w:tcPr>
            <w:tcW w:w="10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0.297</w:t>
            </w:r>
          </w:p>
        </w:tc>
        <w:tc>
          <w:tcPr>
            <w:tcW w:w="1400"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0.271</w:t>
            </w:r>
          </w:p>
        </w:tc>
        <w:tc>
          <w:tcPr>
            <w:tcW w:w="1159" w:type="dxa"/>
            <w:tcBorders>
              <w:top w:val="single" w:sz="2" w:space="0" w:color="C5D3E8"/>
              <w:left w:val="single" w:sz="2" w:space="0" w:color="C5D3E8"/>
              <w:bottom w:val="single" w:sz="2" w:space="0" w:color="C5D3E8"/>
              <w:right w:val="single" w:sz="2" w:space="0" w:color="C5D3E8"/>
            </w:tcBorders>
            <w:shd w:fill="FFFFFF"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w:t>
            </w:r>
          </w:p>
        </w:tc>
      </w:tr>
      <w:tr>
        <w:trPr/>
        <w:tc>
          <w:tcPr>
            <w:tcW w:w="28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Hybrid + Temporal (NEW)</w:t>
            </w:r>
          </w:p>
        </w:tc>
        <w:tc>
          <w:tcPr>
            <w:tcW w:w="9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0.792</w:t>
            </w:r>
          </w:p>
        </w:tc>
        <w:tc>
          <w:tcPr>
            <w:tcW w:w="12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0.372</w:t>
            </w:r>
          </w:p>
        </w:tc>
        <w:tc>
          <w:tcPr>
            <w:tcW w:w="10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0.276</w:t>
            </w:r>
          </w:p>
        </w:tc>
        <w:tc>
          <w:tcPr>
            <w:tcW w:w="1400"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0.279</w:t>
            </w:r>
          </w:p>
        </w:tc>
        <w:tc>
          <w:tcPr>
            <w:tcW w:w="1159" w:type="dxa"/>
            <w:tcBorders>
              <w:top w:val="single" w:sz="2" w:space="0" w:color="C5D3E8"/>
              <w:left w:val="single" w:sz="2" w:space="0" w:color="C5D3E8"/>
              <w:bottom w:val="single" w:sz="2" w:space="0" w:color="C5D3E8"/>
              <w:right w:val="single" w:sz="2" w:space="0" w:color="C5D3E8"/>
            </w:tcBorders>
            <w:shd w:fill="F5F8FD" w:val="clear"/>
            <w:tcMar>
              <w:top w:w="70" w:type="dxa"/>
              <w:bottom w:w="70" w:type="dxa"/>
            </w:tcMar>
          </w:tcPr>
          <w:p>
            <w:pPr>
              <w:pStyle w:val="Normal"/>
              <w:rPr>
                <w:rFonts w:ascii="Ubuntu" w:hAnsi="Ubuntu"/>
                <w:color w:val="000000"/>
              </w:rPr>
            </w:pPr>
            <w:r>
              <w:rPr>
                <w:rFonts w:eastAsia="Arial" w:cs="Arial" w:ascii="Ubuntu" w:hAnsi="Ubuntu"/>
                <w:color w:val="000000"/>
                <w:sz w:val="20"/>
                <w:szCs w:val="20"/>
              </w:rPr>
              <w:t>0.0 %</w:t>
            </w:r>
          </w:p>
        </w:tc>
      </w:tr>
    </w:tbl>
    <w:p>
      <w:pPr>
        <w:pStyle w:val="Normal"/>
        <w:spacing w:before="0" w:after="120"/>
        <w:rPr>
          <w:rFonts w:ascii="Ubuntu" w:hAnsi="Ubuntu"/>
          <w:color w:val="000000"/>
        </w:rPr>
      </w:pPr>
      <w:r>
        <w:rPr>
          <w:rFonts w:ascii="Ubuntu" w:hAnsi="Ubuntu"/>
          <w:color w:val="000000"/>
        </w:rPr>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The Hybrid + Temporal model achieves the lowest MAE (0.792) among all variants. The precision improvement from 0.275 to 0.372 shows that adding temporal decay helps the model predict individual rating classes more accurately.</w:t>
      </w:r>
    </w:p>
    <w:p>
      <w:pPr>
        <w:pStyle w:val="Normal"/>
        <w:spacing w:lineRule="exact" w:line="280" w:before="0" w:after="100"/>
        <w:jc w:val="both"/>
        <w:rPr>
          <w:rFonts w:ascii="Ubuntu" w:hAnsi="Ubuntu"/>
          <w:color w:val="000000"/>
        </w:rPr>
      </w:pPr>
      <w:r>
        <w:rPr>
          <w:rFonts w:eastAsia="Arial" w:cs="Arial" w:ascii="Ubuntu" w:hAnsi="Ubuntu"/>
          <w:i w:val="false"/>
          <w:iCs w:val="false"/>
          <w:color w:val="000000"/>
          <w:sz w:val="22"/>
          <w:szCs w:val="22"/>
        </w:rPr>
        <w:t>The coverage of 0.0 % at threshold τ = 0.30 means that none of the predictions in this evaluation subset reached the confidence threshold. This suggests the threshold is too high for this group of users, or that the confidence score needs further tuning. Lowering the threshold or evaluating on a different user group would likely give more informative coverage results.</w:t>
      </w:r>
    </w:p>
    <w:p>
      <w:pPr>
        <w:pStyle w:val="Normal"/>
        <w:spacing w:before="0" w:after="200"/>
        <w:rPr>
          <w:rFonts w:ascii="Ubuntu" w:hAnsi="Ubuntu"/>
          <w:color w:val="000000"/>
        </w:rPr>
      </w:pPr>
      <w:r>
        <w:rPr>
          <w:rFonts w:ascii="Ubuntu" w:hAnsi="Ubuntu"/>
          <w:color w:val="000000"/>
        </w:rPr>
      </w:r>
    </w:p>
    <w:p>
      <w:pPr>
        <w:pStyle w:val="Normal"/>
        <w:pBdr>
          <w:top w:val="single" w:sz="4" w:space="4" w:color="AAAAAA"/>
        </w:pBdr>
        <w:spacing w:before="200" w:after="0"/>
        <w:rPr>
          <w:rFonts w:ascii="Ubuntu" w:hAnsi="Ubuntu"/>
          <w:color w:val="000000"/>
        </w:rPr>
      </w:pPr>
      <w:r>
        <w:rPr>
          <w:rFonts w:eastAsia="Arial" w:cs="Arial" w:ascii="Ubuntu" w:hAnsi="Ubuntu"/>
          <w:color w:val="000000"/>
          <w:sz w:val="18"/>
          <w:szCs w:val="18"/>
        </w:rPr>
        <w:t xml:space="preserve">Recommender Systems – Report 1  |  Ömer MANAV / Kaan Bahadır SAĞRA  </w:t>
      </w:r>
    </w:p>
    <w:sectPr>
      <w:type w:val="nextPage"/>
      <w:pgSz w:w="11906" w:h="16838"/>
      <w:pgMar w:left="1440" w:right="1260" w:gutter="0" w:header="0" w:top="1260" w:footer="0" w:bottom="126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Ubuntu">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B3A6B"/>
      <w:sz w:val="28"/>
      <w:szCs w:val="28"/>
    </w:rPr>
  </w:style>
  <w:style w:type="paragraph" w:styleId="Heading2">
    <w:name w:val="Heading 2"/>
    <w:basedOn w:val="Heading"/>
    <w:qFormat/>
    <w:pPr>
      <w:spacing w:before="240" w:after="80"/>
      <w:outlineLvl w:val="1"/>
    </w:pPr>
    <w:rPr>
      <w:rFonts w:ascii="Arial" w:hAnsi="Arial" w:eastAsia="Arial" w:cs="Arial"/>
      <w:b/>
      <w:bCs/>
      <w:color w:val="2563A8"/>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6</Pages>
  <Words>1780</Words>
  <Characters>8731</Characters>
  <CharactersWithSpaces>10576</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2026-05-17T16:48:01Z</dcterms:created>
  <dc:creator>Un-named</dc:creator>
  <dc:description/>
  <dc:language>en-US</dc:language>
  <cp:lastModifiedBy/>
  <dcterms:modified xsi:type="dcterms:W3CDTF">2026-05-17T19:57:47Z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