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RECOMMENDER SYSTEMS</w:t>
      </w:r>
    </w:p>
    <w:p>
      <w:pPr>
        <w:jc w:val="center"/>
      </w:pPr>
      <w:r>
        <w:rPr>
          <w:rFonts w:ascii="Times New Roman" w:hAnsi="Times New Roman"/>
          <w:b/>
          <w:sz w:val="28"/>
        </w:rPr>
        <w:t>A Collaborative Filtering Approach Based on Naïve Bayes Classifier</w:t>
      </w:r>
    </w:p>
    <w:p/>
    <w:p>
      <w:pPr>
        <w:jc w:val="center"/>
      </w:pPr>
      <w:r>
        <w:rPr>
          <w:rFonts w:ascii="Times New Roman" w:hAnsi="Times New Roman"/>
          <w:sz w:val="26"/>
        </w:rPr>
        <w:t>Report 1 — Final Project</w:t>
      </w:r>
    </w:p>
    <w:p/>
    <w:p/>
    <w:p/>
    <w:p>
      <w:pPr>
        <w:jc w:val="center"/>
      </w:pPr>
      <w:r>
        <w:rPr>
          <w:rFonts w:ascii="Times New Roman" w:hAnsi="Times New Roman"/>
          <w:sz w:val="24"/>
        </w:rPr>
        <w:t>Supervisor: Gamze USLU, Ph.D.</w:t>
      </w:r>
    </w:p>
    <w:p>
      <w:pPr>
        <w:jc w:val="center"/>
      </w:pPr>
      <w:r>
        <w:rPr>
          <w:rFonts w:ascii="Times New Roman" w:hAnsi="Times New Roman"/>
          <w:sz w:val="24"/>
        </w:rPr>
        <w:t>Ömer MANAV – 210209003</w:t>
      </w:r>
    </w:p>
    <w:p>
      <w:pPr>
        <w:jc w:val="center"/>
      </w:pPr>
      <w:r>
        <w:rPr>
          <w:rFonts w:ascii="Times New Roman" w:hAnsi="Times New Roman"/>
          <w:sz w:val="24"/>
        </w:rPr>
        <w:t>Kaan Bahadır SAĞRA – 210201011</w:t>
      </w:r>
    </w:p>
    <w:p>
      <w:r>
        <w:br w:type="page"/>
      </w:r>
    </w:p>
    <w:p>
      <w:pPr>
        <w:pStyle w:val="Heading1"/>
        <w:jc w:val="left"/>
      </w:pPr>
      <w:r>
        <w:rPr>
          <w:rFonts w:ascii="Times New Roman" w:hAnsi="Times New Roman"/>
          <w:color w:val="1A4F8A"/>
        </w:rPr>
        <w:t>Table of Contents</w:t>
      </w:r>
    </w:p>
    <w:p>
      <w:r>
        <w:fldChar w:fldCharType="begin"/>
      </w:r>
      <w:r>
        <w:instrText xml:space="preserve"> TOC \o "1-3" \h \z \u </w:instrText>
      </w:r>
      <w:r>
        <w:fldChar w:fldCharType="separate"/>
      </w:r>
      <w:r>
        <w:rPr>
          <w:rFonts w:ascii="Times New Roman" w:hAnsi="Times New Roman"/>
          <w:i/>
          <w:sz w:val="20"/>
        </w:rPr>
        <w:t>[ Open in Microsoft Word and press Ctrl+A, then F9 to populate page numbers. ]</w:t>
      </w:r>
      <w:r>
        <w:fldChar w:fldCharType="end"/>
      </w:r>
    </w:p>
    <w:p>
      <w:r>
        <w:br w:type="page"/>
      </w:r>
    </w:p>
    <w:p>
      <w:pPr>
        <w:pStyle w:val="Heading1"/>
        <w:jc w:val="left"/>
      </w:pPr>
      <w:r>
        <w:rPr>
          <w:rFonts w:ascii="Times New Roman" w:hAnsi="Times New Roman"/>
          <w:color w:val="1A4F8A"/>
        </w:rPr>
        <w:t>Abstract</w:t>
      </w:r>
    </w:p>
    <w:p>
      <w:pPr>
        <w:spacing w:after="120"/>
        <w:jc w:val="both"/>
      </w:pPr>
      <w:r>
        <w:rPr>
          <w:rFonts w:ascii="Times New Roman" w:hAnsi="Times New Roman"/>
          <w:b w:val="0"/>
          <w:i w:val="0"/>
          <w:sz w:val="24"/>
        </w:rPr>
        <w:t>Rating prediction in collaborative filtering (CF) is challenging due to high matrix sparsity and temporal preference drift. This project implements and extends a Naïve Bayes Collaborative Filtering (NBCF) system evaluated on the MovieLens-1M benchmark. The midterm version introduced a hybrid user-based / item-based NBCF with exponential temporal decay weighting and entropy-based confidence scoring. The final version adds three substantial improvements: (1) Top-K neighborhood selection that restricts evidence to the K=30 most similar neighbors ranked by co-rater overlap, (2) RMSE as a complementary evaluation metric alongside MAE, and (3) stratified evaluation across three user activity groups to expose cold-start behavior. The final model (TopK+Temporal) achieves MAE = 0.798 and RMSE = 1.126 on the held-out test set, with a 59% latency reduction compared to the full-neighbourhood temporal baseline (34.8 ms → 14.3 ms per prediction). Confidence-filtered predictions covering 29.3% of the test set achieve a filtered MAE of 0.706, confirming that the model's uncertainty estimates are informative. An alpha sensitivity analysis shows that the temporal variant is robust to the Laplace smoothing parameter.</w:t>
      </w:r>
    </w:p>
    <w:p>
      <w:pPr>
        <w:pStyle w:val="Heading1"/>
        <w:jc w:val="left"/>
      </w:pPr>
      <w:r>
        <w:rPr>
          <w:rFonts w:ascii="Times New Roman" w:hAnsi="Times New Roman"/>
          <w:color w:val="1A4F8A"/>
        </w:rPr>
        <w:t>1. Introduction</w:t>
      </w:r>
    </w:p>
    <w:p>
      <w:pPr>
        <w:spacing w:after="120"/>
        <w:jc w:val="both"/>
      </w:pPr>
      <w:r>
        <w:rPr>
          <w:rFonts w:ascii="Times New Roman" w:hAnsi="Times New Roman"/>
          <w:b w:val="0"/>
          <w:i w:val="0"/>
          <w:sz w:val="24"/>
        </w:rPr>
        <w:t>Online platforms such as streaming services and e-commerce sites offer millions of items, making manual discovery infeasible. Recommender systems address this by predicting user preferences from historical behavior. Collaborative Filtering (CF), the dominant paradigm, assumes that users who agreed in the past will agree again in the future, requiring no item metadata and scaling naturally with usage data.</w:t>
      </w:r>
    </w:p>
    <w:p>
      <w:pPr>
        <w:spacing w:after="120"/>
        <w:jc w:val="both"/>
      </w:pPr>
      <w:r>
        <w:rPr>
          <w:rFonts w:ascii="Times New Roman" w:hAnsi="Times New Roman"/>
          <w:b w:val="0"/>
          <w:i w:val="0"/>
          <w:sz w:val="24"/>
        </w:rPr>
        <w:t>This project frames rating prediction as a five-class classification task and applies the Naïve Bayes Collaborative Filtering algorithm. NBCF computes the posterior probability of each rating class using Bayes' theorem, treating past ratings as conditionally independent features. We evaluate on MovieLens-1M — 1,000,209 ratings by 6,040 users on 3,701 movies.</w:t>
      </w:r>
    </w:p>
    <w:p>
      <w:pPr>
        <w:spacing w:after="120"/>
        <w:jc w:val="both"/>
      </w:pPr>
      <w:r>
        <w:rPr>
          <w:rFonts w:ascii="Times New Roman" w:hAnsi="Times New Roman"/>
          <w:b w:val="0"/>
          <w:i w:val="0"/>
          <w:sz w:val="24"/>
        </w:rPr>
        <w:t>Core contributions: (i) hybrid UB/IB NBCF with log-space computation and Laplace smoothing; (ii) exponential temporal decay; (iii) Top-K neighborhood selection; (iv) max-probability confidence measure with coverage–MAE trade-off analysis; (v) stratified evaluation by user activity group.</w:t>
      </w:r>
    </w:p>
    <w:p>
      <w:pPr>
        <w:pStyle w:val="Heading2"/>
        <w:jc w:val="left"/>
      </w:pPr>
      <w:r>
        <w:rPr>
          <w:rFonts w:ascii="Times New Roman" w:hAnsi="Times New Roman"/>
          <w:color w:val="1A4F8A"/>
        </w:rPr>
        <w:t>1.1 Dataset</w:t>
      </w:r>
    </w:p>
    <w:p>
      <w:pPr>
        <w:spacing w:after="120"/>
        <w:jc w:val="both"/>
      </w:pPr>
      <w:r>
        <w:rPr>
          <w:rFonts w:ascii="Times New Roman" w:hAnsi="Times New Roman"/>
          <w:b w:val="0"/>
          <w:i w:val="0"/>
          <w:sz w:val="24"/>
        </w:rPr>
        <w:t>The MovieLens-1M dataset properties are summarised below.</w:t>
      </w:r>
    </w:p>
    <w:tbl>
      <w:tblPr>
        <w:tblStyle w:val="TableGrid"/>
        <w:tblW w:type="auto" w:w="0"/>
        <w:jc w:val="center"/>
        <w:tblLook w:firstColumn="1" w:firstRow="1" w:lastColumn="0" w:lastRow="0" w:noHBand="0" w:noVBand="1" w:val="04A0"/>
      </w:tblPr>
      <w:tblGrid>
        <w:gridCol w:w="4561"/>
        <w:gridCol w:w="4561"/>
      </w:tblGrid>
      <w:tr>
        <w:tc>
          <w:tcPr>
            <w:tcW w:type="dxa" w:w="3402"/>
          </w:tcPr>
          <w:p>
            <w:pPr>
              <w:jc w:val="center"/>
            </w:pPr>
            <w:r>
              <w:rPr>
                <w:rFonts w:ascii="Times New Roman" w:hAnsi="Times New Roman"/>
                <w:b/>
                <w:sz w:val="20"/>
              </w:rPr>
              <w:t>Property</w:t>
            </w:r>
          </w:p>
        </w:tc>
        <w:tc>
          <w:tcPr>
            <w:tcW w:type="dxa" w:w="2835"/>
          </w:tcPr>
          <w:p>
            <w:pPr>
              <w:jc w:val="center"/>
            </w:pPr>
            <w:r>
              <w:rPr>
                <w:rFonts w:ascii="Times New Roman" w:hAnsi="Times New Roman"/>
                <w:b/>
                <w:sz w:val="20"/>
              </w:rPr>
              <w:t>Value</w:t>
            </w:r>
          </w:p>
        </w:tc>
      </w:tr>
      <w:tr>
        <w:tc>
          <w:tcPr>
            <w:tcW w:type="dxa" w:w="3402"/>
          </w:tcPr>
          <w:p>
            <w:pPr>
              <w:jc w:val="center"/>
            </w:pPr>
            <w:r>
              <w:rPr>
                <w:rFonts w:ascii="Times New Roman" w:hAnsi="Times New Roman"/>
                <w:sz w:val="20"/>
              </w:rPr>
              <w:t>Number of users</w:t>
            </w:r>
          </w:p>
        </w:tc>
        <w:tc>
          <w:tcPr>
            <w:tcW w:type="dxa" w:w="2835"/>
          </w:tcPr>
          <w:p>
            <w:pPr>
              <w:jc w:val="center"/>
            </w:pPr>
            <w:r>
              <w:rPr>
                <w:rFonts w:ascii="Times New Roman" w:hAnsi="Times New Roman"/>
                <w:sz w:val="20"/>
              </w:rPr>
              <w:t>6,040</w:t>
            </w:r>
          </w:p>
        </w:tc>
      </w:tr>
      <w:tr>
        <w:tc>
          <w:tcPr>
            <w:tcW w:type="dxa" w:w="3402"/>
          </w:tcPr>
          <w:p>
            <w:pPr>
              <w:jc w:val="center"/>
            </w:pPr>
            <w:r>
              <w:rPr>
                <w:rFonts w:ascii="Times New Roman" w:hAnsi="Times New Roman"/>
                <w:sz w:val="20"/>
              </w:rPr>
              <w:t>Number of movies</w:t>
            </w:r>
          </w:p>
        </w:tc>
        <w:tc>
          <w:tcPr>
            <w:tcW w:type="dxa" w:w="2835"/>
          </w:tcPr>
          <w:p>
            <w:pPr>
              <w:jc w:val="center"/>
            </w:pPr>
            <w:r>
              <w:rPr>
                <w:rFonts w:ascii="Times New Roman" w:hAnsi="Times New Roman"/>
                <w:sz w:val="20"/>
              </w:rPr>
              <w:t>3,701</w:t>
            </w:r>
          </w:p>
        </w:tc>
      </w:tr>
      <w:tr>
        <w:tc>
          <w:tcPr>
            <w:tcW w:type="dxa" w:w="3402"/>
          </w:tcPr>
          <w:p>
            <w:pPr>
              <w:jc w:val="center"/>
            </w:pPr>
            <w:r>
              <w:rPr>
                <w:rFonts w:ascii="Times New Roman" w:hAnsi="Times New Roman"/>
                <w:sz w:val="20"/>
              </w:rPr>
              <w:t>Total ratings</w:t>
            </w:r>
          </w:p>
        </w:tc>
        <w:tc>
          <w:tcPr>
            <w:tcW w:type="dxa" w:w="2835"/>
          </w:tcPr>
          <w:p>
            <w:pPr>
              <w:jc w:val="center"/>
            </w:pPr>
            <w:r>
              <w:rPr>
                <w:rFonts w:ascii="Times New Roman" w:hAnsi="Times New Roman"/>
                <w:sz w:val="20"/>
              </w:rPr>
              <w:t>1,000,209</w:t>
            </w:r>
          </w:p>
        </w:tc>
      </w:tr>
      <w:tr>
        <w:tc>
          <w:tcPr>
            <w:tcW w:type="dxa" w:w="3402"/>
          </w:tcPr>
          <w:p>
            <w:pPr>
              <w:jc w:val="center"/>
            </w:pPr>
            <w:r>
              <w:rPr>
                <w:rFonts w:ascii="Times New Roman" w:hAnsi="Times New Roman"/>
                <w:sz w:val="20"/>
              </w:rPr>
              <w:t>Rating scale</w:t>
            </w:r>
          </w:p>
        </w:tc>
        <w:tc>
          <w:tcPr>
            <w:tcW w:type="dxa" w:w="2835"/>
          </w:tcPr>
          <w:p>
            <w:pPr>
              <w:jc w:val="center"/>
            </w:pPr>
            <w:r>
              <w:rPr>
                <w:rFonts w:ascii="Times New Roman" w:hAnsi="Times New Roman"/>
                <w:sz w:val="20"/>
              </w:rPr>
              <w:t>1–5 (integer)</w:t>
            </w:r>
          </w:p>
        </w:tc>
      </w:tr>
      <w:tr>
        <w:tc>
          <w:tcPr>
            <w:tcW w:type="dxa" w:w="3402"/>
          </w:tcPr>
          <w:p>
            <w:pPr>
              <w:jc w:val="center"/>
            </w:pPr>
            <w:r>
              <w:rPr>
                <w:rFonts w:ascii="Times New Roman" w:hAnsi="Times New Roman"/>
                <w:sz w:val="20"/>
              </w:rPr>
              <w:t>Matrix sparsity</w:t>
            </w:r>
          </w:p>
        </w:tc>
        <w:tc>
          <w:tcPr>
            <w:tcW w:type="dxa" w:w="2835"/>
          </w:tcPr>
          <w:p>
            <w:pPr>
              <w:jc w:val="center"/>
            </w:pPr>
            <w:r>
              <w:rPr>
                <w:rFonts w:ascii="Times New Roman" w:hAnsi="Times New Roman"/>
                <w:sz w:val="20"/>
              </w:rPr>
              <w:t>95.53 %</w:t>
            </w:r>
          </w:p>
        </w:tc>
      </w:tr>
      <w:tr>
        <w:tc>
          <w:tcPr>
            <w:tcW w:type="dxa" w:w="3402"/>
          </w:tcPr>
          <w:p>
            <w:pPr>
              <w:jc w:val="center"/>
            </w:pPr>
            <w:r>
              <w:rPr>
                <w:rFonts w:ascii="Times New Roman" w:hAnsi="Times New Roman"/>
                <w:sz w:val="20"/>
              </w:rPr>
              <w:t>Timestamp range</w:t>
            </w:r>
          </w:p>
        </w:tc>
        <w:tc>
          <w:tcPr>
            <w:tcW w:type="dxa" w:w="2835"/>
          </w:tcPr>
          <w:p>
            <w:pPr>
              <w:jc w:val="center"/>
            </w:pPr>
            <w:r>
              <w:rPr>
                <w:rFonts w:ascii="Times New Roman" w:hAnsi="Times New Roman"/>
                <w:sz w:val="20"/>
              </w:rPr>
              <w:t>2000–2003</w:t>
            </w:r>
          </w:p>
        </w:tc>
      </w:tr>
    </w:tbl>
    <w:p/>
    <w:p>
      <w:pPr>
        <w:spacing w:after="120"/>
        <w:jc w:val="both"/>
      </w:pPr>
      <w:r>
        <w:rPr>
          <w:rFonts w:ascii="Times New Roman" w:hAnsi="Times New Roman"/>
          <w:b w:val="0"/>
          <w:i w:val="0"/>
          <w:sz w:val="24"/>
        </w:rPr>
        <w:t>Table 1 below shows a small extract of the actual rating matrix from the dataset, illustrating the typical sparsity pattern.</w:t>
      </w:r>
    </w:p>
    <w:p>
      <w:pPr>
        <w:spacing w:before="80"/>
        <w:jc w:val="center"/>
      </w:pPr>
      <w:r>
        <w:drawing>
          <wp:inline xmlns:a="http://schemas.openxmlformats.org/drawingml/2006/main" xmlns:pic="http://schemas.openxmlformats.org/drawingml/2006/picture">
            <wp:extent cx="5040000" cy="1472970"/>
            <wp:docPr id="1" name="Picture 1"/>
            <wp:cNvGraphicFramePr>
              <a:graphicFrameLocks noChangeAspect="1"/>
            </wp:cNvGraphicFramePr>
            <a:graphic>
              <a:graphicData uri="http://schemas.openxmlformats.org/drawingml/2006/picture">
                <pic:pic>
                  <pic:nvPicPr>
                    <pic:cNvPr id="0" name="table1_rating_matrix.png"/>
                    <pic:cNvPicPr/>
                  </pic:nvPicPr>
                  <pic:blipFill>
                    <a:blip r:embed="rId9"/>
                    <a:stretch>
                      <a:fillRect/>
                    </a:stretch>
                  </pic:blipFill>
                  <pic:spPr>
                    <a:xfrm>
                      <a:off x="0" y="0"/>
                      <a:ext cx="5040000" cy="1472970"/>
                    </a:xfrm>
                    <a:prstGeom prst="rect"/>
                  </pic:spPr>
                </pic:pic>
              </a:graphicData>
            </a:graphic>
          </wp:inline>
        </w:drawing>
      </w:r>
    </w:p>
    <w:p>
      <w:pPr>
        <w:spacing w:before="40" w:after="200"/>
        <w:jc w:val="center"/>
      </w:pPr>
      <w:r>
        <w:rPr>
          <w:rFonts w:ascii="Times New Roman" w:hAnsi="Times New Roman"/>
          <w:i/>
          <w:sz w:val="20"/>
        </w:rPr>
        <w:t>Table 1. Running example of the rating matrix (ML-1M). '•' denotes a missing entry.</w:t>
      </w:r>
    </w:p>
    <w:p>
      <w:pPr>
        <w:pStyle w:val="Heading2"/>
        <w:jc w:val="left"/>
      </w:pPr>
      <w:r>
        <w:rPr>
          <w:rFonts w:ascii="Times New Roman" w:hAnsi="Times New Roman"/>
          <w:color w:val="1A4F8A"/>
        </w:rPr>
        <w:t>1.2 Formal Problem Statement</w:t>
      </w:r>
    </w:p>
    <w:p>
      <w:pPr>
        <w:spacing w:after="120"/>
        <w:jc w:val="both"/>
      </w:pPr>
      <w:r>
        <w:rPr>
          <w:rFonts w:ascii="Times New Roman" w:hAnsi="Times New Roman"/>
          <w:b w:val="0"/>
          <w:i w:val="0"/>
          <w:sz w:val="24"/>
        </w:rPr>
        <w:t>Let U and I be the sets of users and items. The rating matrix R is partially observed. The goal is to learn f̂(u, i) → ŷ ∈ {1,2,3,4,5}. Quality is measured with MAE = (1/|T|) Σ|r−ŷ| and RMSE = √((1/|T|) Σ(r−ŷ)²), where T is the test set.</w:t>
      </w:r>
    </w:p>
    <w:p>
      <w:pPr>
        <w:pStyle w:val="Heading2"/>
        <w:jc w:val="left"/>
      </w:pPr>
      <w:r>
        <w:rPr>
          <w:rFonts w:ascii="Times New Roman" w:hAnsi="Times New Roman"/>
          <w:color w:val="1A4F8A"/>
        </w:rPr>
        <w:t>1.3 Key Challenges</w:t>
      </w:r>
    </w:p>
    <w:p>
      <w:pPr>
        <w:pStyle w:val="ListBullet"/>
        <w:spacing w:after="40"/>
      </w:pPr>
      <w:r>
        <w:rPr>
          <w:rFonts w:ascii="Times New Roman" w:hAnsi="Times New Roman"/>
          <w:sz w:val="24"/>
        </w:rPr>
        <w:t>Data sparsity — 95.53% of entries are missing.</w:t>
      </w:r>
    </w:p>
    <w:p>
      <w:pPr>
        <w:pStyle w:val="ListBullet"/>
        <w:spacing w:after="40"/>
      </w:pPr>
      <w:r>
        <w:rPr>
          <w:rFonts w:ascii="Times New Roman" w:hAnsi="Times New Roman"/>
          <w:sz w:val="24"/>
        </w:rPr>
        <w:t>Preference drift — user tastes change over time.</w:t>
      </w:r>
    </w:p>
    <w:p>
      <w:pPr>
        <w:pStyle w:val="ListBullet"/>
        <w:spacing w:after="40"/>
      </w:pPr>
      <w:r>
        <w:rPr>
          <w:rFonts w:ascii="Times New Roman" w:hAnsi="Times New Roman"/>
          <w:sz w:val="24"/>
        </w:rPr>
        <w:t>Scalability — popular items can have thousands of co-raters.</w:t>
      </w:r>
    </w:p>
    <w:p>
      <w:pPr>
        <w:pStyle w:val="ListBullet"/>
        <w:spacing w:after="40"/>
      </w:pPr>
      <w:r>
        <w:rPr>
          <w:rFonts w:ascii="Times New Roman" w:hAnsi="Times New Roman"/>
          <w:sz w:val="24"/>
        </w:rPr>
        <w:t>Uncertainty — the model should indicate when it is unsure.</w:t>
      </w:r>
    </w:p>
    <w:p/>
    <w:p>
      <w:pPr>
        <w:pStyle w:val="Heading1"/>
        <w:jc w:val="left"/>
      </w:pPr>
      <w:r>
        <w:rPr>
          <w:rFonts w:ascii="Times New Roman" w:hAnsi="Times New Roman"/>
          <w:color w:val="1A4F8A"/>
        </w:rPr>
        <w:t>2. Related Work</w:t>
      </w:r>
    </w:p>
    <w:p>
      <w:pPr>
        <w:spacing w:after="120"/>
        <w:jc w:val="both"/>
      </w:pPr>
      <w:r>
        <w:rPr>
          <w:rFonts w:ascii="Times New Roman" w:hAnsi="Times New Roman"/>
          <w:b w:val="0"/>
          <w:i w:val="0"/>
          <w:sz w:val="24"/>
        </w:rPr>
        <w:t>Breese et al. (1998) systematically compared memory-based CF variants and established MAE as a standard metric. Herlocker et al. (2004) provided a comprehensive evaluation framework still in common use today.</w:t>
      </w:r>
    </w:p>
    <w:p>
      <w:pPr>
        <w:spacing w:after="120"/>
        <w:jc w:val="both"/>
      </w:pPr>
      <w:r>
        <w:rPr>
          <w:rFonts w:ascii="Times New Roman" w:hAnsi="Times New Roman"/>
          <w:b w:val="0"/>
          <w:i w:val="0"/>
          <w:sz w:val="24"/>
        </w:rPr>
        <w:t>The Naïve Bayes formulation of CF was introduced by Si and Jin (2003), who showed that treating rating prediction as classification under the conditional independence assumption yields competitive accuracy while remaining interpretable. Laplace smoothing and log-space computation address zero-probability and numerical underflow in sparse settings.</w:t>
      </w:r>
    </w:p>
    <w:p>
      <w:pPr>
        <w:spacing w:after="120"/>
        <w:jc w:val="both"/>
      </w:pPr>
      <w:r>
        <w:rPr>
          <w:rFonts w:ascii="Times New Roman" w:hAnsi="Times New Roman"/>
          <w:b w:val="0"/>
          <w:i w:val="0"/>
          <w:sz w:val="24"/>
        </w:rPr>
        <w:t>Temporal dynamics were incorporated into CF by Koren (2009) through TimeSVD++, which models item popularity drift and user taste evolution. Our exponential decay weighting is a lighter, training-free alternative.</w:t>
      </w:r>
    </w:p>
    <w:p>
      <w:pPr>
        <w:spacing w:after="120"/>
        <w:jc w:val="both"/>
      </w:pPr>
      <w:r>
        <w:rPr>
          <w:rFonts w:ascii="Times New Roman" w:hAnsi="Times New Roman"/>
          <w:b w:val="0"/>
          <w:i w:val="0"/>
          <w:sz w:val="24"/>
        </w:rPr>
        <w:t>Neighborhood selection in CF was studied by Sarwar et al. (2001), who showed that limiting item-based CF to the K most similar neighbors improves both accuracy and efficiency. We adapt this to NBCF using co-rater overlap as the similarity measure.</w:t>
      </w:r>
    </w:p>
    <w:p>
      <w:pPr>
        <w:spacing w:after="120"/>
        <w:jc w:val="both"/>
      </w:pPr>
      <w:r>
        <w:rPr>
          <w:rFonts w:ascii="Times New Roman" w:hAnsi="Times New Roman"/>
          <w:b w:val="0"/>
          <w:i w:val="0"/>
          <w:sz w:val="24"/>
        </w:rPr>
        <w:t>Confidence and uncertainty in recommender systems were studied by Hernandez-del-Olmo and Gaudioso (2008) through coverage–precision curves, analogous to our Figure 8 confidence threshold sweep.</w:t>
      </w:r>
    </w:p>
    <w:p>
      <w:pPr>
        <w:pStyle w:val="Heading1"/>
        <w:jc w:val="left"/>
      </w:pPr>
      <w:r>
        <w:rPr>
          <w:rFonts w:ascii="Times New Roman" w:hAnsi="Times New Roman"/>
          <w:color w:val="1A4F8A"/>
        </w:rPr>
        <w:t>3. Proposed Approach</w:t>
      </w:r>
    </w:p>
    <w:p>
      <w:pPr>
        <w:pStyle w:val="Heading2"/>
        <w:jc w:val="left"/>
      </w:pPr>
      <w:r>
        <w:rPr>
          <w:rFonts w:ascii="Times New Roman" w:hAnsi="Times New Roman"/>
          <w:color w:val="1A4F8A"/>
        </w:rPr>
        <w:t>3.1 Naïve Bayes Collaborative Filtering</w:t>
      </w:r>
    </w:p>
    <w:p>
      <w:pPr>
        <w:spacing w:after="120"/>
        <w:jc w:val="both"/>
      </w:pPr>
      <w:r>
        <w:rPr>
          <w:rFonts w:ascii="Times New Roman" w:hAnsi="Times New Roman"/>
          <w:b w:val="0"/>
          <w:i w:val="0"/>
          <w:sz w:val="24"/>
        </w:rPr>
        <w:t>We find y ∈ {1,2,3,4,5} that maximizes the posterior. Under the Naïve Bayes assumption, past ratings are conditionally independent given y. The user-based (UB) variant gives:</w:t>
      </w:r>
    </w:p>
    <w:p>
      <w:pPr>
        <w:spacing w:after="120"/>
        <w:jc w:val="both"/>
      </w:pPr>
      <w:r>
        <w:rPr>
          <w:rFonts w:ascii="Times New Roman" w:hAnsi="Times New Roman"/>
          <w:b w:val="0"/>
          <w:i/>
          <w:sz w:val="24"/>
        </w:rPr>
        <w:t xml:space="preserve">    P(y | u, i) ∝ P(y | i) × Π_{j ∈ I_u} P(r_{u,j}=k_j | y, i)</w:t>
      </w:r>
    </w:p>
    <w:p>
      <w:pPr>
        <w:spacing w:after="120"/>
        <w:jc w:val="both"/>
      </w:pPr>
      <w:r>
        <w:rPr>
          <w:rFonts w:ascii="Times New Roman" w:hAnsi="Times New Roman"/>
          <w:b w:val="0"/>
          <w:i w:val="0"/>
          <w:sz w:val="24"/>
        </w:rPr>
        <w:t>where P(y | i) is the Laplace-smoothed item prior. The item-based (IB) variant uses user priors and co-raters of item i instead.</w:t>
      </w:r>
    </w:p>
    <w:p>
      <w:pPr>
        <w:spacing w:after="120"/>
        <w:jc w:val="both"/>
      </w:pPr>
      <w:r>
        <w:rPr>
          <w:rFonts w:ascii="Times New Roman" w:hAnsi="Times New Roman"/>
          <w:b w:val="0"/>
          <w:i w:val="0"/>
          <w:sz w:val="24"/>
        </w:rPr>
        <w:t>Tables 2 and 3 show the prior probabilities and user-based likelihoods computed for a concrete example from the dataset.</w:t>
      </w:r>
    </w:p>
    <w:p>
      <w:pPr>
        <w:spacing w:before="80"/>
        <w:jc w:val="center"/>
      </w:pPr>
      <w:r>
        <w:drawing>
          <wp:inline xmlns:a="http://schemas.openxmlformats.org/drawingml/2006/main" xmlns:pic="http://schemas.openxmlformats.org/drawingml/2006/picture">
            <wp:extent cx="5040000" cy="3000242"/>
            <wp:docPr id="2" name="Picture 2"/>
            <wp:cNvGraphicFramePr>
              <a:graphicFrameLocks noChangeAspect="1"/>
            </wp:cNvGraphicFramePr>
            <a:graphic>
              <a:graphicData uri="http://schemas.openxmlformats.org/drawingml/2006/picture">
                <pic:pic>
                  <pic:nvPicPr>
                    <pic:cNvPr id="0" name="table2_3_priors_likelihood.png"/>
                    <pic:cNvPicPr/>
                  </pic:nvPicPr>
                  <pic:blipFill>
                    <a:blip r:embed="rId10"/>
                    <a:stretch>
                      <a:fillRect/>
                    </a:stretch>
                  </pic:blipFill>
                  <pic:spPr>
                    <a:xfrm>
                      <a:off x="0" y="0"/>
                      <a:ext cx="5040000" cy="3000242"/>
                    </a:xfrm>
                    <a:prstGeom prst="rect"/>
                  </pic:spPr>
                </pic:pic>
              </a:graphicData>
            </a:graphic>
          </wp:inline>
        </w:drawing>
      </w:r>
    </w:p>
    <w:p>
      <w:pPr>
        <w:spacing w:before="40" w:after="200"/>
        <w:jc w:val="center"/>
      </w:pPr>
      <w:r>
        <w:rPr>
          <w:rFonts w:ascii="Times New Roman" w:hAnsi="Times New Roman"/>
          <w:i/>
          <w:sz w:val="20"/>
        </w:rPr>
        <w:t>Tables 2–3. Prior probabilities and user-based likelihoods for a running example.</w:t>
      </w:r>
    </w:p>
    <w:p>
      <w:pPr>
        <w:pStyle w:val="Heading2"/>
        <w:jc w:val="left"/>
      </w:pPr>
      <w:r>
        <w:rPr>
          <w:rFonts w:ascii="Times New Roman" w:hAnsi="Times New Roman"/>
          <w:color w:val="1A4F8A"/>
        </w:rPr>
        <w:t>3.2 Log-Space Computation</w:t>
      </w:r>
    </w:p>
    <w:p>
      <w:pPr>
        <w:spacing w:after="120"/>
        <w:jc w:val="both"/>
      </w:pPr>
      <w:r>
        <w:rPr>
          <w:rFonts w:ascii="Times New Roman" w:hAnsi="Times New Roman"/>
          <w:b w:val="0"/>
          <w:i w:val="0"/>
          <w:sz w:val="24"/>
        </w:rPr>
        <w:t>Multiplying many small probabilities causes underflow. We use log-space accumulation and the log-sum-exp trick for numerically stable normalisation:</w:t>
      </w:r>
    </w:p>
    <w:p>
      <w:pPr>
        <w:spacing w:after="120"/>
        <w:jc w:val="both"/>
      </w:pPr>
      <w:r>
        <w:rPr>
          <w:rFonts w:ascii="Times New Roman" w:hAnsi="Times New Roman"/>
          <w:b w:val="0"/>
          <w:i/>
          <w:sz w:val="24"/>
        </w:rPr>
        <w:t xml:space="preserve">    log_s(y) = log P(y|i) + Σ_j log P(r_{u,j}=k | y)</w:t>
      </w:r>
    </w:p>
    <w:p>
      <w:pPr>
        <w:spacing w:after="120"/>
        <w:jc w:val="both"/>
      </w:pPr>
      <w:r>
        <w:rPr>
          <w:rFonts w:ascii="Times New Roman" w:hAnsi="Times New Roman"/>
          <w:b w:val="0"/>
          <w:i/>
          <w:sz w:val="24"/>
        </w:rPr>
        <w:t xml:space="preserve">    P(y) = exp(log_s(y) − max_y log_s) / Σ_y exp(log_s(y) − max_y log_s)</w:t>
      </w:r>
    </w:p>
    <w:p>
      <w:pPr>
        <w:pStyle w:val="Heading2"/>
        <w:jc w:val="left"/>
      </w:pPr>
      <w:r>
        <w:rPr>
          <w:rFonts w:ascii="Times New Roman" w:hAnsi="Times New Roman"/>
          <w:color w:val="1A4F8A"/>
        </w:rPr>
        <w:t>3.3 Temporal Decay Weighting (Midterm Contribution)</w:t>
      </w:r>
    </w:p>
    <w:p>
      <w:pPr>
        <w:spacing w:after="120"/>
        <w:jc w:val="both"/>
      </w:pPr>
      <w:r>
        <w:rPr>
          <w:rFonts w:ascii="Times New Roman" w:hAnsi="Times New Roman"/>
          <w:b w:val="0"/>
          <w:i w:val="0"/>
          <w:sz w:val="24"/>
        </w:rPr>
        <w:t>We weight each past rating by its recency: w(u, j) = exp(−λ × (t_max − t(u,j))), λ = 1×10⁻⁷. A rating from three years ago receives weight ≈ 0.09. The weight multiplies each log-likelihood term inside the score accumulation loop.</w:t>
      </w:r>
    </w:p>
    <w:p>
      <w:pPr>
        <w:pStyle w:val="Heading2"/>
        <w:jc w:val="left"/>
      </w:pPr>
      <w:r>
        <w:rPr>
          <w:rFonts w:ascii="Times New Roman" w:hAnsi="Times New Roman"/>
          <w:color w:val="1A4F8A"/>
        </w:rPr>
        <w:t>3.4 Top-K Neighborhood Selection (Final Contribution)</w:t>
      </w:r>
    </w:p>
    <w:p>
      <w:pPr>
        <w:spacing w:after="120"/>
        <w:jc w:val="both"/>
      </w:pPr>
      <w:r>
        <w:rPr>
          <w:rFonts w:ascii="Times New Roman" w:hAnsi="Times New Roman"/>
          <w:b w:val="0"/>
          <w:i w:val="0"/>
          <w:sz w:val="24"/>
        </w:rPr>
        <w:t>Original NBCF uses all past items (UB) or all co-raters (IB). For popular items, the IB side accumulates up to 2,720 co-raters, most sharing few items with the target user and contributing near-uniform likelihoods — noise rather than signal.</w:t>
      </w:r>
    </w:p>
    <w:p>
      <w:pPr>
        <w:spacing w:after="120"/>
        <w:jc w:val="both"/>
      </w:pPr>
      <w:r>
        <w:rPr>
          <w:rFonts w:ascii="Times New Roman" w:hAnsi="Times New Roman"/>
          <w:b w:val="0"/>
          <w:i w:val="0"/>
          <w:sz w:val="24"/>
        </w:rPr>
        <w:t>Top-K selection ranks candidate neighbors by co-rater overlap and retains the top K = 30. For UB: score(j, i) = |users(i) ∩ users(j)|. This focuses evidence on the most relevant neighbors and caps the inner loop at O(K), yielding a 59% latency improvement.</w:t>
      </w:r>
    </w:p>
    <w:p>
      <w:pPr>
        <w:spacing w:after="120"/>
        <w:jc w:val="both"/>
      </w:pPr>
      <w:r>
        <w:rPr>
          <w:rFonts w:ascii="Times New Roman" w:hAnsi="Times New Roman"/>
          <w:b w:val="0"/>
          <w:i w:val="0"/>
          <w:sz w:val="24"/>
        </w:rPr>
        <w:t>Table 4 shows item-based likelihoods, and Table 5 compares the full score distributions for all nine model variants on a concrete example.</w:t>
      </w:r>
    </w:p>
    <w:p>
      <w:pPr>
        <w:spacing w:before="80"/>
        <w:jc w:val="center"/>
      </w:pPr>
      <w:r>
        <w:drawing>
          <wp:inline xmlns:a="http://schemas.openxmlformats.org/drawingml/2006/main" xmlns:pic="http://schemas.openxmlformats.org/drawingml/2006/picture">
            <wp:extent cx="5040000" cy="3010424"/>
            <wp:docPr id="3" name="Picture 3"/>
            <wp:cNvGraphicFramePr>
              <a:graphicFrameLocks noChangeAspect="1"/>
            </wp:cNvGraphicFramePr>
            <a:graphic>
              <a:graphicData uri="http://schemas.openxmlformats.org/drawingml/2006/picture">
                <pic:pic>
                  <pic:nvPicPr>
                    <pic:cNvPr id="0" name="table4_5_ib_scores.png"/>
                    <pic:cNvPicPr/>
                  </pic:nvPicPr>
                  <pic:blipFill>
                    <a:blip r:embed="rId11"/>
                    <a:stretch>
                      <a:fillRect/>
                    </a:stretch>
                  </pic:blipFill>
                  <pic:spPr>
                    <a:xfrm>
                      <a:off x="0" y="0"/>
                      <a:ext cx="5040000" cy="3010424"/>
                    </a:xfrm>
                    <a:prstGeom prst="rect"/>
                  </pic:spPr>
                </pic:pic>
              </a:graphicData>
            </a:graphic>
          </wp:inline>
        </w:drawing>
      </w:r>
    </w:p>
    <w:p>
      <w:pPr>
        <w:spacing w:before="40" w:after="200"/>
        <w:jc w:val="center"/>
      </w:pPr>
      <w:r>
        <w:rPr>
          <w:rFonts w:ascii="Times New Roman" w:hAnsi="Times New Roman"/>
          <w:i/>
          <w:sz w:val="20"/>
        </w:rPr>
        <w:t>Tables 4–5. Item-based likelihoods and classification scores for all variants (* marks the predicted class).</w:t>
      </w:r>
    </w:p>
    <w:p>
      <w:pPr>
        <w:pStyle w:val="Heading2"/>
        <w:jc w:val="left"/>
      </w:pPr>
      <w:r>
        <w:rPr>
          <w:rFonts w:ascii="Times New Roman" w:hAnsi="Times New Roman"/>
          <w:color w:val="1A4F8A"/>
        </w:rPr>
        <w:t>3.5 Hybrid Combination</w:t>
      </w:r>
    </w:p>
    <w:p>
      <w:pPr>
        <w:spacing w:after="120"/>
        <w:jc w:val="both"/>
      </w:pPr>
      <w:r>
        <w:rPr>
          <w:rFonts w:ascii="Times New Roman" w:hAnsi="Times New Roman"/>
          <w:b w:val="0"/>
          <w:i w:val="0"/>
          <w:sz w:val="24"/>
        </w:rPr>
        <w:t>UB and IB scores are combined geometrically with adaptive weights: w_UB = 1/(1+|I_u|), w_IB = 1/(1+|U_i|), P_hybrid(y) ∝ P_UB(y)^w_UB × P_IB(y)^w_IB.</w:t>
      </w:r>
    </w:p>
    <w:p>
      <w:pPr>
        <w:pStyle w:val="Heading2"/>
        <w:jc w:val="left"/>
      </w:pPr>
      <w:r>
        <w:rPr>
          <w:rFonts w:ascii="Times New Roman" w:hAnsi="Times New Roman"/>
          <w:color w:val="1A4F8A"/>
        </w:rPr>
        <w:t>3.6 Confidence Scoring</w:t>
      </w:r>
    </w:p>
    <w:p>
      <w:pPr>
        <w:spacing w:after="120"/>
        <w:jc w:val="both"/>
      </w:pPr>
      <w:r>
        <w:rPr>
          <w:rFonts w:ascii="Times New Roman" w:hAnsi="Times New Roman"/>
          <w:b w:val="0"/>
          <w:i w:val="0"/>
          <w:sz w:val="24"/>
        </w:rPr>
        <w:t>We use the maximum predicted probability as the confidence score: confidence = max_y P(y|u,i). Range: [0.2, 1.0] for five classes. The midterm entropy-based confidence degenerated to near-zero under the geometric hybrid (exponents w ≈ 0.04 push all probabilities toward 1). Max-probability avoids this by operating on the UB-Temporal component scores before geometric mixing.</w:t>
      </w:r>
    </w:p>
    <w:p>
      <w:pPr>
        <w:pStyle w:val="Heading1"/>
        <w:jc w:val="left"/>
      </w:pPr>
      <w:r>
        <w:rPr>
          <w:rFonts w:ascii="Times New Roman" w:hAnsi="Times New Roman"/>
          <w:color w:val="1A4F8A"/>
        </w:rPr>
        <w:t>4. Experimental Setup</w:t>
      </w:r>
    </w:p>
    <w:p>
      <w:pPr>
        <w:pStyle w:val="Heading2"/>
        <w:jc w:val="left"/>
      </w:pPr>
      <w:r>
        <w:rPr>
          <w:rFonts w:ascii="Times New Roman" w:hAnsi="Times New Roman"/>
          <w:color w:val="1A4F8A"/>
        </w:rPr>
        <w:t>4.1 Train / Test Split</w:t>
      </w:r>
    </w:p>
    <w:p>
      <w:pPr>
        <w:spacing w:after="120"/>
        <w:jc w:val="both"/>
      </w:pPr>
      <w:r>
        <w:rPr>
          <w:rFonts w:ascii="Times New Roman" w:hAnsi="Times New Roman"/>
          <w:b w:val="0"/>
          <w:i w:val="0"/>
          <w:sz w:val="24"/>
        </w:rPr>
        <w:t>The 1,000,209 ratings are split 80/20 (random_state=42): 800,167 training, 200,042 test ratings.</w:t>
      </w:r>
    </w:p>
    <w:p>
      <w:pPr>
        <w:pStyle w:val="Heading2"/>
        <w:jc w:val="left"/>
      </w:pPr>
      <w:r>
        <w:rPr>
          <w:rFonts w:ascii="Times New Roman" w:hAnsi="Times New Roman"/>
          <w:color w:val="1A4F8A"/>
        </w:rPr>
        <w:t>4.2 Evaluation Subsets</w:t>
      </w:r>
    </w:p>
    <w:p>
      <w:pPr>
        <w:pStyle w:val="ListBullet"/>
        <w:spacing w:after="40"/>
      </w:pPr>
      <w:r>
        <w:rPr>
          <w:rFonts w:ascii="Times New Roman" w:hAnsi="Times New Roman"/>
          <w:sz w:val="24"/>
        </w:rPr>
        <w:t>Main (n=1,000): test samples from users with 20–30 training ratings. Identical to midterm for direct comparison.</w:t>
      </w:r>
    </w:p>
    <w:p>
      <w:pPr>
        <w:pStyle w:val="ListBullet"/>
        <w:spacing w:after="40"/>
      </w:pPr>
      <w:r>
        <w:rPr>
          <w:rFonts w:ascii="Times New Roman" w:hAnsi="Times New Roman"/>
          <w:sz w:val="24"/>
        </w:rPr>
        <w:t>User-group (300 each): Light (10–30), Medium (31–100), Heavy (&gt;100 ratings).</w:t>
      </w:r>
    </w:p>
    <w:p>
      <w:pPr>
        <w:pStyle w:val="ListBullet"/>
        <w:spacing w:after="40"/>
      </w:pPr>
      <w:r>
        <w:rPr>
          <w:rFonts w:ascii="Times New Roman" w:hAnsi="Times New Roman"/>
          <w:sz w:val="24"/>
        </w:rPr>
        <w:t>Alpha sensitivity (n=200): 5 values of α on the main subset.</w:t>
      </w:r>
    </w:p>
    <w:p>
      <w:pPr>
        <w:pStyle w:val="Heading2"/>
        <w:jc w:val="left"/>
      </w:pPr>
      <w:r>
        <w:rPr>
          <w:rFonts w:ascii="Times New Roman" w:hAnsi="Times New Roman"/>
          <w:color w:val="1A4F8A"/>
        </w:rPr>
        <w:t>4.3 Hyperparameters</w:t>
      </w:r>
    </w:p>
    <w:tbl>
      <w:tblPr>
        <w:tblStyle w:val="TableGrid"/>
        <w:tblW w:type="auto" w:w="0"/>
        <w:jc w:val="center"/>
        <w:tblLook w:firstColumn="1" w:firstRow="1" w:lastColumn="0" w:lastRow="0" w:noHBand="0" w:noVBand="1" w:val="04A0"/>
      </w:tblPr>
      <w:tblGrid>
        <w:gridCol w:w="3041"/>
        <w:gridCol w:w="3041"/>
        <w:gridCol w:w="3041"/>
      </w:tblGrid>
      <w:tr>
        <w:tc>
          <w:tcPr>
            <w:tcW w:type="dxa" w:w="2835"/>
          </w:tcPr>
          <w:p>
            <w:pPr>
              <w:jc w:val="center"/>
            </w:pPr>
            <w:r>
              <w:rPr>
                <w:rFonts w:ascii="Times New Roman" w:hAnsi="Times New Roman"/>
                <w:b/>
                <w:sz w:val="20"/>
              </w:rPr>
              <w:t>Parameter</w:t>
            </w:r>
          </w:p>
        </w:tc>
        <w:tc>
          <w:tcPr>
            <w:tcW w:type="dxa" w:w="1701"/>
          </w:tcPr>
          <w:p>
            <w:pPr>
              <w:jc w:val="center"/>
            </w:pPr>
            <w:r>
              <w:rPr>
                <w:rFonts w:ascii="Times New Roman" w:hAnsi="Times New Roman"/>
                <w:b/>
                <w:sz w:val="20"/>
              </w:rPr>
              <w:t>Value</w:t>
            </w:r>
          </w:p>
        </w:tc>
        <w:tc>
          <w:tcPr>
            <w:tcW w:type="dxa" w:w="3969"/>
          </w:tcPr>
          <w:p>
            <w:pPr>
              <w:jc w:val="center"/>
            </w:pPr>
            <w:r>
              <w:rPr>
                <w:rFonts w:ascii="Times New Roman" w:hAnsi="Times New Roman"/>
                <w:b/>
                <w:sz w:val="20"/>
              </w:rPr>
              <w:t>Description</w:t>
            </w:r>
          </w:p>
        </w:tc>
      </w:tr>
      <w:tr>
        <w:tc>
          <w:tcPr>
            <w:tcW w:type="dxa" w:w="2835"/>
          </w:tcPr>
          <w:p>
            <w:pPr>
              <w:jc w:val="center"/>
            </w:pPr>
            <w:r>
              <w:rPr>
                <w:rFonts w:ascii="Times New Roman" w:hAnsi="Times New Roman"/>
                <w:sz w:val="20"/>
              </w:rPr>
              <w:t>α (Laplace smoothing)</w:t>
            </w:r>
          </w:p>
        </w:tc>
        <w:tc>
          <w:tcPr>
            <w:tcW w:type="dxa" w:w="1701"/>
          </w:tcPr>
          <w:p>
            <w:pPr>
              <w:jc w:val="center"/>
            </w:pPr>
            <w:r>
              <w:rPr>
                <w:rFonts w:ascii="Times New Roman" w:hAnsi="Times New Roman"/>
                <w:sz w:val="20"/>
              </w:rPr>
              <w:t>0.01</w:t>
            </w:r>
          </w:p>
        </w:tc>
        <w:tc>
          <w:tcPr>
            <w:tcW w:type="dxa" w:w="3969"/>
          </w:tcPr>
          <w:p>
            <w:pPr>
              <w:jc w:val="center"/>
            </w:pPr>
            <w:r>
              <w:rPr>
                <w:rFonts w:ascii="Times New Roman" w:hAnsi="Times New Roman"/>
                <w:sz w:val="20"/>
              </w:rPr>
              <w:t>Prevents zero probabilities</w:t>
            </w:r>
          </w:p>
        </w:tc>
      </w:tr>
      <w:tr>
        <w:tc>
          <w:tcPr>
            <w:tcW w:type="dxa" w:w="2835"/>
          </w:tcPr>
          <w:p>
            <w:pPr>
              <w:jc w:val="center"/>
            </w:pPr>
            <w:r>
              <w:rPr>
                <w:rFonts w:ascii="Times New Roman" w:hAnsi="Times New Roman"/>
                <w:sz w:val="20"/>
              </w:rPr>
              <w:t>λ (decay rate)</w:t>
            </w:r>
          </w:p>
        </w:tc>
        <w:tc>
          <w:tcPr>
            <w:tcW w:type="dxa" w:w="1701"/>
          </w:tcPr>
          <w:p>
            <w:pPr>
              <w:jc w:val="center"/>
            </w:pPr>
            <w:r>
              <w:rPr>
                <w:rFonts w:ascii="Times New Roman" w:hAnsi="Times New Roman"/>
                <w:sz w:val="20"/>
              </w:rPr>
              <w:t>1×10⁻⁷</w:t>
            </w:r>
          </w:p>
        </w:tc>
        <w:tc>
          <w:tcPr>
            <w:tcW w:type="dxa" w:w="3969"/>
          </w:tcPr>
          <w:p>
            <w:pPr>
              <w:jc w:val="center"/>
            </w:pPr>
            <w:r>
              <w:rPr>
                <w:rFonts w:ascii="Times New Roman" w:hAnsi="Times New Roman"/>
                <w:sz w:val="20"/>
              </w:rPr>
              <w:t>Temporal exponential decay</w:t>
            </w:r>
          </w:p>
        </w:tc>
      </w:tr>
      <w:tr>
        <w:tc>
          <w:tcPr>
            <w:tcW w:type="dxa" w:w="2835"/>
          </w:tcPr>
          <w:p>
            <w:pPr>
              <w:jc w:val="center"/>
            </w:pPr>
            <w:r>
              <w:rPr>
                <w:rFonts w:ascii="Times New Roman" w:hAnsi="Times New Roman"/>
                <w:sz w:val="20"/>
              </w:rPr>
              <w:t>K (neighborhood)</w:t>
            </w:r>
          </w:p>
        </w:tc>
        <w:tc>
          <w:tcPr>
            <w:tcW w:type="dxa" w:w="1701"/>
          </w:tcPr>
          <w:p>
            <w:pPr>
              <w:jc w:val="center"/>
            </w:pPr>
            <w:r>
              <w:rPr>
                <w:rFonts w:ascii="Times New Roman" w:hAnsi="Times New Roman"/>
                <w:sz w:val="20"/>
              </w:rPr>
              <w:t>30</w:t>
            </w:r>
          </w:p>
        </w:tc>
        <w:tc>
          <w:tcPr>
            <w:tcW w:type="dxa" w:w="3969"/>
          </w:tcPr>
          <w:p>
            <w:pPr>
              <w:jc w:val="center"/>
            </w:pPr>
            <w:r>
              <w:rPr>
                <w:rFonts w:ascii="Times New Roman" w:hAnsi="Times New Roman"/>
                <w:sz w:val="20"/>
              </w:rPr>
              <w:t>Max neighbors in Top-K</w:t>
            </w:r>
          </w:p>
        </w:tc>
      </w:tr>
      <w:tr>
        <w:tc>
          <w:tcPr>
            <w:tcW w:type="dxa" w:w="2835"/>
          </w:tcPr>
          <w:p>
            <w:pPr>
              <w:jc w:val="center"/>
            </w:pPr>
            <w:r>
              <w:rPr>
                <w:rFonts w:ascii="Times New Roman" w:hAnsi="Times New Roman"/>
                <w:sz w:val="20"/>
              </w:rPr>
              <w:t>τ (confidence)</w:t>
            </w:r>
          </w:p>
        </w:tc>
        <w:tc>
          <w:tcPr>
            <w:tcW w:type="dxa" w:w="1701"/>
          </w:tcPr>
          <w:p>
            <w:pPr>
              <w:jc w:val="center"/>
            </w:pPr>
            <w:r>
              <w:rPr>
                <w:rFonts w:ascii="Times New Roman" w:hAnsi="Times New Roman"/>
                <w:sz w:val="20"/>
              </w:rPr>
              <w:t>0.45</w:t>
            </w:r>
          </w:p>
        </w:tc>
        <w:tc>
          <w:tcPr>
            <w:tcW w:type="dxa" w:w="3969"/>
          </w:tcPr>
          <w:p>
            <w:pPr>
              <w:jc w:val="center"/>
            </w:pPr>
            <w:r>
              <w:rPr>
                <w:rFonts w:ascii="Times New Roman" w:hAnsi="Times New Roman"/>
                <w:sz w:val="20"/>
              </w:rPr>
              <w:t>Min confidence for filtering</w:t>
            </w:r>
          </w:p>
        </w:tc>
      </w:tr>
    </w:tbl>
    <w:p/>
    <w:p>
      <w:pPr>
        <w:pStyle w:val="Heading2"/>
        <w:jc w:val="left"/>
      </w:pPr>
      <w:r>
        <w:rPr>
          <w:rFonts w:ascii="Times New Roman" w:hAnsi="Times New Roman"/>
          <w:color w:val="1A4F8A"/>
        </w:rPr>
        <w:t>4.4 Evaluation Metrics</w:t>
      </w:r>
    </w:p>
    <w:p>
      <w:pPr>
        <w:pStyle w:val="ListBullet"/>
        <w:spacing w:after="40"/>
      </w:pPr>
      <w:r>
        <w:rPr>
          <w:rFonts w:ascii="Times New Roman" w:hAnsi="Times New Roman"/>
          <w:sz w:val="24"/>
        </w:rPr>
        <w:t>MAE — Mean Absolute Error.</w:t>
      </w:r>
    </w:p>
    <w:p>
      <w:pPr>
        <w:pStyle w:val="ListBullet"/>
        <w:spacing w:after="40"/>
      </w:pPr>
      <w:r>
        <w:rPr>
          <w:rFonts w:ascii="Times New Roman" w:hAnsi="Times New Roman"/>
          <w:sz w:val="24"/>
        </w:rPr>
        <w:t>RMSE — Root Mean Squared Error; penalizes large errors more.</w:t>
      </w:r>
    </w:p>
    <w:p>
      <w:pPr>
        <w:pStyle w:val="ListBullet"/>
        <w:spacing w:after="40"/>
      </w:pPr>
      <w:r>
        <w:rPr>
          <w:rFonts w:ascii="Times New Roman" w:hAnsi="Times New Roman"/>
          <w:sz w:val="24"/>
        </w:rPr>
        <w:t>Macro Precision / Recall / F1 — per-class then averaged equally.</w:t>
      </w:r>
    </w:p>
    <w:p>
      <w:pPr>
        <w:pStyle w:val="ListBullet"/>
        <w:spacing w:after="40"/>
      </w:pPr>
      <w:r>
        <w:rPr>
          <w:rFonts w:ascii="Times New Roman" w:hAnsi="Times New Roman"/>
          <w:sz w:val="24"/>
        </w:rPr>
        <w:t>Binary Confusion Matrix — Like/Dislike (rating ≥ 4 = Like).</w:t>
      </w:r>
    </w:p>
    <w:p>
      <w:pPr>
        <w:pStyle w:val="ListBullet"/>
        <w:spacing w:after="40"/>
      </w:pPr>
      <w:r>
        <w:rPr>
          <w:rFonts w:ascii="Times New Roman" w:hAnsi="Times New Roman"/>
          <w:sz w:val="24"/>
        </w:rPr>
        <w:t>Coverage — fraction of predictions above confidence threshold τ.</w:t>
      </w:r>
    </w:p>
    <w:p>
      <w:pPr>
        <w:pStyle w:val="ListBullet"/>
        <w:spacing w:after="40"/>
      </w:pPr>
      <w:r>
        <w:rPr>
          <w:rFonts w:ascii="Times New Roman" w:hAnsi="Times New Roman"/>
          <w:sz w:val="24"/>
        </w:rPr>
        <w:t>Filtered MAE — MAE on high-confidence predictions only.</w:t>
      </w:r>
    </w:p>
    <w:p/>
    <w:p>
      <w:pPr>
        <w:pStyle w:val="Heading1"/>
        <w:jc w:val="left"/>
      </w:pPr>
      <w:r>
        <w:rPr>
          <w:rFonts w:ascii="Times New Roman" w:hAnsi="Times New Roman"/>
          <w:color w:val="1A4F8A"/>
        </w:rPr>
        <w:t>5. Performance Analysis</w:t>
      </w:r>
    </w:p>
    <w:p>
      <w:pPr>
        <w:pStyle w:val="Heading2"/>
        <w:jc w:val="left"/>
      </w:pPr>
      <w:r>
        <w:rPr>
          <w:rFonts w:ascii="Times New Roman" w:hAnsi="Times New Roman"/>
          <w:color w:val="1A4F8A"/>
        </w:rPr>
        <w:t>5.1 Overall Results</w:t>
      </w:r>
    </w:p>
    <w:p>
      <w:pPr>
        <w:spacing w:after="120"/>
        <w:jc w:val="both"/>
      </w:pPr>
      <w:r>
        <w:rPr>
          <w:rFonts w:ascii="Times New Roman" w:hAnsi="Times New Roman"/>
          <w:b w:val="0"/>
          <w:i w:val="0"/>
          <w:sz w:val="24"/>
        </w:rPr>
        <w:t>The table below summarises all five NBCF variants. Key observations: UB (MAE=0.861) strongly outperforms IB (MAE=2.335) due to noise from uninformative co-raters on popular items. Temporal decay reduces Hybrid MAE by 28% (1.102 → 0.792). TopK+Temporal matches Temporal accuracy at 59% lower latency.</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835"/>
          </w:tcPr>
          <w:p>
            <w:pPr>
              <w:jc w:val="center"/>
            </w:pPr>
            <w:r>
              <w:rPr>
                <w:rFonts w:ascii="Times New Roman" w:hAnsi="Times New Roman"/>
                <w:b/>
                <w:sz w:val="20"/>
              </w:rPr>
              <w:t>Method</w:t>
            </w:r>
          </w:p>
        </w:tc>
        <w:tc>
          <w:tcPr>
            <w:tcW w:type="dxa" w:w="1247"/>
          </w:tcPr>
          <w:p>
            <w:pPr>
              <w:jc w:val="center"/>
            </w:pPr>
            <w:r>
              <w:rPr>
                <w:rFonts w:ascii="Times New Roman" w:hAnsi="Times New Roman"/>
                <w:b/>
                <w:sz w:val="20"/>
              </w:rPr>
              <w:t>MAE</w:t>
            </w:r>
          </w:p>
        </w:tc>
        <w:tc>
          <w:tcPr>
            <w:tcW w:type="dxa" w:w="1247"/>
          </w:tcPr>
          <w:p>
            <w:pPr>
              <w:jc w:val="center"/>
            </w:pPr>
            <w:r>
              <w:rPr>
                <w:rFonts w:ascii="Times New Roman" w:hAnsi="Times New Roman"/>
                <w:b/>
                <w:sz w:val="20"/>
              </w:rPr>
              <w:t>RMSE</w:t>
            </w:r>
          </w:p>
        </w:tc>
        <w:tc>
          <w:tcPr>
            <w:tcW w:type="dxa" w:w="1304"/>
          </w:tcPr>
          <w:p>
            <w:pPr>
              <w:jc w:val="center"/>
            </w:pPr>
            <w:r>
              <w:rPr>
                <w:rFonts w:ascii="Times New Roman" w:hAnsi="Times New Roman"/>
                <w:b/>
                <w:sz w:val="20"/>
              </w:rPr>
              <w:t>Precision</w:t>
            </w:r>
          </w:p>
        </w:tc>
        <w:tc>
          <w:tcPr>
            <w:tcW w:type="dxa" w:w="1247"/>
          </w:tcPr>
          <w:p>
            <w:pPr>
              <w:jc w:val="center"/>
            </w:pPr>
            <w:r>
              <w:rPr>
                <w:rFonts w:ascii="Times New Roman" w:hAnsi="Times New Roman"/>
                <w:b/>
                <w:sz w:val="20"/>
              </w:rPr>
              <w:t>Recall</w:t>
            </w:r>
          </w:p>
        </w:tc>
        <w:tc>
          <w:tcPr>
            <w:tcW w:type="dxa" w:w="1247"/>
          </w:tcPr>
          <w:p>
            <w:pPr>
              <w:jc w:val="center"/>
            </w:pPr>
            <w:r>
              <w:rPr>
                <w:rFonts w:ascii="Times New Roman" w:hAnsi="Times New Roman"/>
                <w:b/>
                <w:sz w:val="20"/>
              </w:rPr>
              <w:t>F1</w:t>
            </w:r>
          </w:p>
        </w:tc>
        <w:tc>
          <w:tcPr>
            <w:tcW w:type="dxa" w:w="1247"/>
          </w:tcPr>
          <w:p>
            <w:pPr>
              <w:jc w:val="center"/>
            </w:pPr>
            <w:r>
              <w:rPr>
                <w:rFonts w:ascii="Times New Roman" w:hAnsi="Times New Roman"/>
                <w:b/>
                <w:sz w:val="20"/>
              </w:rPr>
              <w:t>Coverage</w:t>
            </w:r>
          </w:p>
        </w:tc>
      </w:tr>
      <w:tr>
        <w:tc>
          <w:tcPr>
            <w:tcW w:type="dxa" w:w="2835"/>
          </w:tcPr>
          <w:p>
            <w:pPr>
              <w:jc w:val="center"/>
            </w:pPr>
            <w:r>
              <w:rPr>
                <w:rFonts w:ascii="Times New Roman" w:hAnsi="Times New Roman"/>
                <w:sz w:val="20"/>
              </w:rPr>
              <w:t>UB</w:t>
            </w:r>
          </w:p>
        </w:tc>
        <w:tc>
          <w:tcPr>
            <w:tcW w:type="dxa" w:w="1247"/>
          </w:tcPr>
          <w:p>
            <w:pPr>
              <w:jc w:val="center"/>
            </w:pPr>
            <w:r>
              <w:rPr>
                <w:rFonts w:ascii="Times New Roman" w:hAnsi="Times New Roman"/>
                <w:sz w:val="20"/>
              </w:rPr>
              <w:t>0.8610</w:t>
            </w:r>
          </w:p>
        </w:tc>
        <w:tc>
          <w:tcPr>
            <w:tcW w:type="dxa" w:w="1247"/>
          </w:tcPr>
          <w:p>
            <w:pPr>
              <w:jc w:val="center"/>
            </w:pPr>
            <w:r>
              <w:rPr>
                <w:rFonts w:ascii="Times New Roman" w:hAnsi="Times New Roman"/>
                <w:sz w:val="20"/>
              </w:rPr>
              <w:t>1.2518</w:t>
            </w:r>
          </w:p>
        </w:tc>
        <w:tc>
          <w:tcPr>
            <w:tcW w:type="dxa" w:w="1304"/>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r>
      <w:tr>
        <w:tc>
          <w:tcPr>
            <w:tcW w:type="dxa" w:w="2835"/>
          </w:tcPr>
          <w:p>
            <w:pPr>
              <w:jc w:val="center"/>
            </w:pPr>
            <w:r>
              <w:rPr>
                <w:rFonts w:ascii="Times New Roman" w:hAnsi="Times New Roman"/>
                <w:sz w:val="20"/>
              </w:rPr>
              <w:t>IB</w:t>
            </w:r>
          </w:p>
        </w:tc>
        <w:tc>
          <w:tcPr>
            <w:tcW w:type="dxa" w:w="1247"/>
          </w:tcPr>
          <w:p>
            <w:pPr>
              <w:jc w:val="center"/>
            </w:pPr>
            <w:r>
              <w:rPr>
                <w:rFonts w:ascii="Times New Roman" w:hAnsi="Times New Roman"/>
                <w:sz w:val="20"/>
              </w:rPr>
              <w:t>2.3350</w:t>
            </w:r>
          </w:p>
        </w:tc>
        <w:tc>
          <w:tcPr>
            <w:tcW w:type="dxa" w:w="1247"/>
          </w:tcPr>
          <w:p>
            <w:pPr>
              <w:jc w:val="center"/>
            </w:pPr>
            <w:r>
              <w:rPr>
                <w:rFonts w:ascii="Times New Roman" w:hAnsi="Times New Roman"/>
                <w:sz w:val="20"/>
              </w:rPr>
              <w:t>2.6384</w:t>
            </w:r>
          </w:p>
        </w:tc>
        <w:tc>
          <w:tcPr>
            <w:tcW w:type="dxa" w:w="1304"/>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c>
          <w:tcPr>
            <w:tcW w:type="dxa" w:w="1247"/>
          </w:tcPr>
          <w:p>
            <w:pPr>
              <w:jc w:val="center"/>
            </w:pPr>
            <w:r>
              <w:rPr>
                <w:rFonts w:ascii="Times New Roman" w:hAnsi="Times New Roman"/>
                <w:sz w:val="20"/>
              </w:rPr>
              <w:t>—</w:t>
            </w:r>
          </w:p>
        </w:tc>
      </w:tr>
      <w:tr>
        <w:tc>
          <w:tcPr>
            <w:tcW w:type="dxa" w:w="2835"/>
          </w:tcPr>
          <w:p>
            <w:pPr>
              <w:jc w:val="center"/>
            </w:pPr>
            <w:r>
              <w:rPr>
                <w:rFonts w:ascii="Times New Roman" w:hAnsi="Times New Roman"/>
                <w:sz w:val="20"/>
              </w:rPr>
              <w:t>Hybrid</w:t>
            </w:r>
          </w:p>
        </w:tc>
        <w:tc>
          <w:tcPr>
            <w:tcW w:type="dxa" w:w="1247"/>
          </w:tcPr>
          <w:p>
            <w:pPr>
              <w:jc w:val="center"/>
            </w:pPr>
            <w:r>
              <w:rPr>
                <w:rFonts w:ascii="Times New Roman" w:hAnsi="Times New Roman"/>
                <w:sz w:val="20"/>
              </w:rPr>
              <w:t>1.1020</w:t>
            </w:r>
          </w:p>
        </w:tc>
        <w:tc>
          <w:tcPr>
            <w:tcW w:type="dxa" w:w="1247"/>
          </w:tcPr>
          <w:p>
            <w:pPr>
              <w:jc w:val="center"/>
            </w:pPr>
            <w:r>
              <w:rPr>
                <w:rFonts w:ascii="Times New Roman" w:hAnsi="Times New Roman"/>
                <w:sz w:val="20"/>
              </w:rPr>
              <w:t>1.4953</w:t>
            </w:r>
          </w:p>
        </w:tc>
        <w:tc>
          <w:tcPr>
            <w:tcW w:type="dxa" w:w="1304"/>
          </w:tcPr>
          <w:p>
            <w:pPr>
              <w:jc w:val="center"/>
            </w:pPr>
            <w:r>
              <w:rPr>
                <w:rFonts w:ascii="Times New Roman" w:hAnsi="Times New Roman"/>
                <w:sz w:val="20"/>
              </w:rPr>
              <w:t>0.2752</w:t>
            </w:r>
          </w:p>
        </w:tc>
        <w:tc>
          <w:tcPr>
            <w:tcW w:type="dxa" w:w="1247"/>
          </w:tcPr>
          <w:p>
            <w:pPr>
              <w:jc w:val="center"/>
            </w:pPr>
            <w:r>
              <w:rPr>
                <w:rFonts w:ascii="Times New Roman" w:hAnsi="Times New Roman"/>
                <w:sz w:val="20"/>
              </w:rPr>
              <w:t>0.2974</w:t>
            </w:r>
          </w:p>
        </w:tc>
        <w:tc>
          <w:tcPr>
            <w:tcW w:type="dxa" w:w="1247"/>
          </w:tcPr>
          <w:p>
            <w:pPr>
              <w:jc w:val="center"/>
            </w:pPr>
            <w:r>
              <w:rPr>
                <w:rFonts w:ascii="Times New Roman" w:hAnsi="Times New Roman"/>
                <w:sz w:val="20"/>
              </w:rPr>
              <w:t>0.2706</w:t>
            </w:r>
          </w:p>
        </w:tc>
        <w:tc>
          <w:tcPr>
            <w:tcW w:type="dxa" w:w="1247"/>
          </w:tcPr>
          <w:p>
            <w:pPr>
              <w:jc w:val="center"/>
            </w:pPr>
            <w:r>
              <w:rPr>
                <w:rFonts w:ascii="Times New Roman" w:hAnsi="Times New Roman"/>
                <w:sz w:val="20"/>
              </w:rPr>
              <w:t>—</w:t>
            </w:r>
          </w:p>
        </w:tc>
      </w:tr>
      <w:tr>
        <w:tc>
          <w:tcPr>
            <w:tcW w:type="dxa" w:w="2835"/>
          </w:tcPr>
          <w:p>
            <w:pPr>
              <w:jc w:val="center"/>
            </w:pPr>
            <w:r>
              <w:rPr>
                <w:rFonts w:ascii="Times New Roman" w:hAnsi="Times New Roman"/>
                <w:sz w:val="20"/>
              </w:rPr>
              <w:t>Hybrid + Temporal</w:t>
            </w:r>
          </w:p>
        </w:tc>
        <w:tc>
          <w:tcPr>
            <w:tcW w:type="dxa" w:w="1247"/>
          </w:tcPr>
          <w:p>
            <w:pPr>
              <w:jc w:val="center"/>
            </w:pPr>
            <w:r>
              <w:rPr>
                <w:rFonts w:ascii="Times New Roman" w:hAnsi="Times New Roman"/>
                <w:sz w:val="20"/>
              </w:rPr>
              <w:t>0.7920</w:t>
            </w:r>
          </w:p>
        </w:tc>
        <w:tc>
          <w:tcPr>
            <w:tcW w:type="dxa" w:w="1247"/>
          </w:tcPr>
          <w:p>
            <w:pPr>
              <w:jc w:val="center"/>
            </w:pPr>
            <w:r>
              <w:rPr>
                <w:rFonts w:ascii="Times New Roman" w:hAnsi="Times New Roman"/>
                <w:sz w:val="20"/>
              </w:rPr>
              <w:t>1.1234</w:t>
            </w:r>
          </w:p>
        </w:tc>
        <w:tc>
          <w:tcPr>
            <w:tcW w:type="dxa" w:w="1304"/>
          </w:tcPr>
          <w:p>
            <w:pPr>
              <w:jc w:val="center"/>
            </w:pPr>
            <w:r>
              <w:rPr>
                <w:rFonts w:ascii="Times New Roman" w:hAnsi="Times New Roman"/>
                <w:sz w:val="20"/>
              </w:rPr>
              <w:t>0.3720</w:t>
            </w:r>
          </w:p>
        </w:tc>
        <w:tc>
          <w:tcPr>
            <w:tcW w:type="dxa" w:w="1247"/>
          </w:tcPr>
          <w:p>
            <w:pPr>
              <w:jc w:val="center"/>
            </w:pPr>
            <w:r>
              <w:rPr>
                <w:rFonts w:ascii="Times New Roman" w:hAnsi="Times New Roman"/>
                <w:sz w:val="20"/>
              </w:rPr>
              <w:t>0.2761</w:t>
            </w:r>
          </w:p>
        </w:tc>
        <w:tc>
          <w:tcPr>
            <w:tcW w:type="dxa" w:w="1247"/>
          </w:tcPr>
          <w:p>
            <w:pPr>
              <w:jc w:val="center"/>
            </w:pPr>
            <w:r>
              <w:rPr>
                <w:rFonts w:ascii="Times New Roman" w:hAnsi="Times New Roman"/>
                <w:sz w:val="20"/>
              </w:rPr>
              <w:t>0.2792</w:t>
            </w:r>
          </w:p>
        </w:tc>
        <w:tc>
          <w:tcPr>
            <w:tcW w:type="dxa" w:w="1247"/>
          </w:tcPr>
          <w:p>
            <w:pPr>
              <w:jc w:val="center"/>
            </w:pPr>
            <w:r>
              <w:rPr>
                <w:rFonts w:ascii="Times New Roman" w:hAnsi="Times New Roman"/>
                <w:sz w:val="20"/>
              </w:rPr>
              <w:t>—</w:t>
            </w:r>
          </w:p>
        </w:tc>
      </w:tr>
      <w:tr>
        <w:tc>
          <w:tcPr>
            <w:tcW w:type="dxa" w:w="2835"/>
          </w:tcPr>
          <w:p>
            <w:pPr>
              <w:jc w:val="center"/>
            </w:pPr>
            <w:r>
              <w:rPr>
                <w:rFonts w:ascii="Times New Roman" w:hAnsi="Times New Roman"/>
                <w:sz w:val="20"/>
              </w:rPr>
              <w:t>TopK + Temporal [NEW]</w:t>
            </w:r>
          </w:p>
        </w:tc>
        <w:tc>
          <w:tcPr>
            <w:tcW w:type="dxa" w:w="1247"/>
          </w:tcPr>
          <w:p>
            <w:pPr>
              <w:jc w:val="center"/>
            </w:pPr>
            <w:r>
              <w:rPr>
                <w:rFonts w:ascii="Times New Roman" w:hAnsi="Times New Roman"/>
                <w:sz w:val="20"/>
              </w:rPr>
              <w:t>0.7980</w:t>
            </w:r>
          </w:p>
        </w:tc>
        <w:tc>
          <w:tcPr>
            <w:tcW w:type="dxa" w:w="1247"/>
          </w:tcPr>
          <w:p>
            <w:pPr>
              <w:jc w:val="center"/>
            </w:pPr>
            <w:r>
              <w:rPr>
                <w:rFonts w:ascii="Times New Roman" w:hAnsi="Times New Roman"/>
                <w:sz w:val="20"/>
              </w:rPr>
              <w:t>1.1261</w:t>
            </w:r>
          </w:p>
        </w:tc>
        <w:tc>
          <w:tcPr>
            <w:tcW w:type="dxa" w:w="1304"/>
          </w:tcPr>
          <w:p>
            <w:pPr>
              <w:jc w:val="center"/>
            </w:pPr>
            <w:r>
              <w:rPr>
                <w:rFonts w:ascii="Times New Roman" w:hAnsi="Times New Roman"/>
                <w:sz w:val="20"/>
              </w:rPr>
              <w:t>0.3638</w:t>
            </w:r>
          </w:p>
        </w:tc>
        <w:tc>
          <w:tcPr>
            <w:tcW w:type="dxa" w:w="1247"/>
          </w:tcPr>
          <w:p>
            <w:pPr>
              <w:jc w:val="center"/>
            </w:pPr>
            <w:r>
              <w:rPr>
                <w:rFonts w:ascii="Times New Roman" w:hAnsi="Times New Roman"/>
                <w:sz w:val="20"/>
              </w:rPr>
              <w:t>0.2658</w:t>
            </w:r>
          </w:p>
        </w:tc>
        <w:tc>
          <w:tcPr>
            <w:tcW w:type="dxa" w:w="1247"/>
          </w:tcPr>
          <w:p>
            <w:pPr>
              <w:jc w:val="center"/>
            </w:pPr>
            <w:r>
              <w:rPr>
                <w:rFonts w:ascii="Times New Roman" w:hAnsi="Times New Roman"/>
                <w:sz w:val="20"/>
              </w:rPr>
              <w:t>0.2656</w:t>
            </w:r>
          </w:p>
        </w:tc>
        <w:tc>
          <w:tcPr>
            <w:tcW w:type="dxa" w:w="1247"/>
          </w:tcPr>
          <w:p>
            <w:pPr>
              <w:jc w:val="center"/>
            </w:pPr>
            <w:r>
              <w:rPr>
                <w:rFonts w:ascii="Times New Roman" w:hAnsi="Times New Roman"/>
                <w:sz w:val="20"/>
              </w:rPr>
              <w:t>29.3%</w:t>
            </w:r>
          </w:p>
        </w:tc>
      </w:tr>
    </w:tbl>
    <w:p/>
    <w:p>
      <w:pPr>
        <w:spacing w:before="40" w:after="200"/>
        <w:jc w:val="center"/>
      </w:pPr>
      <w:r>
        <w:rPr>
          <w:rFonts w:ascii="Times New Roman" w:hAnsi="Times New Roman"/>
          <w:i/>
          <w:sz w:val="20"/>
        </w:rPr>
        <w:t>Table 7. Comprehensive evaluation metrics for all NBCF variants (n = 1,000).</w:t>
      </w:r>
    </w:p>
    <w:p>
      <w:pPr>
        <w:spacing w:before="80"/>
        <w:jc w:val="center"/>
      </w:pPr>
      <w:r>
        <w:drawing>
          <wp:inline xmlns:a="http://schemas.openxmlformats.org/drawingml/2006/main" xmlns:pic="http://schemas.openxmlformats.org/drawingml/2006/picture">
            <wp:extent cx="5040000" cy="1521116"/>
            <wp:docPr id="4" name="Picture 4"/>
            <wp:cNvGraphicFramePr>
              <a:graphicFrameLocks noChangeAspect="1"/>
            </wp:cNvGraphicFramePr>
            <a:graphic>
              <a:graphicData uri="http://schemas.openxmlformats.org/drawingml/2006/picture">
                <pic:pic>
                  <pic:nvPicPr>
                    <pic:cNvPr id="0" name="table7_full_metrics.png"/>
                    <pic:cNvPicPr/>
                  </pic:nvPicPr>
                  <pic:blipFill>
                    <a:blip r:embed="rId12"/>
                    <a:stretch>
                      <a:fillRect/>
                    </a:stretch>
                  </pic:blipFill>
                  <pic:spPr>
                    <a:xfrm>
                      <a:off x="0" y="0"/>
                      <a:ext cx="5040000" cy="1521116"/>
                    </a:xfrm>
                    <a:prstGeom prst="rect"/>
                  </pic:spPr>
                </pic:pic>
              </a:graphicData>
            </a:graphic>
          </wp:inline>
        </w:drawing>
      </w:r>
    </w:p>
    <w:p>
      <w:pPr>
        <w:spacing w:before="40" w:after="200"/>
        <w:jc w:val="center"/>
      </w:pPr>
      <w:r>
        <w:rPr>
          <w:rFonts w:ascii="Times New Roman" w:hAnsi="Times New Roman"/>
          <w:i/>
          <w:sz w:val="20"/>
        </w:rPr>
        <w:t>Table 7 (visual). Full metrics summary generated by the evaluation script.</w:t>
      </w:r>
    </w:p>
    <w:p>
      <w:pPr>
        <w:spacing w:after="120"/>
        <w:jc w:val="both"/>
      </w:pPr>
      <w:r>
        <w:rPr>
          <w:rFonts w:ascii="Times New Roman" w:hAnsi="Times New Roman"/>
          <w:b w:val="0"/>
          <w:i w:val="0"/>
          <w:sz w:val="24"/>
        </w:rPr>
        <w:t>Figure 2 visualises the MAE and RMSE for all five methods side by side.</w:t>
      </w:r>
    </w:p>
    <w:p>
      <w:pPr>
        <w:spacing w:before="80"/>
        <w:jc w:val="center"/>
      </w:pPr>
      <w:r>
        <w:drawing>
          <wp:inline xmlns:a="http://schemas.openxmlformats.org/drawingml/2006/main" xmlns:pic="http://schemas.openxmlformats.org/drawingml/2006/picture">
            <wp:extent cx="5040000" cy="1515907"/>
            <wp:docPr id="5" name="Picture 5"/>
            <wp:cNvGraphicFramePr>
              <a:graphicFrameLocks noChangeAspect="1"/>
            </wp:cNvGraphicFramePr>
            <a:graphic>
              <a:graphicData uri="http://schemas.openxmlformats.org/drawingml/2006/picture">
                <pic:pic>
                  <pic:nvPicPr>
                    <pic:cNvPr id="0" name="figure2_mae_rmse_comparison.png"/>
                    <pic:cNvPicPr/>
                  </pic:nvPicPr>
                  <pic:blipFill>
                    <a:blip r:embed="rId13"/>
                    <a:stretch>
                      <a:fillRect/>
                    </a:stretch>
                  </pic:blipFill>
                  <pic:spPr>
                    <a:xfrm>
                      <a:off x="0" y="0"/>
                      <a:ext cx="5040000" cy="1515907"/>
                    </a:xfrm>
                    <a:prstGeom prst="rect"/>
                  </pic:spPr>
                </pic:pic>
              </a:graphicData>
            </a:graphic>
          </wp:inline>
        </w:drawing>
      </w:r>
    </w:p>
    <w:p>
      <w:pPr>
        <w:spacing w:before="40" w:after="200"/>
        <w:jc w:val="center"/>
      </w:pPr>
      <w:r>
        <w:rPr>
          <w:rFonts w:ascii="Times New Roman" w:hAnsi="Times New Roman"/>
          <w:i/>
          <w:sz w:val="20"/>
        </w:rPr>
        <w:t>Figure 2. MAE (left) and RMSE (right) comparison across all NBCF variants.</w:t>
      </w:r>
    </w:p>
    <w:p>
      <w:pPr>
        <w:spacing w:after="120"/>
        <w:jc w:val="both"/>
      </w:pPr>
      <w:r>
        <w:rPr>
          <w:rFonts w:ascii="Times New Roman" w:hAnsi="Times New Roman"/>
          <w:b w:val="0"/>
          <w:i w:val="0"/>
          <w:sz w:val="24"/>
        </w:rPr>
        <w:t>Figure 3 shows per-class F1 scores for the three main variants.</w:t>
      </w:r>
    </w:p>
    <w:p>
      <w:pPr>
        <w:spacing w:before="80"/>
        <w:jc w:val="center"/>
      </w:pPr>
      <w:r>
        <w:drawing>
          <wp:inline xmlns:a="http://schemas.openxmlformats.org/drawingml/2006/main" xmlns:pic="http://schemas.openxmlformats.org/drawingml/2006/picture">
            <wp:extent cx="4680000" cy="2040270"/>
            <wp:docPr id="6" name="Picture 6"/>
            <wp:cNvGraphicFramePr>
              <a:graphicFrameLocks noChangeAspect="1"/>
            </wp:cNvGraphicFramePr>
            <a:graphic>
              <a:graphicData uri="http://schemas.openxmlformats.org/drawingml/2006/picture">
                <pic:pic>
                  <pic:nvPicPr>
                    <pic:cNvPr id="0" name="figure3_per_class_f1.png"/>
                    <pic:cNvPicPr/>
                  </pic:nvPicPr>
                  <pic:blipFill>
                    <a:blip r:embed="rId14"/>
                    <a:stretch>
                      <a:fillRect/>
                    </a:stretch>
                  </pic:blipFill>
                  <pic:spPr>
                    <a:xfrm>
                      <a:off x="0" y="0"/>
                      <a:ext cx="4680000" cy="2040270"/>
                    </a:xfrm>
                    <a:prstGeom prst="rect"/>
                  </pic:spPr>
                </pic:pic>
              </a:graphicData>
            </a:graphic>
          </wp:inline>
        </w:drawing>
      </w:r>
    </w:p>
    <w:p>
      <w:pPr>
        <w:spacing w:before="40" w:after="200"/>
        <w:jc w:val="center"/>
      </w:pPr>
      <w:r>
        <w:rPr>
          <w:rFonts w:ascii="Times New Roman" w:hAnsi="Times New Roman"/>
          <w:i/>
          <w:sz w:val="20"/>
        </w:rPr>
        <w:t>Figure 3. Per-class F1 score by rating value.</w:t>
      </w:r>
    </w:p>
    <w:p>
      <w:pPr>
        <w:spacing w:after="120"/>
        <w:jc w:val="both"/>
      </w:pPr>
      <w:r>
        <w:rPr>
          <w:rFonts w:ascii="Times New Roman" w:hAnsi="Times New Roman"/>
          <w:b w:val="0"/>
          <w:i w:val="0"/>
          <w:sz w:val="24"/>
        </w:rPr>
        <w:t>Figure 5 compares the predicted rating distributions and per-class MAE.</w:t>
      </w:r>
    </w:p>
    <w:p>
      <w:pPr>
        <w:spacing w:before="80"/>
        <w:jc w:val="center"/>
      </w:pPr>
      <w:r>
        <w:drawing>
          <wp:inline xmlns:a="http://schemas.openxmlformats.org/drawingml/2006/main" xmlns:pic="http://schemas.openxmlformats.org/drawingml/2006/picture">
            <wp:extent cx="5040000" cy="1792958"/>
            <wp:docPr id="7" name="Picture 7"/>
            <wp:cNvGraphicFramePr>
              <a:graphicFrameLocks noChangeAspect="1"/>
            </wp:cNvGraphicFramePr>
            <a:graphic>
              <a:graphicData uri="http://schemas.openxmlformats.org/drawingml/2006/picture">
                <pic:pic>
                  <pic:nvPicPr>
                    <pic:cNvPr id="0" name="figure5_rating_distribution.png"/>
                    <pic:cNvPicPr/>
                  </pic:nvPicPr>
                  <pic:blipFill>
                    <a:blip r:embed="rId15"/>
                    <a:stretch>
                      <a:fillRect/>
                    </a:stretch>
                  </pic:blipFill>
                  <pic:spPr>
                    <a:xfrm>
                      <a:off x="0" y="0"/>
                      <a:ext cx="5040000" cy="1792958"/>
                    </a:xfrm>
                    <a:prstGeom prst="rect"/>
                  </pic:spPr>
                </pic:pic>
              </a:graphicData>
            </a:graphic>
          </wp:inline>
        </w:drawing>
      </w:r>
    </w:p>
    <w:p>
      <w:pPr>
        <w:spacing w:before="40" w:after="200"/>
        <w:jc w:val="center"/>
      </w:pPr>
      <w:r>
        <w:rPr>
          <w:rFonts w:ascii="Times New Roman" w:hAnsi="Times New Roman"/>
          <w:i/>
          <w:sz w:val="20"/>
        </w:rPr>
        <w:t>Figure 5. Predicted vs actual rating distribution (left) and MAE per rating class (right).</w:t>
      </w:r>
    </w:p>
    <w:p>
      <w:pPr>
        <w:spacing w:after="120"/>
        <w:jc w:val="both"/>
      </w:pPr>
      <w:r>
        <w:rPr>
          <w:rFonts w:ascii="Times New Roman" w:hAnsi="Times New Roman"/>
          <w:b w:val="0"/>
          <w:i w:val="0"/>
          <w:sz w:val="24"/>
        </w:rPr>
        <w:t>Figure 1 shows the confusion matrices for the best model (TopK+Temporal).</w:t>
      </w:r>
    </w:p>
    <w:p>
      <w:pPr>
        <w:spacing w:before="80"/>
        <w:jc w:val="center"/>
      </w:pPr>
      <w:r>
        <w:drawing>
          <wp:inline xmlns:a="http://schemas.openxmlformats.org/drawingml/2006/main" xmlns:pic="http://schemas.openxmlformats.org/drawingml/2006/picture">
            <wp:extent cx="5040000" cy="4191589"/>
            <wp:docPr id="8" name="Picture 8"/>
            <wp:cNvGraphicFramePr>
              <a:graphicFrameLocks noChangeAspect="1"/>
            </wp:cNvGraphicFramePr>
            <a:graphic>
              <a:graphicData uri="http://schemas.openxmlformats.org/drawingml/2006/picture">
                <pic:pic>
                  <pic:nvPicPr>
                    <pic:cNvPr id="0" name="figure1_confusion_matrices.png"/>
                    <pic:cNvPicPr/>
                  </pic:nvPicPr>
                  <pic:blipFill>
                    <a:blip r:embed="rId16"/>
                    <a:stretch>
                      <a:fillRect/>
                    </a:stretch>
                  </pic:blipFill>
                  <pic:spPr>
                    <a:xfrm>
                      <a:off x="0" y="0"/>
                      <a:ext cx="5040000" cy="4191589"/>
                    </a:xfrm>
                    <a:prstGeom prst="rect"/>
                  </pic:spPr>
                </pic:pic>
              </a:graphicData>
            </a:graphic>
          </wp:inline>
        </w:drawing>
      </w:r>
    </w:p>
    <w:p>
      <w:pPr>
        <w:spacing w:before="40" w:after="200"/>
        <w:jc w:val="center"/>
      </w:pPr>
      <w:r>
        <w:rPr>
          <w:rFonts w:ascii="Times New Roman" w:hAnsi="Times New Roman"/>
          <w:i/>
          <w:sz w:val="20"/>
        </w:rPr>
        <w:t>Figure 1. Confusion matrices for TopK+Temporal NBCF: 5-class and binary (Like/Dislike).</w:t>
      </w:r>
    </w:p>
    <w:p>
      <w:pPr>
        <w:pStyle w:val="Heading2"/>
        <w:jc w:val="left"/>
      </w:pPr>
      <w:r>
        <w:rPr>
          <w:rFonts w:ascii="Times New Roman" w:hAnsi="Times New Roman"/>
          <w:color w:val="1A4F8A"/>
        </w:rPr>
        <w:t>5.2 User Activity Group Analysis</w:t>
      </w:r>
    </w:p>
    <w:p>
      <w:pPr>
        <w:spacing w:after="120"/>
        <w:jc w:val="both"/>
      </w:pPr>
      <w:r>
        <w:rPr>
          <w:rFonts w:ascii="Times New Roman" w:hAnsi="Times New Roman"/>
          <w:b w:val="0"/>
          <w:i w:val="0"/>
          <w:sz w:val="24"/>
        </w:rPr>
        <w:t>Figure 7 and Table 6 break down performance by user activity. Light users show no difference between models (K=30 rarely filters their ≤30-item history). Medium users benefit most: TopK reduces MAE by 6.2% (0.803 → 0.753). Heavy users (&gt;100 ratings) lose slightly (0.740 → 0.777) because K=30 truncates genuinely useful history. The overall cold-start trend — heavier users have lower error — is clearly visible in both metrics.</w:t>
      </w:r>
    </w:p>
    <w:p>
      <w:pPr>
        <w:spacing w:before="80"/>
        <w:jc w:val="center"/>
      </w:pPr>
      <w:r>
        <w:drawing>
          <wp:inline xmlns:a="http://schemas.openxmlformats.org/drawingml/2006/main" xmlns:pic="http://schemas.openxmlformats.org/drawingml/2006/picture">
            <wp:extent cx="5040000" cy="1798237"/>
            <wp:docPr id="9" name="Picture 9"/>
            <wp:cNvGraphicFramePr>
              <a:graphicFrameLocks noChangeAspect="1"/>
            </wp:cNvGraphicFramePr>
            <a:graphic>
              <a:graphicData uri="http://schemas.openxmlformats.org/drawingml/2006/picture">
                <pic:pic>
                  <pic:nvPicPr>
                    <pic:cNvPr id="0" name="figure7_user_groups.png"/>
                    <pic:cNvPicPr/>
                  </pic:nvPicPr>
                  <pic:blipFill>
                    <a:blip r:embed="rId17"/>
                    <a:stretch>
                      <a:fillRect/>
                    </a:stretch>
                  </pic:blipFill>
                  <pic:spPr>
                    <a:xfrm>
                      <a:off x="0" y="0"/>
                      <a:ext cx="5040000" cy="1798237"/>
                    </a:xfrm>
                    <a:prstGeom prst="rect"/>
                  </pic:spPr>
                </pic:pic>
              </a:graphicData>
            </a:graphic>
          </wp:inline>
        </w:drawing>
      </w:r>
    </w:p>
    <w:p>
      <w:pPr>
        <w:spacing w:before="40" w:after="200"/>
        <w:jc w:val="center"/>
      </w:pPr>
      <w:r>
        <w:rPr>
          <w:rFonts w:ascii="Times New Roman" w:hAnsi="Times New Roman"/>
          <w:i/>
          <w:sz w:val="20"/>
        </w:rPr>
        <w:t>Figure 7. MAE (left) and RMSE (right) by user activity group.</w:t>
      </w:r>
    </w:p>
    <w:p>
      <w:pPr>
        <w:spacing w:before="80"/>
        <w:jc w:val="center"/>
      </w:pPr>
      <w:r>
        <w:drawing>
          <wp:inline xmlns:a="http://schemas.openxmlformats.org/drawingml/2006/main" xmlns:pic="http://schemas.openxmlformats.org/drawingml/2006/picture">
            <wp:extent cx="5040000" cy="1337835"/>
            <wp:docPr id="10" name="Picture 10"/>
            <wp:cNvGraphicFramePr>
              <a:graphicFrameLocks noChangeAspect="1"/>
            </wp:cNvGraphicFramePr>
            <a:graphic>
              <a:graphicData uri="http://schemas.openxmlformats.org/drawingml/2006/picture">
                <pic:pic>
                  <pic:nvPicPr>
                    <pic:cNvPr id="0" name="table6_user_groups.png"/>
                    <pic:cNvPicPr/>
                  </pic:nvPicPr>
                  <pic:blipFill>
                    <a:blip r:embed="rId18"/>
                    <a:stretch>
                      <a:fillRect/>
                    </a:stretch>
                  </pic:blipFill>
                  <pic:spPr>
                    <a:xfrm>
                      <a:off x="0" y="0"/>
                      <a:ext cx="5040000" cy="1337835"/>
                    </a:xfrm>
                    <a:prstGeom prst="rect"/>
                  </pic:spPr>
                </pic:pic>
              </a:graphicData>
            </a:graphic>
          </wp:inline>
        </w:drawing>
      </w:r>
    </w:p>
    <w:p>
      <w:pPr>
        <w:spacing w:before="40" w:after="200"/>
        <w:jc w:val="center"/>
      </w:pPr>
      <w:r>
        <w:rPr>
          <w:rFonts w:ascii="Times New Roman" w:hAnsi="Times New Roman"/>
          <w:i/>
          <w:sz w:val="20"/>
        </w:rPr>
        <w:t>Table 6. Numeric breakdown of performance by user activity group.</w:t>
      </w:r>
    </w:p>
    <w:p>
      <w:pPr>
        <w:pStyle w:val="Heading2"/>
        <w:jc w:val="left"/>
      </w:pPr>
      <w:r>
        <w:rPr>
          <w:rFonts w:ascii="Times New Roman" w:hAnsi="Times New Roman"/>
          <w:color w:val="1A4F8A"/>
        </w:rPr>
        <w:t>5.3 Confidence Analysis</w:t>
      </w:r>
    </w:p>
    <w:p>
      <w:pPr>
        <w:spacing w:after="120"/>
        <w:jc w:val="both"/>
      </w:pPr>
      <w:r>
        <w:rPr>
          <w:rFonts w:ascii="Times New Roman" w:hAnsi="Times New Roman"/>
          <w:b w:val="0"/>
          <w:i w:val="0"/>
          <w:sz w:val="24"/>
        </w:rPr>
        <w:t>Figure 8 sweeps the confidence threshold τ from 0.20 to 0.95. At τ=0.45, coverage is 29.3% with filtered MAE = 0.706, an 11.5% improvement over the unfiltered MAE of 0.798. As τ rises, coverage falls and filtered MAE continues to fall, confirming that the confidence score is genuinely informative. Figure 4 shows the confidence distribution and its correlation with MAE per bucket.</w:t>
      </w:r>
    </w:p>
    <w:p>
      <w:pPr>
        <w:spacing w:before="80"/>
        <w:jc w:val="center"/>
      </w:pPr>
      <w:r>
        <w:drawing>
          <wp:inline xmlns:a="http://schemas.openxmlformats.org/drawingml/2006/main" xmlns:pic="http://schemas.openxmlformats.org/drawingml/2006/picture">
            <wp:extent cx="5040000" cy="1789878"/>
            <wp:docPr id="11" name="Picture 11"/>
            <wp:cNvGraphicFramePr>
              <a:graphicFrameLocks noChangeAspect="1"/>
            </wp:cNvGraphicFramePr>
            <a:graphic>
              <a:graphicData uri="http://schemas.openxmlformats.org/drawingml/2006/picture">
                <pic:pic>
                  <pic:nvPicPr>
                    <pic:cNvPr id="0" name="figure4_confidence.png"/>
                    <pic:cNvPicPr/>
                  </pic:nvPicPr>
                  <pic:blipFill>
                    <a:blip r:embed="rId19"/>
                    <a:stretch>
                      <a:fillRect/>
                    </a:stretch>
                  </pic:blipFill>
                  <pic:spPr>
                    <a:xfrm>
                      <a:off x="0" y="0"/>
                      <a:ext cx="5040000" cy="1789878"/>
                    </a:xfrm>
                    <a:prstGeom prst="rect"/>
                  </pic:spPr>
                </pic:pic>
              </a:graphicData>
            </a:graphic>
          </wp:inline>
        </w:drawing>
      </w:r>
    </w:p>
    <w:p>
      <w:pPr>
        <w:spacing w:before="40" w:after="200"/>
        <w:jc w:val="center"/>
      </w:pPr>
      <w:r>
        <w:rPr>
          <w:rFonts w:ascii="Times New Roman" w:hAnsi="Times New Roman"/>
          <w:i/>
          <w:sz w:val="20"/>
        </w:rPr>
        <w:t>Figure 4. Confidence distribution (left) and MAE vs confidence bucket (right).</w:t>
      </w:r>
    </w:p>
    <w:p>
      <w:pPr>
        <w:spacing w:before="80"/>
        <w:jc w:val="center"/>
      </w:pPr>
      <w:r>
        <w:drawing>
          <wp:inline xmlns:a="http://schemas.openxmlformats.org/drawingml/2006/main" xmlns:pic="http://schemas.openxmlformats.org/drawingml/2006/picture">
            <wp:extent cx="4680000" cy="2047500"/>
            <wp:docPr id="12" name="Picture 12"/>
            <wp:cNvGraphicFramePr>
              <a:graphicFrameLocks noChangeAspect="1"/>
            </wp:cNvGraphicFramePr>
            <a:graphic>
              <a:graphicData uri="http://schemas.openxmlformats.org/drawingml/2006/picture">
                <pic:pic>
                  <pic:nvPicPr>
                    <pic:cNvPr id="0" name="figure8_confidence_sweep.png"/>
                    <pic:cNvPicPr/>
                  </pic:nvPicPr>
                  <pic:blipFill>
                    <a:blip r:embed="rId20"/>
                    <a:stretch>
                      <a:fillRect/>
                    </a:stretch>
                  </pic:blipFill>
                  <pic:spPr>
                    <a:xfrm>
                      <a:off x="0" y="0"/>
                      <a:ext cx="4680000" cy="2047500"/>
                    </a:xfrm>
                    <a:prstGeom prst="rect"/>
                  </pic:spPr>
                </pic:pic>
              </a:graphicData>
            </a:graphic>
          </wp:inline>
        </w:drawing>
      </w:r>
    </w:p>
    <w:p>
      <w:pPr>
        <w:spacing w:before="40" w:after="200"/>
        <w:jc w:val="center"/>
      </w:pPr>
      <w:r>
        <w:rPr>
          <w:rFonts w:ascii="Times New Roman" w:hAnsi="Times New Roman"/>
          <w:i/>
          <w:sz w:val="20"/>
        </w:rPr>
        <w:t>Figure 8. Coverage–MAE trade-off as confidence threshold is varied.</w:t>
      </w:r>
    </w:p>
    <w:p>
      <w:pPr>
        <w:pStyle w:val="Heading2"/>
        <w:jc w:val="left"/>
      </w:pPr>
      <w:r>
        <w:rPr>
          <w:rFonts w:ascii="Times New Roman" w:hAnsi="Times New Roman"/>
          <w:color w:val="1A4F8A"/>
        </w:rPr>
        <w:t>5.4 Alpha Sensitivity</w:t>
      </w:r>
    </w:p>
    <w:p>
      <w:pPr>
        <w:spacing w:after="120"/>
        <w:jc w:val="both"/>
      </w:pPr>
      <w:r>
        <w:rPr>
          <w:rFonts w:ascii="Times New Roman" w:hAnsi="Times New Roman"/>
          <w:b w:val="0"/>
          <w:i w:val="0"/>
          <w:sz w:val="24"/>
        </w:rPr>
        <w:t>Figure 9 plots MAE against five values of the Laplace smoothing parameter α. UB (no temporal) has a sweet spot at α ≈ 0.1 (MAE=0.845). UB+Temporal is nearly flat across all α ≥ 0.01 (MAE=0.855), showing that temporal weighting absorbs the impact of the smoothing choice and makes the model robust to this hyperparameter.</w:t>
      </w:r>
    </w:p>
    <w:p>
      <w:pPr>
        <w:spacing w:before="80"/>
        <w:jc w:val="center"/>
      </w:pPr>
      <w:r>
        <w:drawing>
          <wp:inline xmlns:a="http://schemas.openxmlformats.org/drawingml/2006/main" xmlns:pic="http://schemas.openxmlformats.org/drawingml/2006/picture">
            <wp:extent cx="4320000" cy="2118076"/>
            <wp:docPr id="13" name="Picture 13"/>
            <wp:cNvGraphicFramePr>
              <a:graphicFrameLocks noChangeAspect="1"/>
            </wp:cNvGraphicFramePr>
            <a:graphic>
              <a:graphicData uri="http://schemas.openxmlformats.org/drawingml/2006/picture">
                <pic:pic>
                  <pic:nvPicPr>
                    <pic:cNvPr id="0" name="figure9_alpha_sensitivity.png"/>
                    <pic:cNvPicPr/>
                  </pic:nvPicPr>
                  <pic:blipFill>
                    <a:blip r:embed="rId21"/>
                    <a:stretch>
                      <a:fillRect/>
                    </a:stretch>
                  </pic:blipFill>
                  <pic:spPr>
                    <a:xfrm>
                      <a:off x="0" y="0"/>
                      <a:ext cx="4320000" cy="2118076"/>
                    </a:xfrm>
                    <a:prstGeom prst="rect"/>
                  </pic:spPr>
                </pic:pic>
              </a:graphicData>
            </a:graphic>
          </wp:inline>
        </w:drawing>
      </w:r>
    </w:p>
    <w:p>
      <w:pPr>
        <w:spacing w:before="40" w:after="200"/>
        <w:jc w:val="center"/>
      </w:pPr>
      <w:r>
        <w:rPr>
          <w:rFonts w:ascii="Times New Roman" w:hAnsi="Times New Roman"/>
          <w:i/>
          <w:sz w:val="20"/>
        </w:rPr>
        <w:t>Figure 9. MAE vs Laplace smoothing parameter α (log scale).</w:t>
      </w:r>
    </w:p>
    <w:p>
      <w:pPr>
        <w:pStyle w:val="Heading2"/>
        <w:jc w:val="left"/>
      </w:pPr>
      <w:r>
        <w:rPr>
          <w:rFonts w:ascii="Times New Roman" w:hAnsi="Times New Roman"/>
          <w:color w:val="1A4F8A"/>
        </w:rPr>
        <w:t>5.5 Latency and Efficiency</w:t>
      </w:r>
    </w:p>
    <w:p>
      <w:pPr>
        <w:spacing w:after="120"/>
        <w:jc w:val="both"/>
      </w:pPr>
      <w:r>
        <w:rPr>
          <w:rFonts w:ascii="Times New Roman" w:hAnsi="Times New Roman"/>
          <w:b w:val="0"/>
          <w:i w:val="0"/>
          <w:sz w:val="24"/>
        </w:rPr>
        <w:t>Figure 6 compares the latency distributions and throughput scaling. TopK+Temporal is 2.43× faster than full Temporal because the inner scoring loop is capped at K=30 instead of the full co-rater count (median 100, max 2,720 per item).</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tcPr>
          <w:p>
            <w:pPr>
              <w:jc w:val="center"/>
            </w:pPr>
            <w:r>
              <w:rPr>
                <w:rFonts w:ascii="Times New Roman" w:hAnsi="Times New Roman"/>
                <w:b/>
                <w:sz w:val="20"/>
              </w:rPr>
              <w:t>Model</w:t>
            </w:r>
          </w:p>
        </w:tc>
        <w:tc>
          <w:tcPr>
            <w:tcW w:type="dxa" w:w="1701"/>
          </w:tcPr>
          <w:p>
            <w:pPr>
              <w:jc w:val="center"/>
            </w:pPr>
            <w:r>
              <w:rPr>
                <w:rFonts w:ascii="Times New Roman" w:hAnsi="Times New Roman"/>
                <w:b/>
                <w:sz w:val="20"/>
              </w:rPr>
              <w:t>Avg Latency</w:t>
            </w:r>
          </w:p>
        </w:tc>
        <w:tc>
          <w:tcPr>
            <w:tcW w:type="dxa" w:w="1701"/>
          </w:tcPr>
          <w:p>
            <w:pPr>
              <w:jc w:val="center"/>
            </w:pPr>
            <w:r>
              <w:rPr>
                <w:rFonts w:ascii="Times New Roman" w:hAnsi="Times New Roman"/>
                <w:b/>
                <w:sz w:val="20"/>
              </w:rPr>
              <w:t>p95 Latency</w:t>
            </w:r>
          </w:p>
        </w:tc>
        <w:tc>
          <w:tcPr>
            <w:tcW w:type="dxa" w:w="2551"/>
          </w:tcPr>
          <w:p>
            <w:pPr>
              <w:jc w:val="center"/>
            </w:pPr>
            <w:r>
              <w:rPr>
                <w:rFonts w:ascii="Times New Roman" w:hAnsi="Times New Roman"/>
                <w:b/>
                <w:sz w:val="20"/>
              </w:rPr>
              <w:t>Speedup vs Temporal</w:t>
            </w:r>
          </w:p>
        </w:tc>
      </w:tr>
      <w:tr>
        <w:tc>
          <w:tcPr>
            <w:tcW w:type="dxa" w:w="3118"/>
          </w:tcPr>
          <w:p>
            <w:pPr>
              <w:jc w:val="center"/>
            </w:pPr>
            <w:r>
              <w:rPr>
                <w:rFonts w:ascii="Times New Roman" w:hAnsi="Times New Roman"/>
                <w:sz w:val="20"/>
              </w:rPr>
              <w:t>Hybrid</w:t>
            </w:r>
          </w:p>
        </w:tc>
        <w:tc>
          <w:tcPr>
            <w:tcW w:type="dxa" w:w="1701"/>
          </w:tcPr>
          <w:p>
            <w:pPr>
              <w:jc w:val="center"/>
            </w:pPr>
            <w:r>
              <w:rPr>
                <w:rFonts w:ascii="Times New Roman" w:hAnsi="Times New Roman"/>
                <w:sz w:val="20"/>
              </w:rPr>
              <w:t>28.3 ms</w:t>
            </w:r>
          </w:p>
        </w:tc>
        <w:tc>
          <w:tcPr>
            <w:tcW w:type="dxa" w:w="1701"/>
          </w:tcPr>
          <w:p>
            <w:pPr>
              <w:jc w:val="center"/>
            </w:pPr>
            <w:r>
              <w:rPr>
                <w:rFonts w:ascii="Times New Roman" w:hAnsi="Times New Roman"/>
                <w:sz w:val="20"/>
              </w:rPr>
              <w:t>70.0 ms</w:t>
            </w:r>
          </w:p>
        </w:tc>
        <w:tc>
          <w:tcPr>
            <w:tcW w:type="dxa" w:w="2551"/>
          </w:tcPr>
          <w:p>
            <w:pPr>
              <w:jc w:val="center"/>
            </w:pPr>
            <w:r>
              <w:rPr>
                <w:rFonts w:ascii="Times New Roman" w:hAnsi="Times New Roman"/>
                <w:sz w:val="20"/>
              </w:rPr>
              <w:t>—</w:t>
            </w:r>
          </w:p>
        </w:tc>
      </w:tr>
      <w:tr>
        <w:tc>
          <w:tcPr>
            <w:tcW w:type="dxa" w:w="3118"/>
          </w:tcPr>
          <w:p>
            <w:pPr>
              <w:jc w:val="center"/>
            </w:pPr>
            <w:r>
              <w:rPr>
                <w:rFonts w:ascii="Times New Roman" w:hAnsi="Times New Roman"/>
                <w:sz w:val="20"/>
              </w:rPr>
              <w:t>Hybrid+Temporal</w:t>
            </w:r>
          </w:p>
        </w:tc>
        <w:tc>
          <w:tcPr>
            <w:tcW w:type="dxa" w:w="1701"/>
          </w:tcPr>
          <w:p>
            <w:pPr>
              <w:jc w:val="center"/>
            </w:pPr>
            <w:r>
              <w:rPr>
                <w:rFonts w:ascii="Times New Roman" w:hAnsi="Times New Roman"/>
                <w:sz w:val="20"/>
              </w:rPr>
              <w:t>34.8 ms</w:t>
            </w:r>
          </w:p>
        </w:tc>
        <w:tc>
          <w:tcPr>
            <w:tcW w:type="dxa" w:w="1701"/>
          </w:tcPr>
          <w:p>
            <w:pPr>
              <w:jc w:val="center"/>
            </w:pPr>
            <w:r>
              <w:rPr>
                <w:rFonts w:ascii="Times New Roman" w:hAnsi="Times New Roman"/>
                <w:sz w:val="20"/>
              </w:rPr>
              <w:t>87.9 ms</w:t>
            </w:r>
          </w:p>
        </w:tc>
        <w:tc>
          <w:tcPr>
            <w:tcW w:type="dxa" w:w="2551"/>
          </w:tcPr>
          <w:p>
            <w:pPr>
              <w:jc w:val="center"/>
            </w:pPr>
            <w:r>
              <w:rPr>
                <w:rFonts w:ascii="Times New Roman" w:hAnsi="Times New Roman"/>
                <w:sz w:val="20"/>
              </w:rPr>
              <w:t>baseline</w:t>
            </w:r>
          </w:p>
        </w:tc>
      </w:tr>
      <w:tr>
        <w:tc>
          <w:tcPr>
            <w:tcW w:type="dxa" w:w="3118"/>
          </w:tcPr>
          <w:p>
            <w:pPr>
              <w:jc w:val="center"/>
            </w:pPr>
            <w:r>
              <w:rPr>
                <w:rFonts w:ascii="Times New Roman" w:hAnsi="Times New Roman"/>
                <w:sz w:val="20"/>
              </w:rPr>
              <w:t>TopK+Temporal [NEW]</w:t>
            </w:r>
          </w:p>
        </w:tc>
        <w:tc>
          <w:tcPr>
            <w:tcW w:type="dxa" w:w="1701"/>
          </w:tcPr>
          <w:p>
            <w:pPr>
              <w:jc w:val="center"/>
            </w:pPr>
            <w:r>
              <w:rPr>
                <w:rFonts w:ascii="Times New Roman" w:hAnsi="Times New Roman"/>
                <w:sz w:val="20"/>
              </w:rPr>
              <w:t>14.3 ms</w:t>
            </w:r>
          </w:p>
        </w:tc>
        <w:tc>
          <w:tcPr>
            <w:tcW w:type="dxa" w:w="1701"/>
          </w:tcPr>
          <w:p>
            <w:pPr>
              <w:jc w:val="center"/>
            </w:pPr>
            <w:r>
              <w:rPr>
                <w:rFonts w:ascii="Times New Roman" w:hAnsi="Times New Roman"/>
                <w:sz w:val="20"/>
              </w:rPr>
              <w:t>35.1 ms</w:t>
            </w:r>
          </w:p>
        </w:tc>
        <w:tc>
          <w:tcPr>
            <w:tcW w:type="dxa" w:w="2551"/>
          </w:tcPr>
          <w:p>
            <w:pPr>
              <w:jc w:val="center"/>
            </w:pPr>
            <w:r>
              <w:rPr>
                <w:rFonts w:ascii="Times New Roman" w:hAnsi="Times New Roman"/>
                <w:sz w:val="20"/>
              </w:rPr>
              <w:t>× 2.43</w:t>
            </w:r>
          </w:p>
        </w:tc>
      </w:tr>
    </w:tbl>
    <w:p/>
    <w:p>
      <w:pPr>
        <w:spacing w:before="80"/>
        <w:jc w:val="center"/>
      </w:pPr>
      <w:r>
        <w:drawing>
          <wp:inline xmlns:a="http://schemas.openxmlformats.org/drawingml/2006/main" xmlns:pic="http://schemas.openxmlformats.org/drawingml/2006/picture">
            <wp:extent cx="5040000" cy="1792958"/>
            <wp:docPr id="14" name="Picture 14"/>
            <wp:cNvGraphicFramePr>
              <a:graphicFrameLocks noChangeAspect="1"/>
            </wp:cNvGraphicFramePr>
            <a:graphic>
              <a:graphicData uri="http://schemas.openxmlformats.org/drawingml/2006/picture">
                <pic:pic>
                  <pic:nvPicPr>
                    <pic:cNvPr id="0" name="figure6_sustainability.png"/>
                    <pic:cNvPicPr/>
                  </pic:nvPicPr>
                  <pic:blipFill>
                    <a:blip r:embed="rId22"/>
                    <a:stretch>
                      <a:fillRect/>
                    </a:stretch>
                  </pic:blipFill>
                  <pic:spPr>
                    <a:xfrm>
                      <a:off x="0" y="0"/>
                      <a:ext cx="5040000" cy="1792958"/>
                    </a:xfrm>
                    <a:prstGeom prst="rect"/>
                  </pic:spPr>
                </pic:pic>
              </a:graphicData>
            </a:graphic>
          </wp:inline>
        </w:drawing>
      </w:r>
    </w:p>
    <w:p>
      <w:pPr>
        <w:spacing w:before="40" w:after="200"/>
        <w:jc w:val="center"/>
      </w:pPr>
      <w:r>
        <w:rPr>
          <w:rFonts w:ascii="Times New Roman" w:hAnsi="Times New Roman"/>
          <w:i/>
          <w:sz w:val="20"/>
        </w:rPr>
        <w:t>Figure 6. Latency distribution (left) and throughput vs user history depth (right).</w:t>
      </w:r>
    </w:p>
    <w:p>
      <w:pPr>
        <w:pStyle w:val="Heading1"/>
        <w:jc w:val="left"/>
      </w:pPr>
      <w:r>
        <w:rPr>
          <w:rFonts w:ascii="Times New Roman" w:hAnsi="Times New Roman"/>
          <w:color w:val="1A4F8A"/>
        </w:rPr>
        <w:t>6. Conclusion</w:t>
      </w:r>
    </w:p>
    <w:p>
      <w:pPr>
        <w:spacing w:after="120"/>
        <w:jc w:val="both"/>
      </w:pPr>
      <w:r>
        <w:rPr>
          <w:rFonts w:ascii="Times New Roman" w:hAnsi="Times New Roman"/>
          <w:b w:val="0"/>
          <w:i w:val="0"/>
          <w:sz w:val="24"/>
        </w:rPr>
        <w:t>This project demonstrates that NBCF can be extended incrementally while remaining interpretable and training-free. The midterm version established a working hybrid NBCF with temporal decay and confidence scoring. The final version corrects the confidence degeneracy, introduces Top-K neighborhood selection, adds RMSE, and reveals cold-start behavior through stratified evaluation.</w:t>
      </w:r>
    </w:p>
    <w:p>
      <w:pPr>
        <w:spacing w:after="120"/>
        <w:jc w:val="both"/>
      </w:pPr>
      <w:r>
        <w:rPr>
          <w:rFonts w:ascii="Times New Roman" w:hAnsi="Times New Roman"/>
          <w:b w:val="0"/>
          <w:i w:val="0"/>
          <w:sz w:val="24"/>
        </w:rPr>
        <w:t>The most practically significant result is that Top-K selection reduces prediction latency by 59% while maintaining near-identical overall accuracy and improving accuracy by 6.2% for medium-activity users. Confidence filtering shows that high-confidence predictions have 11.5% lower MAE, confirming that uncertainty estimates are informative.</w:t>
      </w:r>
    </w:p>
    <w:p>
      <w:pPr>
        <w:spacing w:after="120"/>
        <w:jc w:val="both"/>
      </w:pPr>
      <w:r>
        <w:rPr>
          <w:rFonts w:ascii="Times New Roman" w:hAnsi="Times New Roman"/>
          <w:b w:val="0"/>
          <w:i w:val="0"/>
          <w:sz w:val="24"/>
        </w:rPr>
        <w:t>Future directions include adaptive K per user-activity level, mean-centering to correct for user rating bias, and cross-validation for more stable metric estimates.</w:t>
      </w:r>
    </w:p>
    <w:p>
      <w:pPr>
        <w:pStyle w:val="Heading1"/>
        <w:jc w:val="left"/>
      </w:pPr>
      <w:r>
        <w:rPr>
          <w:rFonts w:ascii="Times New Roman" w:hAnsi="Times New Roman"/>
          <w:color w:val="1A4F8A"/>
        </w:rPr>
        <w:t>References</w:t>
      </w:r>
    </w:p>
    <w:p>
      <w:pPr>
        <w:pStyle w:val="ListNumber"/>
        <w:spacing w:after="80"/>
      </w:pPr>
      <w:r>
        <w:rPr>
          <w:rFonts w:ascii="Times New Roman" w:hAnsi="Times New Roman"/>
          <w:sz w:val="22"/>
        </w:rPr>
        <w:t>Breese, J. S., Heckerman, D., &amp; Kadie, C. (1998). Empirical analysis of predictive algorithms for collaborative filtering. Proc. 14th UAI (pp. 43–52). AUAI.</w:t>
      </w:r>
    </w:p>
    <w:p>
      <w:pPr>
        <w:pStyle w:val="ListNumber"/>
        <w:spacing w:after="80"/>
      </w:pPr>
      <w:r>
        <w:rPr>
          <w:rFonts w:ascii="Times New Roman" w:hAnsi="Times New Roman"/>
          <w:sz w:val="22"/>
        </w:rPr>
        <w:t>Herlocker, J. L., Konstan, J. A., Terveen, L. G., &amp; Riedl, J. T. (2004). Evaluating collaborative filtering recommender systems. ACM TOIS, 22(1), 5–53.</w:t>
      </w:r>
    </w:p>
    <w:p>
      <w:pPr>
        <w:pStyle w:val="ListNumber"/>
        <w:spacing w:after="80"/>
      </w:pPr>
      <w:r>
        <w:rPr>
          <w:rFonts w:ascii="Times New Roman" w:hAnsi="Times New Roman"/>
          <w:sz w:val="22"/>
        </w:rPr>
        <w:t>Hernandez-del-Olmo, F., &amp; Gaudioso, E. (2008). Evaluation of recommender systems: A new approach. Expert Systems with Applications, 35(3), 790–804.</w:t>
      </w:r>
    </w:p>
    <w:p>
      <w:pPr>
        <w:pStyle w:val="ListNumber"/>
        <w:spacing w:after="80"/>
      </w:pPr>
      <w:r>
        <w:rPr>
          <w:rFonts w:ascii="Times New Roman" w:hAnsi="Times New Roman"/>
          <w:sz w:val="22"/>
        </w:rPr>
        <w:t>Koren, Y. (2009). Collaborative filtering with temporal dynamics. Proc. 15th KDD (pp. 447–456). ACM.</w:t>
      </w:r>
    </w:p>
    <w:p>
      <w:pPr>
        <w:pStyle w:val="ListNumber"/>
        <w:spacing w:after="80"/>
      </w:pPr>
      <w:r>
        <w:rPr>
          <w:rFonts w:ascii="Times New Roman" w:hAnsi="Times New Roman"/>
          <w:sz w:val="22"/>
        </w:rPr>
        <w:t>Harper, F. M., &amp; Konstan, J. A. (2015). The MovieLens datasets: History and context. ACM TIIS, 5(4), 19.</w:t>
      </w:r>
    </w:p>
    <w:p>
      <w:pPr>
        <w:pStyle w:val="ListNumber"/>
        <w:spacing w:after="80"/>
      </w:pPr>
      <w:r>
        <w:rPr>
          <w:rFonts w:ascii="Times New Roman" w:hAnsi="Times New Roman"/>
          <w:sz w:val="22"/>
        </w:rPr>
        <w:t>Sarwar, B., Karypis, G., Konstan, J., &amp; Riedl, J. (2001). Item-based collaborative filtering recommendation algorithms. Proc. 10th WWW (pp. 285–295). ACM.</w:t>
      </w:r>
    </w:p>
    <w:p>
      <w:pPr>
        <w:pStyle w:val="ListNumber"/>
        <w:spacing w:after="80"/>
      </w:pPr>
      <w:r>
        <w:rPr>
          <w:rFonts w:ascii="Times New Roman" w:hAnsi="Times New Roman"/>
          <w:sz w:val="22"/>
        </w:rPr>
        <w:t>Si, L., &amp; Jin, R. (2003). Flexible mixture model for collaborative filtering. Proc. 20th ICML (pp. 704–711). ICML.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