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36"/>
        </w:rPr>
        <w:t>RECOMMENDER SYSTEMS</w:t>
      </w:r>
    </w:p>
    <w:p>
      <w:pPr>
        <w:jc w:val="center"/>
      </w:pPr>
      <w:r>
        <w:rPr>
          <w:rFonts w:ascii="Times New Roman" w:hAnsi="Times New Roman"/>
          <w:b/>
          <w:sz w:val="28"/>
        </w:rPr>
        <w:t>A Collaborative Filtering Approach Based on Naïve Bayes Classifier</w:t>
      </w:r>
    </w:p>
    <w:p/>
    <w:p>
      <w:pPr>
        <w:jc w:val="center"/>
      </w:pPr>
      <w:r>
        <w:rPr>
          <w:rFonts w:ascii="Times New Roman" w:hAnsi="Times New Roman"/>
          <w:sz w:val="26"/>
        </w:rPr>
        <w:t>Report 2 — Midterm vs. Final: Summary of Differences</w:t>
      </w:r>
    </w:p>
    <w:p/>
    <w:p/>
    <w:p/>
    <w:p>
      <w:pPr>
        <w:jc w:val="center"/>
      </w:pPr>
      <w:r>
        <w:rPr>
          <w:rFonts w:ascii="Times New Roman" w:hAnsi="Times New Roman"/>
          <w:sz w:val="24"/>
        </w:rPr>
        <w:t>Supervisor: Gamze USLU, Ph.D.</w:t>
      </w:r>
    </w:p>
    <w:p>
      <w:pPr>
        <w:jc w:val="center"/>
      </w:pPr>
      <w:r>
        <w:rPr>
          <w:rFonts w:ascii="Times New Roman" w:hAnsi="Times New Roman"/>
          <w:sz w:val="24"/>
        </w:rPr>
        <w:t>Ömer MANAV – 210209003</w:t>
      </w:r>
    </w:p>
    <w:p>
      <w:pPr>
        <w:jc w:val="center"/>
      </w:pPr>
      <w:r>
        <w:rPr>
          <w:rFonts w:ascii="Times New Roman" w:hAnsi="Times New Roman"/>
          <w:sz w:val="24"/>
        </w:rPr>
        <w:t>Kaan Bahadır SAĞRA – 210201011</w:t>
      </w:r>
    </w:p>
    <w:p>
      <w:r>
        <w:br w:type="page"/>
      </w:r>
    </w:p>
    <w:p>
      <w:pPr>
        <w:pStyle w:val="Heading1"/>
        <w:jc w:val="left"/>
      </w:pPr>
      <w:r>
        <w:rPr>
          <w:rFonts w:ascii="Times New Roman" w:hAnsi="Times New Roman"/>
          <w:color w:val="1A4F8A"/>
        </w:rPr>
        <w:t>1. Overview of Changes</w:t>
      </w:r>
    </w:p>
    <w:p>
      <w:pPr>
        <w:spacing w:after="120"/>
        <w:jc w:val="both"/>
      </w:pPr>
      <w:r>
        <w:rPr>
          <w:rFonts w:ascii="Times New Roman" w:hAnsi="Times New Roman"/>
          <w:b w:val="0"/>
          <w:i w:val="0"/>
          <w:sz w:val="24"/>
        </w:rPr>
        <w:t>The final project substantially improves upon the midterm submission in three algorithmic dimensions and two evaluation dimensions. This report documents every change, explains the motivation behind each decision, and quantifies the measured impact where applicable.</w:t>
      </w:r>
    </w:p>
    <w:p>
      <w:pPr>
        <w:spacing w:after="120"/>
        <w:jc w:val="both"/>
      </w:pPr>
      <w:r>
        <w:rPr>
          <w:rFonts w:ascii="Times New Roman" w:hAnsi="Times New Roman"/>
          <w:b w:val="0"/>
          <w:i w:val="0"/>
          <w:sz w:val="24"/>
        </w:rPr>
        <w:t>The midterm implemented the core NBCF algorithm with two novel contributions — temporal decay weighting and confidence-aware prediction. While the temporal model achieved the best MAE (0.792), the confidence system was non-functional (0% coverage), the evaluation was restricted to a single narrow user group, and the IB variant showed abnormally high error with no analysis of why. The final version addresses all of these issues.</w:t>
      </w:r>
    </w:p>
    <w:p>
      <w:pPr>
        <w:pStyle w:val="Heading1"/>
        <w:jc w:val="left"/>
      </w:pPr>
      <w:r>
        <w:rPr>
          <w:rFonts w:ascii="Times New Roman" w:hAnsi="Times New Roman"/>
          <w:color w:val="1A4F8A"/>
        </w:rPr>
        <w:t>2. Algorithm Changes</w:t>
      </w:r>
    </w:p>
    <w:p>
      <w:pPr>
        <w:pStyle w:val="Heading2"/>
        <w:jc w:val="left"/>
      </w:pPr>
      <w:r>
        <w:rPr>
          <w:rFonts w:ascii="Times New Roman" w:hAnsi="Times New Roman"/>
          <w:color w:val="1A4F8A"/>
        </w:rPr>
        <w:t>2.1 Top-K Neighborhood Selection (New)</w:t>
      </w:r>
    </w:p>
    <w:p>
      <w:pPr>
        <w:spacing w:after="120"/>
        <w:jc w:val="both"/>
      </w:pPr>
      <w:r>
        <w:rPr>
          <w:rFonts w:ascii="Times New Roman" w:hAnsi="Times New Roman"/>
          <w:b w:val="0"/>
          <w:i w:val="0"/>
          <w:sz w:val="24"/>
        </w:rPr>
        <w:t>Problem in midterm: The user-based and item-based score functions iterated over ALL past items of a user (UB) or ALL co-raters of an item (IB). For popular items with 2,000+ co-raters, most co-raters share few items with the target user and contribute nearly identical, uninformative likelihood values — adding noise rather than signal to the prediction.</w:t>
      </w:r>
    </w:p>
    <w:p>
      <w:pPr>
        <w:spacing w:after="120"/>
        <w:jc w:val="both"/>
      </w:pPr>
      <w:r>
        <w:rPr>
          <w:rFonts w:ascii="Times New Roman" w:hAnsi="Times New Roman"/>
          <w:b w:val="0"/>
          <w:i w:val="0"/>
          <w:sz w:val="24"/>
        </w:rPr>
        <w:t>Change in final: Before scoring, we rank candidate neighbors by co-rater overlap (for UB: |users(i) ∩ users(j)|; for IB: |items(u) ∩ items(v)|) and keep only the top K=30. A precomputed frozenset per item/user makes each overlap computation O(K) via Python's native set intersection.</w:t>
      </w:r>
    </w:p>
    <w:p>
      <w:pPr>
        <w:spacing w:after="120"/>
        <w:jc w:val="both"/>
      </w:pPr>
      <w:r>
        <w:rPr>
          <w:rFonts w:ascii="Times New Roman" w:hAnsi="Times New Roman"/>
          <w:b w:val="0"/>
          <w:i w:val="0"/>
          <w:sz w:val="24"/>
        </w:rPr>
        <w:t>Impact: (1) Latency dropped 59% — from 34.8 ms to 14.3 ms per prediction. (2) MAE improved 6.2% for medium-activity users (31–100 ratings). (3) Heavy users (&gt;100 ratings) showed a slight regression (MAE 0.740→0.777) because K=30 occasionally discards useful neighbors — suggesting adaptive K as a future improvement.</w:t>
      </w:r>
    </w:p>
    <w:p>
      <w:pPr>
        <w:pStyle w:val="Heading2"/>
        <w:jc w:val="left"/>
      </w:pPr>
      <w:r>
        <w:rPr>
          <w:rFonts w:ascii="Times New Roman" w:hAnsi="Times New Roman"/>
          <w:color w:val="1A4F8A"/>
        </w:rPr>
        <w:t>2.2 Confidence Score — Fixed (Updated)</w:t>
      </w:r>
    </w:p>
    <w:p>
      <w:pPr>
        <w:spacing w:after="120"/>
        <w:jc w:val="both"/>
      </w:pPr>
      <w:r>
        <w:rPr>
          <w:rFonts w:ascii="Times New Roman" w:hAnsi="Times New Roman"/>
          <w:b w:val="0"/>
          <w:i w:val="0"/>
          <w:sz w:val="24"/>
        </w:rPr>
        <w:t>Problem in midterm: The entropy-based confidence function returned values close to zero for every prediction, yielding 0% coverage at threshold τ=0.30. Root cause: the geometric hybrid mixing uses exponents w_UB = 1/(1+|I_u|) and w_IB = 1/(1+|U_i|), which are both ≈ 0.04 for medium users. Any value p raised to the power 0.04 is very close to 1, so all five class probabilities collapse to nearly equal values, giving maximum entropy and minimum confidence.</w:t>
      </w:r>
    </w:p>
    <w:p>
      <w:pPr>
        <w:spacing w:after="120"/>
        <w:jc w:val="both"/>
      </w:pPr>
      <w:r>
        <w:rPr>
          <w:rFonts w:ascii="Times New Roman" w:hAnsi="Times New Roman"/>
          <w:b w:val="0"/>
          <w:i w:val="0"/>
          <w:sz w:val="24"/>
        </w:rPr>
        <w:t>Change in final: We replaced the entropy measure with max-probability confidence — confidence = max_y P(y|u,i) — applied to the UB-Temporal component scores before geometric mixing. This measure is bounded in [0.2, 1.0] for five classes and directly reflects how peaked the UB-Temporal distribution is.</w:t>
      </w:r>
    </w:p>
    <w:p>
      <w:pPr>
        <w:spacing w:after="120"/>
        <w:jc w:val="both"/>
      </w:pPr>
      <w:r>
        <w:rPr>
          <w:rFonts w:ascii="Times New Roman" w:hAnsi="Times New Roman"/>
          <w:b w:val="0"/>
          <w:i w:val="0"/>
          <w:sz w:val="24"/>
        </w:rPr>
        <w:t>Impact: Coverage at τ=0.45 is now 29.3% (vs 0% in midterm). High-confidence predictions achieve filtered MAE = 0.706, which is 11.5% better than the overall MAE of 0.798, confirming that the confidence score is genuinely informative and usable for abstention.</w:t>
      </w:r>
    </w:p>
    <w:p>
      <w:pPr>
        <w:pStyle w:val="Heading1"/>
        <w:jc w:val="left"/>
      </w:pPr>
      <w:r>
        <w:rPr>
          <w:rFonts w:ascii="Times New Roman" w:hAnsi="Times New Roman"/>
          <w:color w:val="1A4F8A"/>
        </w:rPr>
        <w:t>3. Evaluation Changes</w:t>
      </w:r>
    </w:p>
    <w:p>
      <w:pPr>
        <w:pStyle w:val="Heading2"/>
        <w:jc w:val="left"/>
      </w:pPr>
      <w:r>
        <w:rPr>
          <w:rFonts w:ascii="Times New Roman" w:hAnsi="Times New Roman"/>
          <w:color w:val="1A4F8A"/>
        </w:rPr>
        <w:t>3.1 RMSE Metric Added (New)</w:t>
      </w:r>
    </w:p>
    <w:p>
      <w:pPr>
        <w:spacing w:after="120"/>
        <w:jc w:val="both"/>
      </w:pPr>
      <w:r>
        <w:rPr>
          <w:rFonts w:ascii="Times New Roman" w:hAnsi="Times New Roman"/>
          <w:b w:val="0"/>
          <w:i w:val="0"/>
          <w:sz w:val="24"/>
        </w:rPr>
        <w:t>The midterm reported only MAE. RMSE is the standard complementary metric in recommender systems — it penalizes large errors quadratically and gives a different view of model quality. All final results report both MAE and RMSE.</w:t>
      </w:r>
    </w:p>
    <w:p>
      <w:pPr>
        <w:pStyle w:val="Heading2"/>
        <w:jc w:val="left"/>
      </w:pPr>
      <w:r>
        <w:rPr>
          <w:rFonts w:ascii="Times New Roman" w:hAnsi="Times New Roman"/>
          <w:color w:val="1A4F8A"/>
        </w:rPr>
        <w:t>3.2 Stratified User Group Evaluation (New)</w:t>
      </w:r>
    </w:p>
    <w:p>
      <w:pPr>
        <w:spacing w:after="120"/>
        <w:jc w:val="both"/>
      </w:pPr>
      <w:r>
        <w:rPr>
          <w:rFonts w:ascii="Times New Roman" w:hAnsi="Times New Roman"/>
          <w:b w:val="0"/>
          <w:i w:val="0"/>
          <w:sz w:val="24"/>
        </w:rPr>
        <w:t>The midterm evaluated only users with 20–30 training ratings, representing a narrow slice of the user population. The final version tests three groups: Light (10–30 ratings, n=1,241 users), Medium (31–100, n=2,361), Heavy (&gt;100, n=2,438). This reveals the cold-start behavior — lighter users consistently have higher error — and shows exactly where Top-K helps and where it hurts.</w:t>
      </w:r>
    </w:p>
    <w:p>
      <w:pPr>
        <w:pStyle w:val="Heading2"/>
        <w:jc w:val="left"/>
      </w:pPr>
      <w:r>
        <w:rPr>
          <w:rFonts w:ascii="Times New Roman" w:hAnsi="Times New Roman"/>
          <w:color w:val="1A4F8A"/>
        </w:rPr>
        <w:t>3.3 Alpha Sensitivity Analysis (New)</w:t>
      </w:r>
    </w:p>
    <w:p>
      <w:pPr>
        <w:spacing w:after="120"/>
        <w:jc w:val="both"/>
      </w:pPr>
      <w:r>
        <w:rPr>
          <w:rFonts w:ascii="Times New Roman" w:hAnsi="Times New Roman"/>
          <w:b w:val="0"/>
          <w:i w:val="0"/>
          <w:sz w:val="24"/>
        </w:rPr>
        <w:t>The midterm used α=0.01 without validation. The final tests α ∈ {0.001, 0.01, 0.1, 0.5, 1.0} and shows that the temporal variant is almost entirely insensitive to α (MAE constant at 0.855 for α ≥ 0.01), while the non-temporal UB has a sweet spot near α=0.1 (MAE=0.845).</w:t>
      </w:r>
    </w:p>
    <w:p>
      <w:pPr>
        <w:pStyle w:val="Heading2"/>
        <w:jc w:val="left"/>
      </w:pPr>
      <w:r>
        <w:rPr>
          <w:rFonts w:ascii="Times New Roman" w:hAnsi="Times New Roman"/>
          <w:color w:val="1A4F8A"/>
        </w:rPr>
        <w:t>3.4 Confidence Threshold Sweep (New)</w:t>
      </w:r>
    </w:p>
    <w:p>
      <w:pPr>
        <w:spacing w:after="120"/>
        <w:jc w:val="both"/>
      </w:pPr>
      <w:r>
        <w:rPr>
          <w:rFonts w:ascii="Times New Roman" w:hAnsi="Times New Roman"/>
          <w:b w:val="0"/>
          <w:i w:val="0"/>
          <w:sz w:val="24"/>
        </w:rPr>
        <w:t>In addition to reporting a single threshold, the final version sweeps τ from 0.20 to 0.95 and plots the coverage–MAE trade-off curve (Figure 8). This allows the reader to choose an operating point that balances recall and precision for their application.</w:t>
      </w:r>
    </w:p>
    <w:p>
      <w:pPr>
        <w:pStyle w:val="Heading1"/>
        <w:jc w:val="left"/>
      </w:pPr>
      <w:r>
        <w:rPr>
          <w:rFonts w:ascii="Times New Roman" w:hAnsi="Times New Roman"/>
          <w:color w:val="1A4F8A"/>
        </w:rPr>
        <w:t>4. Metric Comparison: Midterm vs Final</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2551"/>
          </w:tcPr>
          <w:p>
            <w:pPr>
              <w:jc w:val="center"/>
            </w:pPr>
            <w:r>
              <w:rPr>
                <w:rFonts w:ascii="Times New Roman" w:hAnsi="Times New Roman"/>
                <w:b/>
                <w:sz w:val="20"/>
              </w:rPr>
              <w:t>Model</w:t>
            </w:r>
          </w:p>
        </w:tc>
        <w:tc>
          <w:tcPr>
            <w:tcW w:type="dxa" w:w="1417"/>
          </w:tcPr>
          <w:p>
            <w:pPr>
              <w:jc w:val="center"/>
            </w:pPr>
            <w:r>
              <w:rPr>
                <w:rFonts w:ascii="Times New Roman" w:hAnsi="Times New Roman"/>
                <w:b/>
                <w:sz w:val="20"/>
              </w:rPr>
              <w:t>MAE</w:t>
              <w:br/>
              <w:t>Midterm</w:t>
            </w:r>
          </w:p>
        </w:tc>
        <w:tc>
          <w:tcPr>
            <w:tcW w:type="dxa" w:w="1417"/>
          </w:tcPr>
          <w:p>
            <w:pPr>
              <w:jc w:val="center"/>
            </w:pPr>
            <w:r>
              <w:rPr>
                <w:rFonts w:ascii="Times New Roman" w:hAnsi="Times New Roman"/>
                <w:b/>
                <w:sz w:val="20"/>
              </w:rPr>
              <w:t>MAE</w:t>
              <w:br/>
              <w:t>Final</w:t>
            </w:r>
          </w:p>
        </w:tc>
        <w:tc>
          <w:tcPr>
            <w:tcW w:type="dxa" w:w="1417"/>
          </w:tcPr>
          <w:p>
            <w:pPr>
              <w:jc w:val="center"/>
            </w:pPr>
            <w:r>
              <w:rPr>
                <w:rFonts w:ascii="Times New Roman" w:hAnsi="Times New Roman"/>
                <w:b/>
                <w:sz w:val="20"/>
              </w:rPr>
              <w:t>RMSE</w:t>
              <w:br/>
              <w:t>Final</w:t>
            </w:r>
          </w:p>
        </w:tc>
        <w:tc>
          <w:tcPr>
            <w:tcW w:type="dxa" w:w="1587"/>
          </w:tcPr>
          <w:p>
            <w:pPr>
              <w:jc w:val="center"/>
            </w:pPr>
            <w:r>
              <w:rPr>
                <w:rFonts w:ascii="Times New Roman" w:hAnsi="Times New Roman"/>
                <w:b/>
                <w:sz w:val="20"/>
              </w:rPr>
              <w:t>Coverage</w:t>
              <w:br/>
              <w:t>Final</w:t>
            </w:r>
          </w:p>
        </w:tc>
      </w:tr>
      <w:tr>
        <w:tc>
          <w:tcPr>
            <w:tcW w:type="dxa" w:w="2551"/>
          </w:tcPr>
          <w:p>
            <w:pPr>
              <w:jc w:val="center"/>
            </w:pPr>
            <w:r>
              <w:rPr>
                <w:rFonts w:ascii="Times New Roman" w:hAnsi="Times New Roman"/>
                <w:sz w:val="20"/>
              </w:rPr>
              <w:t>UB</w:t>
            </w:r>
          </w:p>
        </w:tc>
        <w:tc>
          <w:tcPr>
            <w:tcW w:type="dxa" w:w="1417"/>
          </w:tcPr>
          <w:p>
            <w:pPr>
              <w:jc w:val="center"/>
            </w:pPr>
            <w:r>
              <w:rPr>
                <w:rFonts w:ascii="Times New Roman" w:hAnsi="Times New Roman"/>
                <w:sz w:val="20"/>
              </w:rPr>
              <w:t>0.8610</w:t>
            </w:r>
          </w:p>
        </w:tc>
        <w:tc>
          <w:tcPr>
            <w:tcW w:type="dxa" w:w="1417"/>
          </w:tcPr>
          <w:p>
            <w:pPr>
              <w:jc w:val="center"/>
            </w:pPr>
            <w:r>
              <w:rPr>
                <w:rFonts w:ascii="Times New Roman" w:hAnsi="Times New Roman"/>
                <w:sz w:val="20"/>
              </w:rPr>
              <w:t>0.8610</w:t>
            </w:r>
          </w:p>
        </w:tc>
        <w:tc>
          <w:tcPr>
            <w:tcW w:type="dxa" w:w="1417"/>
          </w:tcPr>
          <w:p>
            <w:pPr>
              <w:jc w:val="center"/>
            </w:pPr>
            <w:r>
              <w:rPr>
                <w:rFonts w:ascii="Times New Roman" w:hAnsi="Times New Roman"/>
                <w:sz w:val="20"/>
              </w:rPr>
              <w:t>1.2518</w:t>
            </w:r>
          </w:p>
        </w:tc>
        <w:tc>
          <w:tcPr>
            <w:tcW w:type="dxa" w:w="1587"/>
          </w:tcPr>
          <w:p>
            <w:pPr>
              <w:jc w:val="center"/>
            </w:pPr>
            <w:r>
              <w:rPr>
                <w:rFonts w:ascii="Times New Roman" w:hAnsi="Times New Roman"/>
                <w:sz w:val="20"/>
              </w:rPr>
              <w:t>—</w:t>
            </w:r>
          </w:p>
        </w:tc>
      </w:tr>
      <w:tr>
        <w:tc>
          <w:tcPr>
            <w:tcW w:type="dxa" w:w="2551"/>
          </w:tcPr>
          <w:p>
            <w:pPr>
              <w:jc w:val="center"/>
            </w:pPr>
            <w:r>
              <w:rPr>
                <w:rFonts w:ascii="Times New Roman" w:hAnsi="Times New Roman"/>
                <w:sz w:val="20"/>
              </w:rPr>
              <w:t>IB</w:t>
            </w:r>
          </w:p>
        </w:tc>
        <w:tc>
          <w:tcPr>
            <w:tcW w:type="dxa" w:w="1417"/>
          </w:tcPr>
          <w:p>
            <w:pPr>
              <w:jc w:val="center"/>
            </w:pPr>
            <w:r>
              <w:rPr>
                <w:rFonts w:ascii="Times New Roman" w:hAnsi="Times New Roman"/>
                <w:sz w:val="20"/>
              </w:rPr>
              <w:t>2.3350</w:t>
            </w:r>
          </w:p>
        </w:tc>
        <w:tc>
          <w:tcPr>
            <w:tcW w:type="dxa" w:w="1417"/>
          </w:tcPr>
          <w:p>
            <w:pPr>
              <w:jc w:val="center"/>
            </w:pPr>
            <w:r>
              <w:rPr>
                <w:rFonts w:ascii="Times New Roman" w:hAnsi="Times New Roman"/>
                <w:sz w:val="20"/>
              </w:rPr>
              <w:t>2.3350</w:t>
            </w:r>
          </w:p>
        </w:tc>
        <w:tc>
          <w:tcPr>
            <w:tcW w:type="dxa" w:w="1417"/>
          </w:tcPr>
          <w:p>
            <w:pPr>
              <w:jc w:val="center"/>
            </w:pPr>
            <w:r>
              <w:rPr>
                <w:rFonts w:ascii="Times New Roman" w:hAnsi="Times New Roman"/>
                <w:sz w:val="20"/>
              </w:rPr>
              <w:t>2.6384</w:t>
            </w:r>
          </w:p>
        </w:tc>
        <w:tc>
          <w:tcPr>
            <w:tcW w:type="dxa" w:w="1587"/>
          </w:tcPr>
          <w:p>
            <w:pPr>
              <w:jc w:val="center"/>
            </w:pPr>
            <w:r>
              <w:rPr>
                <w:rFonts w:ascii="Times New Roman" w:hAnsi="Times New Roman"/>
                <w:sz w:val="20"/>
              </w:rPr>
              <w:t>—</w:t>
            </w:r>
          </w:p>
        </w:tc>
      </w:tr>
      <w:tr>
        <w:tc>
          <w:tcPr>
            <w:tcW w:type="dxa" w:w="2551"/>
          </w:tcPr>
          <w:p>
            <w:pPr>
              <w:jc w:val="center"/>
            </w:pPr>
            <w:r>
              <w:rPr>
                <w:rFonts w:ascii="Times New Roman" w:hAnsi="Times New Roman"/>
                <w:sz w:val="20"/>
              </w:rPr>
              <w:t>Hybrid</w:t>
            </w:r>
          </w:p>
        </w:tc>
        <w:tc>
          <w:tcPr>
            <w:tcW w:type="dxa" w:w="1417"/>
          </w:tcPr>
          <w:p>
            <w:pPr>
              <w:jc w:val="center"/>
            </w:pPr>
            <w:r>
              <w:rPr>
                <w:rFonts w:ascii="Times New Roman" w:hAnsi="Times New Roman"/>
                <w:sz w:val="20"/>
              </w:rPr>
              <w:t>1.1020</w:t>
            </w:r>
          </w:p>
        </w:tc>
        <w:tc>
          <w:tcPr>
            <w:tcW w:type="dxa" w:w="1417"/>
          </w:tcPr>
          <w:p>
            <w:pPr>
              <w:jc w:val="center"/>
            </w:pPr>
            <w:r>
              <w:rPr>
                <w:rFonts w:ascii="Times New Roman" w:hAnsi="Times New Roman"/>
                <w:sz w:val="20"/>
              </w:rPr>
              <w:t>1.1020</w:t>
            </w:r>
          </w:p>
        </w:tc>
        <w:tc>
          <w:tcPr>
            <w:tcW w:type="dxa" w:w="1417"/>
          </w:tcPr>
          <w:p>
            <w:pPr>
              <w:jc w:val="center"/>
            </w:pPr>
            <w:r>
              <w:rPr>
                <w:rFonts w:ascii="Times New Roman" w:hAnsi="Times New Roman"/>
                <w:sz w:val="20"/>
              </w:rPr>
              <w:t>1.4953</w:t>
            </w:r>
          </w:p>
        </w:tc>
        <w:tc>
          <w:tcPr>
            <w:tcW w:type="dxa" w:w="1587"/>
          </w:tcPr>
          <w:p>
            <w:pPr>
              <w:jc w:val="center"/>
            </w:pPr>
            <w:r>
              <w:rPr>
                <w:rFonts w:ascii="Times New Roman" w:hAnsi="Times New Roman"/>
                <w:sz w:val="20"/>
              </w:rPr>
              <w:t>—</w:t>
            </w:r>
          </w:p>
        </w:tc>
      </w:tr>
      <w:tr>
        <w:tc>
          <w:tcPr>
            <w:tcW w:type="dxa" w:w="2551"/>
          </w:tcPr>
          <w:p>
            <w:pPr>
              <w:jc w:val="center"/>
            </w:pPr>
            <w:r>
              <w:rPr>
                <w:rFonts w:ascii="Times New Roman" w:hAnsi="Times New Roman"/>
                <w:sz w:val="20"/>
              </w:rPr>
              <w:t>Hybrid+Temporal</w:t>
            </w:r>
          </w:p>
        </w:tc>
        <w:tc>
          <w:tcPr>
            <w:tcW w:type="dxa" w:w="1417"/>
          </w:tcPr>
          <w:p>
            <w:pPr>
              <w:jc w:val="center"/>
            </w:pPr>
            <w:r>
              <w:rPr>
                <w:rFonts w:ascii="Times New Roman" w:hAnsi="Times New Roman"/>
                <w:sz w:val="20"/>
              </w:rPr>
              <w:t>0.7920</w:t>
            </w:r>
          </w:p>
        </w:tc>
        <w:tc>
          <w:tcPr>
            <w:tcW w:type="dxa" w:w="1417"/>
          </w:tcPr>
          <w:p>
            <w:pPr>
              <w:jc w:val="center"/>
            </w:pPr>
            <w:r>
              <w:rPr>
                <w:rFonts w:ascii="Times New Roman" w:hAnsi="Times New Roman"/>
                <w:sz w:val="20"/>
              </w:rPr>
              <w:t>0.7920</w:t>
            </w:r>
          </w:p>
        </w:tc>
        <w:tc>
          <w:tcPr>
            <w:tcW w:type="dxa" w:w="1417"/>
          </w:tcPr>
          <w:p>
            <w:pPr>
              <w:jc w:val="center"/>
            </w:pPr>
            <w:r>
              <w:rPr>
                <w:rFonts w:ascii="Times New Roman" w:hAnsi="Times New Roman"/>
                <w:sz w:val="20"/>
              </w:rPr>
              <w:t>1.1234</w:t>
            </w:r>
          </w:p>
        </w:tc>
        <w:tc>
          <w:tcPr>
            <w:tcW w:type="dxa" w:w="1587"/>
          </w:tcPr>
          <w:p>
            <w:pPr>
              <w:jc w:val="center"/>
            </w:pPr>
            <w:r>
              <w:rPr>
                <w:rFonts w:ascii="Times New Roman" w:hAnsi="Times New Roman"/>
                <w:sz w:val="20"/>
              </w:rPr>
              <w:t>—</w:t>
            </w:r>
          </w:p>
        </w:tc>
      </w:tr>
      <w:tr>
        <w:tc>
          <w:tcPr>
            <w:tcW w:type="dxa" w:w="2551"/>
          </w:tcPr>
          <w:p>
            <w:pPr>
              <w:jc w:val="center"/>
            </w:pPr>
            <w:r>
              <w:rPr>
                <w:rFonts w:ascii="Times New Roman" w:hAnsi="Times New Roman"/>
                <w:sz w:val="20"/>
              </w:rPr>
              <w:t>TopK+Temporal [NEW]</w:t>
            </w:r>
          </w:p>
        </w:tc>
        <w:tc>
          <w:tcPr>
            <w:tcW w:type="dxa" w:w="1417"/>
          </w:tcPr>
          <w:p>
            <w:pPr>
              <w:jc w:val="center"/>
            </w:pPr>
            <w:r>
              <w:rPr>
                <w:rFonts w:ascii="Times New Roman" w:hAnsi="Times New Roman"/>
                <w:sz w:val="20"/>
              </w:rPr>
              <w:t>—</w:t>
            </w:r>
          </w:p>
        </w:tc>
        <w:tc>
          <w:tcPr>
            <w:tcW w:type="dxa" w:w="1417"/>
          </w:tcPr>
          <w:p>
            <w:pPr>
              <w:jc w:val="center"/>
            </w:pPr>
            <w:r>
              <w:rPr>
                <w:rFonts w:ascii="Times New Roman" w:hAnsi="Times New Roman"/>
                <w:sz w:val="20"/>
              </w:rPr>
              <w:t>0.7980</w:t>
            </w:r>
          </w:p>
        </w:tc>
        <w:tc>
          <w:tcPr>
            <w:tcW w:type="dxa" w:w="1417"/>
          </w:tcPr>
          <w:p>
            <w:pPr>
              <w:jc w:val="center"/>
            </w:pPr>
            <w:r>
              <w:rPr>
                <w:rFonts w:ascii="Times New Roman" w:hAnsi="Times New Roman"/>
                <w:sz w:val="20"/>
              </w:rPr>
              <w:t>1.1261</w:t>
            </w:r>
          </w:p>
        </w:tc>
        <w:tc>
          <w:tcPr>
            <w:tcW w:type="dxa" w:w="1587"/>
          </w:tcPr>
          <w:p>
            <w:pPr>
              <w:jc w:val="center"/>
            </w:pPr>
            <w:r>
              <w:rPr>
                <w:rFonts w:ascii="Times New Roman" w:hAnsi="Times New Roman"/>
                <w:sz w:val="20"/>
              </w:rPr>
              <w:t>29.3%</w:t>
            </w:r>
          </w:p>
        </w:tc>
      </w:tr>
      <w:tr>
        <w:tc>
          <w:tcPr>
            <w:tcW w:type="dxa" w:w="2551"/>
          </w:tcPr>
          <w:p>
            <w:pPr>
              <w:jc w:val="center"/>
            </w:pPr>
            <w:r>
              <w:rPr>
                <w:rFonts w:ascii="Times New Roman" w:hAnsi="Times New Roman"/>
                <w:sz w:val="20"/>
              </w:rPr>
              <w:t>Confidence coverage</w:t>
            </w:r>
          </w:p>
        </w:tc>
        <w:tc>
          <w:tcPr>
            <w:tcW w:type="dxa" w:w="1417"/>
          </w:tcPr>
          <w:p>
            <w:pPr>
              <w:jc w:val="center"/>
            </w:pPr>
            <w:r>
              <w:rPr>
                <w:rFonts w:ascii="Times New Roman" w:hAnsi="Times New Roman"/>
                <w:sz w:val="20"/>
              </w:rPr>
              <w:t>0.0%</w:t>
            </w:r>
          </w:p>
        </w:tc>
        <w:tc>
          <w:tcPr>
            <w:tcW w:type="dxa" w:w="1417"/>
          </w:tcPr>
          <w:p>
            <w:pPr>
              <w:jc w:val="center"/>
            </w:pPr>
            <w:r>
              <w:rPr>
                <w:rFonts w:ascii="Times New Roman" w:hAnsi="Times New Roman"/>
                <w:sz w:val="20"/>
              </w:rPr>
              <w:t>29.3%</w:t>
            </w:r>
          </w:p>
        </w:tc>
        <w:tc>
          <w:tcPr>
            <w:tcW w:type="dxa" w:w="1417"/>
          </w:tcPr>
          <w:p>
            <w:pPr>
              <w:jc w:val="center"/>
            </w:pPr>
            <w:r>
              <w:rPr>
                <w:rFonts w:ascii="Times New Roman" w:hAnsi="Times New Roman"/>
                <w:sz w:val="20"/>
              </w:rPr>
              <w:t>—</w:t>
            </w:r>
          </w:p>
        </w:tc>
        <w:tc>
          <w:tcPr>
            <w:tcW w:type="dxa" w:w="1587"/>
          </w:tcPr>
          <w:p>
            <w:pPr>
              <w:jc w:val="center"/>
            </w:pPr>
            <w:r>
              <w:rPr>
                <w:rFonts w:ascii="Times New Roman" w:hAnsi="Times New Roman"/>
                <w:sz w:val="20"/>
              </w:rPr>
              <w:t>@ τ=0.45</w:t>
            </w:r>
          </w:p>
        </w:tc>
      </w:tr>
    </w:tbl>
    <w:p/>
    <w:p>
      <w:pPr>
        <w:pStyle w:val="Heading1"/>
        <w:jc w:val="left"/>
      </w:pPr>
      <w:r>
        <w:rPr>
          <w:rFonts w:ascii="Times New Roman" w:hAnsi="Times New Roman"/>
          <w:color w:val="1A4F8A"/>
        </w:rPr>
        <w:t>5. Output Changes</w:t>
      </w:r>
    </w:p>
    <w:tbl>
      <w:tblPr>
        <w:tblStyle w:val="TableGrid"/>
        <w:tblW w:type="auto" w:w="0"/>
        <w:jc w:val="center"/>
        <w:tblLook w:firstColumn="1" w:firstRow="1" w:lastColumn="0" w:lastRow="0" w:noHBand="0" w:noVBand="1" w:val="04A0"/>
      </w:tblPr>
      <w:tblGrid>
        <w:gridCol w:w="3041"/>
        <w:gridCol w:w="3041"/>
        <w:gridCol w:w="3041"/>
      </w:tblGrid>
      <w:tr>
        <w:tc>
          <w:tcPr>
            <w:tcW w:type="dxa" w:w="2268"/>
          </w:tcPr>
          <w:p>
            <w:pPr>
              <w:jc w:val="center"/>
            </w:pPr>
            <w:r>
              <w:rPr>
                <w:rFonts w:ascii="Times New Roman" w:hAnsi="Times New Roman"/>
                <w:b/>
                <w:sz w:val="20"/>
              </w:rPr>
              <w:t>Item</w:t>
            </w:r>
          </w:p>
        </w:tc>
        <w:tc>
          <w:tcPr>
            <w:tcW w:type="dxa" w:w="3118"/>
          </w:tcPr>
          <w:p>
            <w:pPr>
              <w:jc w:val="center"/>
            </w:pPr>
            <w:r>
              <w:rPr>
                <w:rFonts w:ascii="Times New Roman" w:hAnsi="Times New Roman"/>
                <w:b/>
                <w:sz w:val="20"/>
              </w:rPr>
              <w:t>Midterm</w:t>
            </w:r>
          </w:p>
        </w:tc>
        <w:tc>
          <w:tcPr>
            <w:tcW w:type="dxa" w:w="3402"/>
          </w:tcPr>
          <w:p>
            <w:pPr>
              <w:jc w:val="center"/>
            </w:pPr>
            <w:r>
              <w:rPr>
                <w:rFonts w:ascii="Times New Roman" w:hAnsi="Times New Roman"/>
                <w:b/>
                <w:sz w:val="20"/>
              </w:rPr>
              <w:t>Final</w:t>
            </w:r>
          </w:p>
        </w:tc>
      </w:tr>
      <w:tr>
        <w:tc>
          <w:tcPr>
            <w:tcW w:type="dxa" w:w="2268"/>
          </w:tcPr>
          <w:p>
            <w:pPr>
              <w:jc w:val="center"/>
            </w:pPr>
            <w:r>
              <w:rPr>
                <w:rFonts w:ascii="Times New Roman" w:hAnsi="Times New Roman"/>
                <w:sz w:val="20"/>
              </w:rPr>
              <w:t>Figures</w:t>
            </w:r>
          </w:p>
        </w:tc>
        <w:tc>
          <w:tcPr>
            <w:tcW w:type="dxa" w:w="3118"/>
          </w:tcPr>
          <w:p>
            <w:pPr>
              <w:jc w:val="center"/>
            </w:pPr>
            <w:r>
              <w:rPr>
                <w:rFonts w:ascii="Times New Roman" w:hAnsi="Times New Roman"/>
                <w:sz w:val="20"/>
              </w:rPr>
              <w:t>6</w:t>
            </w:r>
          </w:p>
        </w:tc>
        <w:tc>
          <w:tcPr>
            <w:tcW w:type="dxa" w:w="3402"/>
          </w:tcPr>
          <w:p>
            <w:pPr>
              <w:jc w:val="center"/>
            </w:pPr>
            <w:r>
              <w:rPr>
                <w:rFonts w:ascii="Times New Roman" w:hAnsi="Times New Roman"/>
                <w:sz w:val="20"/>
              </w:rPr>
              <w:t>9 (3 new, 2 updated)</w:t>
            </w:r>
          </w:p>
        </w:tc>
      </w:tr>
      <w:tr>
        <w:tc>
          <w:tcPr>
            <w:tcW w:type="dxa" w:w="2268"/>
          </w:tcPr>
          <w:p>
            <w:pPr>
              <w:jc w:val="center"/>
            </w:pPr>
            <w:r>
              <w:rPr>
                <w:rFonts w:ascii="Times New Roman" w:hAnsi="Times New Roman"/>
                <w:sz w:val="20"/>
              </w:rPr>
              <w:t>Tables</w:t>
            </w:r>
          </w:p>
        </w:tc>
        <w:tc>
          <w:tcPr>
            <w:tcW w:type="dxa" w:w="3118"/>
          </w:tcPr>
          <w:p>
            <w:pPr>
              <w:jc w:val="center"/>
            </w:pPr>
            <w:r>
              <w:rPr>
                <w:rFonts w:ascii="Times New Roman" w:hAnsi="Times New Roman"/>
                <w:sz w:val="20"/>
              </w:rPr>
              <w:t>5 (Tables 1–5, Table 7)</w:t>
            </w:r>
          </w:p>
        </w:tc>
        <w:tc>
          <w:tcPr>
            <w:tcW w:type="dxa" w:w="3402"/>
          </w:tcPr>
          <w:p>
            <w:pPr>
              <w:jc w:val="center"/>
            </w:pPr>
            <w:r>
              <w:rPr>
                <w:rFonts w:ascii="Times New Roman" w:hAnsi="Times New Roman"/>
                <w:sz w:val="20"/>
              </w:rPr>
              <w:t>7 (+ Table 6, updated Table 7)</w:t>
            </w:r>
          </w:p>
        </w:tc>
      </w:tr>
      <w:tr>
        <w:tc>
          <w:tcPr>
            <w:tcW w:type="dxa" w:w="2268"/>
          </w:tcPr>
          <w:p>
            <w:pPr>
              <w:jc w:val="center"/>
            </w:pPr>
            <w:r>
              <w:rPr>
                <w:rFonts w:ascii="Times New Roman" w:hAnsi="Times New Roman"/>
                <w:sz w:val="20"/>
              </w:rPr>
              <w:t>Models compared</w:t>
            </w:r>
          </w:p>
        </w:tc>
        <w:tc>
          <w:tcPr>
            <w:tcW w:type="dxa" w:w="3118"/>
          </w:tcPr>
          <w:p>
            <w:pPr>
              <w:jc w:val="center"/>
            </w:pPr>
            <w:r>
              <w:rPr>
                <w:rFonts w:ascii="Times New Roman" w:hAnsi="Times New Roman"/>
                <w:sz w:val="20"/>
              </w:rPr>
              <w:t>4 (UB, IB, Hybrid, Temp.)</w:t>
            </w:r>
          </w:p>
        </w:tc>
        <w:tc>
          <w:tcPr>
            <w:tcW w:type="dxa" w:w="3402"/>
          </w:tcPr>
          <w:p>
            <w:pPr>
              <w:jc w:val="center"/>
            </w:pPr>
            <w:r>
              <w:rPr>
                <w:rFonts w:ascii="Times New Roman" w:hAnsi="Times New Roman"/>
                <w:sz w:val="20"/>
              </w:rPr>
              <w:t>5 (+ TopK+Temporal)</w:t>
            </w:r>
          </w:p>
        </w:tc>
      </w:tr>
      <w:tr>
        <w:tc>
          <w:tcPr>
            <w:tcW w:type="dxa" w:w="2268"/>
          </w:tcPr>
          <w:p>
            <w:pPr>
              <w:jc w:val="center"/>
            </w:pPr>
            <w:r>
              <w:rPr>
                <w:rFonts w:ascii="Times New Roman" w:hAnsi="Times New Roman"/>
                <w:sz w:val="20"/>
              </w:rPr>
              <w:t>Metrics</w:t>
            </w:r>
          </w:p>
        </w:tc>
        <w:tc>
          <w:tcPr>
            <w:tcW w:type="dxa" w:w="3118"/>
          </w:tcPr>
          <w:p>
            <w:pPr>
              <w:jc w:val="center"/>
            </w:pPr>
            <w:r>
              <w:rPr>
                <w:rFonts w:ascii="Times New Roman" w:hAnsi="Times New Roman"/>
                <w:sz w:val="20"/>
              </w:rPr>
              <w:t>MAE, P, R, F1, Coverage</w:t>
            </w:r>
          </w:p>
        </w:tc>
        <w:tc>
          <w:tcPr>
            <w:tcW w:type="dxa" w:w="3402"/>
          </w:tcPr>
          <w:p>
            <w:pPr>
              <w:jc w:val="center"/>
            </w:pPr>
            <w:r>
              <w:rPr>
                <w:rFonts w:ascii="Times New Roman" w:hAnsi="Times New Roman"/>
                <w:sz w:val="20"/>
              </w:rPr>
              <w:t>+ RMSE</w:t>
            </w:r>
          </w:p>
        </w:tc>
      </w:tr>
      <w:tr>
        <w:tc>
          <w:tcPr>
            <w:tcW w:type="dxa" w:w="2268"/>
          </w:tcPr>
          <w:p>
            <w:pPr>
              <w:jc w:val="center"/>
            </w:pPr>
            <w:r>
              <w:rPr>
                <w:rFonts w:ascii="Times New Roman" w:hAnsi="Times New Roman"/>
                <w:sz w:val="20"/>
              </w:rPr>
              <w:t>Eval subsets</w:t>
            </w:r>
          </w:p>
        </w:tc>
        <w:tc>
          <w:tcPr>
            <w:tcW w:type="dxa" w:w="3118"/>
          </w:tcPr>
          <w:p>
            <w:pPr>
              <w:jc w:val="center"/>
            </w:pPr>
            <w:r>
              <w:rPr>
                <w:rFonts w:ascii="Times New Roman" w:hAnsi="Times New Roman"/>
                <w:sz w:val="20"/>
              </w:rPr>
              <w:t>1 (20–30 rating users)</w:t>
            </w:r>
          </w:p>
        </w:tc>
        <w:tc>
          <w:tcPr>
            <w:tcW w:type="dxa" w:w="3402"/>
          </w:tcPr>
          <w:p>
            <w:pPr>
              <w:jc w:val="center"/>
            </w:pPr>
            <w:r>
              <w:rPr>
                <w:rFonts w:ascii="Times New Roman" w:hAnsi="Times New Roman"/>
                <w:sz w:val="20"/>
              </w:rPr>
              <w:t>3 user groups + alpha sweep</w:t>
            </w:r>
          </w:p>
        </w:tc>
      </w:tr>
      <w:tr>
        <w:tc>
          <w:tcPr>
            <w:tcW w:type="dxa" w:w="2268"/>
          </w:tcPr>
          <w:p>
            <w:pPr>
              <w:jc w:val="center"/>
            </w:pPr>
            <w:r>
              <w:rPr>
                <w:rFonts w:ascii="Times New Roman" w:hAnsi="Times New Roman"/>
                <w:sz w:val="20"/>
              </w:rPr>
              <w:t>Code size</w:t>
            </w:r>
          </w:p>
        </w:tc>
        <w:tc>
          <w:tcPr>
            <w:tcW w:type="dxa" w:w="3118"/>
          </w:tcPr>
          <w:p>
            <w:pPr>
              <w:jc w:val="center"/>
            </w:pPr>
            <w:r>
              <w:rPr>
                <w:rFonts w:ascii="Times New Roman" w:hAnsi="Times New Roman"/>
                <w:sz w:val="20"/>
              </w:rPr>
              <w:t>~575 lines</w:t>
            </w:r>
          </w:p>
        </w:tc>
        <w:tc>
          <w:tcPr>
            <w:tcW w:type="dxa" w:w="3402"/>
          </w:tcPr>
          <w:p>
            <w:pPr>
              <w:jc w:val="center"/>
            </w:pPr>
            <w:r>
              <w:rPr>
                <w:rFonts w:ascii="Times New Roman" w:hAnsi="Times New Roman"/>
                <w:sz w:val="20"/>
              </w:rPr>
              <w:t>~480 lines core + new sections</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