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RECOMMENDER SYSTEMS</w:t>
      </w:r>
    </w:p>
    <w:p>
      <w:pPr>
        <w:jc w:val="center"/>
      </w:pPr>
      <w:r>
        <w:rPr>
          <w:rFonts w:ascii="Times New Roman" w:hAnsi="Times New Roman"/>
          <w:b/>
          <w:sz w:val="28"/>
        </w:rPr>
        <w:t>A Collaborative Filtering Approach Based on Naïve Bayes Classifier</w:t>
      </w:r>
    </w:p>
    <w:p/>
    <w:p>
      <w:pPr>
        <w:jc w:val="center"/>
      </w:pPr>
      <w:r>
        <w:rPr>
          <w:rFonts w:ascii="Times New Roman" w:hAnsi="Times New Roman"/>
          <w:sz w:val="26"/>
        </w:rPr>
        <w:t>Report 3 — Code Documentation</w:t>
      </w:r>
    </w:p>
    <w:p/>
    <w:p/>
    <w:p/>
    <w:p>
      <w:pPr>
        <w:jc w:val="center"/>
      </w:pPr>
      <w:r>
        <w:rPr>
          <w:rFonts w:ascii="Times New Roman" w:hAnsi="Times New Roman"/>
          <w:sz w:val="24"/>
        </w:rPr>
        <w:t>Supervisor: Gamze USLU, Ph.D.</w:t>
      </w:r>
    </w:p>
    <w:p>
      <w:pPr>
        <w:jc w:val="center"/>
      </w:pPr>
      <w:r>
        <w:rPr>
          <w:rFonts w:ascii="Times New Roman" w:hAnsi="Times New Roman"/>
          <w:sz w:val="24"/>
        </w:rPr>
        <w:t>Ömer MANAV – 210209003</w:t>
      </w:r>
    </w:p>
    <w:p>
      <w:pPr>
        <w:jc w:val="center"/>
      </w:pPr>
      <w:r>
        <w:rPr>
          <w:rFonts w:ascii="Times New Roman" w:hAnsi="Times New Roman"/>
          <w:sz w:val="24"/>
        </w:rPr>
        <w:t>Kaan Bahadır SAĞRA – 210201011</w:t>
      </w:r>
    </w:p>
    <w:p>
      <w:r>
        <w:br w:type="page"/>
      </w:r>
    </w:p>
    <w:p>
      <w:pPr>
        <w:pStyle w:val="Heading1"/>
        <w:jc w:val="left"/>
      </w:pPr>
      <w:r>
        <w:rPr>
          <w:rFonts w:ascii="Times New Roman" w:hAnsi="Times New Roman"/>
          <w:color w:val="1A4F8A"/>
        </w:rPr>
        <w:t>Overview</w:t>
      </w:r>
    </w:p>
    <w:p>
      <w:pPr>
        <w:spacing w:after="120"/>
        <w:jc w:val="both"/>
      </w:pPr>
      <w:r>
        <w:rPr>
          <w:rFonts w:ascii="Times New Roman" w:hAnsi="Times New Roman"/>
          <w:b w:val="0"/>
          <w:i w:val="0"/>
          <w:sz w:val="24"/>
        </w:rPr>
        <w:t>This document explains every section of nbcf_final.py line by line and describes the meaning of each section of the output. The script has nine numbered sections: Sections 1–4 define data and algorithms; Sections 5–7 run evaluations; Sections 8–9 produce all figures and tables.</w:t>
      </w:r>
    </w:p>
    <w:p>
      <w:pPr>
        <w:spacing w:after="120"/>
        <w:jc w:val="both"/>
      </w:pPr>
      <w:r>
        <w:rPr>
          <w:rFonts w:ascii="Times New Roman" w:hAnsi="Times New Roman"/>
          <w:b w:val="0"/>
          <w:i w:val="0"/>
          <w:sz w:val="24"/>
        </w:rPr>
        <w:t>New additions in the final version (not present in the midterm) are marked with [NEW] in the section headings.</w:t>
      </w:r>
    </w:p>
    <w:p>
      <w:pPr>
        <w:pStyle w:val="Heading1"/>
        <w:jc w:val="left"/>
      </w:pPr>
      <w:r>
        <w:rPr>
          <w:rFonts w:ascii="Times New Roman" w:hAnsi="Times New Roman"/>
          <w:color w:val="1A4F8A"/>
        </w:rPr>
        <w:t>Section 1 — Imports and Global Constants</w:t>
      </w:r>
    </w:p>
    <w:p>
      <w:pPr>
        <w:pStyle w:val="Heading2"/>
        <w:jc w:val="left"/>
      </w:pPr>
      <w:r>
        <w:rPr>
          <w:rFonts w:ascii="Times New Roman" w:hAnsi="Times New Roman"/>
          <w:color w:val="1A4F8A"/>
        </w:rPr>
        <w:t>1.1 Library Imports</w:t>
      </w:r>
    </w:p>
    <w:p>
      <w:pPr>
        <w:spacing w:after="20" w:before="20"/>
        <w:ind w:left="567"/>
      </w:pPr>
      <w:r>
        <w:rPr>
          <w:rFonts w:ascii="Courier New" w:hAnsi="Courier New"/>
          <w:color w:val="1A4F8A"/>
          <w:sz w:val="20"/>
        </w:rPr>
        <w:t>import pandas as pd</w:t>
      </w:r>
    </w:p>
    <w:p>
      <w:pPr>
        <w:spacing w:after="80"/>
        <w:jc w:val="both"/>
      </w:pPr>
      <w:r>
        <w:rPr>
          <w:rFonts w:ascii="Times New Roman" w:hAnsi="Times New Roman"/>
          <w:b w:val="0"/>
          <w:i w:val="0"/>
          <w:sz w:val="24"/>
        </w:rPr>
        <w:t>Reads the .dat dataset file and provides DataFrame operations.</w:t>
      </w:r>
    </w:p>
    <w:p>
      <w:pPr>
        <w:spacing w:after="20" w:before="20"/>
        <w:ind w:left="567"/>
      </w:pPr>
      <w:r>
        <w:rPr>
          <w:rFonts w:ascii="Courier New" w:hAnsi="Courier New"/>
          <w:color w:val="1A4F8A"/>
          <w:sz w:val="20"/>
        </w:rPr>
        <w:t>import numpy as np</w:t>
      </w:r>
    </w:p>
    <w:p>
      <w:pPr>
        <w:spacing w:after="80"/>
        <w:jc w:val="both"/>
      </w:pPr>
      <w:r>
        <w:rPr>
          <w:rFonts w:ascii="Times New Roman" w:hAnsi="Times New Roman"/>
          <w:b w:val="0"/>
          <w:i w:val="0"/>
          <w:sz w:val="24"/>
        </w:rPr>
        <w:t>Numerical operations: mean, sqrt, percentile, array arithmetic.</w:t>
      </w:r>
    </w:p>
    <w:p>
      <w:pPr>
        <w:spacing w:after="20" w:before="20"/>
        <w:ind w:left="567"/>
      </w:pPr>
      <w:r>
        <w:rPr>
          <w:rFonts w:ascii="Courier New" w:hAnsi="Courier New"/>
          <w:color w:val="1A4F8A"/>
          <w:sz w:val="20"/>
        </w:rPr>
        <w:t>import matplotlib.pyplot as plt</w:t>
      </w:r>
    </w:p>
    <w:p>
      <w:pPr>
        <w:spacing w:after="80"/>
        <w:jc w:val="both"/>
      </w:pPr>
      <w:r>
        <w:rPr>
          <w:rFonts w:ascii="Times New Roman" w:hAnsi="Times New Roman"/>
          <w:b w:val="0"/>
          <w:i w:val="0"/>
          <w:sz w:val="24"/>
        </w:rPr>
        <w:t>Creates all figures and saves them as PNG files.</w:t>
      </w:r>
    </w:p>
    <w:p>
      <w:pPr>
        <w:spacing w:after="20" w:before="20"/>
        <w:ind w:left="567"/>
      </w:pPr>
      <w:r>
        <w:rPr>
          <w:rFonts w:ascii="Courier New" w:hAnsi="Courier New"/>
          <w:color w:val="1A4F8A"/>
          <w:sz w:val="20"/>
        </w:rPr>
        <w:t>import seaborn as sns</w:t>
      </w:r>
    </w:p>
    <w:p>
      <w:pPr>
        <w:spacing w:after="80"/>
        <w:jc w:val="both"/>
      </w:pPr>
      <w:r>
        <w:rPr>
          <w:rFonts w:ascii="Times New Roman" w:hAnsi="Times New Roman"/>
          <w:b w:val="0"/>
          <w:i w:val="0"/>
          <w:sz w:val="24"/>
        </w:rPr>
        <w:t>Draws the confusion-matrix heatmaps with color gradients.</w:t>
      </w:r>
    </w:p>
    <w:p>
      <w:pPr>
        <w:spacing w:after="20" w:before="20"/>
        <w:ind w:left="567"/>
      </w:pPr>
      <w:r>
        <w:rPr>
          <w:rFonts w:ascii="Courier New" w:hAnsi="Courier New"/>
          <w:color w:val="1A4F8A"/>
          <w:sz w:val="20"/>
        </w:rPr>
        <w:t>import math</w:t>
      </w:r>
    </w:p>
    <w:p>
      <w:pPr>
        <w:spacing w:after="80"/>
        <w:jc w:val="both"/>
      </w:pPr>
      <w:r>
        <w:rPr>
          <w:rFonts w:ascii="Times New Roman" w:hAnsi="Times New Roman"/>
          <w:b w:val="0"/>
          <w:i w:val="0"/>
          <w:sz w:val="24"/>
        </w:rPr>
        <w:t>math.log() and math.exp() for the log-space probability calculations.</w:t>
      </w:r>
    </w:p>
    <w:p>
      <w:pPr>
        <w:spacing w:after="20" w:before="20"/>
        <w:ind w:left="567"/>
      </w:pPr>
      <w:r>
        <w:rPr>
          <w:rFonts w:ascii="Courier New" w:hAnsi="Courier New"/>
          <w:color w:val="1A4F8A"/>
          <w:sz w:val="20"/>
        </w:rPr>
        <w:t>import time</w:t>
      </w:r>
    </w:p>
    <w:p>
      <w:pPr>
        <w:spacing w:after="80"/>
        <w:jc w:val="both"/>
      </w:pPr>
      <w:r>
        <w:rPr>
          <w:rFonts w:ascii="Times New Roman" w:hAnsi="Times New Roman"/>
          <w:b w:val="0"/>
          <w:i w:val="0"/>
          <w:sz w:val="24"/>
        </w:rPr>
        <w:t>time.perf_counter() times each prediction to nanosecond precision.</w:t>
      </w:r>
    </w:p>
    <w:p>
      <w:pPr>
        <w:spacing w:after="20" w:before="20"/>
        <w:ind w:left="567"/>
      </w:pPr>
      <w:r>
        <w:rPr>
          <w:rFonts w:ascii="Courier New" w:hAnsi="Courier New"/>
          <w:color w:val="1A4F8A"/>
          <w:sz w:val="20"/>
        </w:rPr>
        <w:t>from collections import defaultdict</w:t>
      </w:r>
    </w:p>
    <w:p>
      <w:pPr>
        <w:spacing w:after="80"/>
        <w:jc w:val="both"/>
      </w:pPr>
      <w:r>
        <w:rPr>
          <w:rFonts w:ascii="Times New Roman" w:hAnsi="Times New Roman"/>
          <w:b w:val="0"/>
          <w:i w:val="0"/>
          <w:sz w:val="24"/>
        </w:rPr>
        <w:t>Nested dictionaries that return empty dicts for missing keys — no KeyError.</w:t>
      </w:r>
    </w:p>
    <w:p>
      <w:pPr>
        <w:spacing w:after="20" w:before="20"/>
        <w:ind w:left="567"/>
      </w:pPr>
      <w:r>
        <w:rPr>
          <w:rFonts w:ascii="Courier New" w:hAnsi="Courier New"/>
          <w:color w:val="1A4F8A"/>
          <w:sz w:val="20"/>
        </w:rPr>
        <w:t>from sklearn.model_selection import train_test_split</w:t>
      </w:r>
    </w:p>
    <w:p>
      <w:pPr>
        <w:spacing w:after="80"/>
        <w:jc w:val="both"/>
      </w:pPr>
      <w:r>
        <w:rPr>
          <w:rFonts w:ascii="Times New Roman" w:hAnsi="Times New Roman"/>
          <w:b w:val="0"/>
          <w:i w:val="0"/>
          <w:sz w:val="24"/>
        </w:rPr>
        <w:t>Splits all ratings 80/20 with a fixed seed for reproducibility.</w:t>
      </w:r>
    </w:p>
    <w:p>
      <w:pPr>
        <w:spacing w:after="20" w:before="20"/>
        <w:ind w:left="567"/>
      </w:pPr>
      <w:r>
        <w:rPr>
          <w:rFonts w:ascii="Courier New" w:hAnsi="Courier New"/>
          <w:color w:val="1A4F8A"/>
          <w:sz w:val="20"/>
        </w:rPr>
        <w:t>from sklearn.metrics import confusion_matrix, precision_score, ...</w:t>
      </w:r>
    </w:p>
    <w:p>
      <w:pPr>
        <w:spacing w:after="80"/>
        <w:jc w:val="both"/>
      </w:pPr>
      <w:r>
        <w:rPr>
          <w:rFonts w:ascii="Times New Roman" w:hAnsi="Times New Roman"/>
          <w:b w:val="0"/>
          <w:i w:val="0"/>
          <w:sz w:val="24"/>
        </w:rPr>
        <w:t>Standard classification metrics: confusion matrix, precision, recall, F1.</w:t>
      </w:r>
    </w:p>
    <w:p>
      <w:pPr>
        <w:pStyle w:val="Heading2"/>
        <w:jc w:val="left"/>
      </w:pPr>
      <w:r>
        <w:rPr>
          <w:rFonts w:ascii="Times New Roman" w:hAnsi="Times New Roman"/>
          <w:color w:val="1A4F8A"/>
        </w:rPr>
        <w:t>1.2 Global Constants</w:t>
      </w:r>
    </w:p>
    <w:p>
      <w:pPr>
        <w:spacing w:after="20" w:before="20"/>
        <w:ind w:left="567"/>
      </w:pPr>
      <w:r>
        <w:rPr>
          <w:rFonts w:ascii="Courier New" w:hAnsi="Courier New"/>
          <w:color w:val="1A4F8A"/>
          <w:sz w:val="20"/>
        </w:rPr>
        <w:t>R_values = [1, 2, 3, 4, 5]</w:t>
      </w:r>
    </w:p>
    <w:p>
      <w:pPr>
        <w:spacing w:after="80"/>
        <w:jc w:val="both"/>
      </w:pPr>
      <w:r>
        <w:rPr>
          <w:rFonts w:ascii="Times New Roman" w:hAnsi="Times New Roman"/>
          <w:b w:val="0"/>
          <w:i w:val="0"/>
          <w:sz w:val="24"/>
        </w:rPr>
        <w:t>The five rating classes. Every probability distribution is computed over these five values.</w:t>
      </w:r>
    </w:p>
    <w:p>
      <w:pPr>
        <w:spacing w:after="20" w:before="20"/>
        <w:ind w:left="567"/>
      </w:pPr>
      <w:r>
        <w:rPr>
          <w:rFonts w:ascii="Courier New" w:hAnsi="Courier New"/>
          <w:color w:val="1A4F8A"/>
          <w:sz w:val="20"/>
        </w:rPr>
        <w:t>ALPHA = 0.01</w:t>
      </w:r>
    </w:p>
    <w:p>
      <w:pPr>
        <w:spacing w:after="80"/>
        <w:jc w:val="both"/>
      </w:pPr>
      <w:r>
        <w:rPr>
          <w:rFonts w:ascii="Times New Roman" w:hAnsi="Times New Roman"/>
          <w:b w:val="0"/>
          <w:i w:val="0"/>
          <w:sz w:val="24"/>
        </w:rPr>
        <w:t>Laplace smoothing parameter. Prevents any probability from being exactly zero when a rating class has never appeared for a given item or user.</w:t>
      </w:r>
    </w:p>
    <w:p>
      <w:pPr>
        <w:spacing w:after="20" w:before="20"/>
        <w:ind w:left="567"/>
      </w:pPr>
      <w:r>
        <w:rPr>
          <w:rFonts w:ascii="Courier New" w:hAnsi="Courier New"/>
          <w:color w:val="1A4F8A"/>
          <w:sz w:val="20"/>
        </w:rPr>
        <w:t>DECAY_LAMBDA = 1e-7</w:t>
      </w:r>
    </w:p>
    <w:p>
      <w:pPr>
        <w:spacing w:after="80"/>
        <w:jc w:val="both"/>
      </w:pPr>
      <w:r>
        <w:rPr>
          <w:rFonts w:ascii="Times New Roman" w:hAnsi="Times New Roman"/>
          <w:b w:val="0"/>
          <w:i w:val="0"/>
          <w:sz w:val="24"/>
        </w:rPr>
        <w:t>Exponential decay rate. At this value, a rating made 3 years ago (≈ 9.5×10^7 seconds) receives weight exp(−1×10⁻⁷ × 9.5×10⁷) ≈ 0.09 — about 9% of a recent rating.</w:t>
      </w:r>
    </w:p>
    <w:p>
      <w:pPr>
        <w:spacing w:after="20" w:before="20"/>
        <w:ind w:left="567"/>
      </w:pPr>
      <w:r>
        <w:rPr>
          <w:rFonts w:ascii="Courier New" w:hAnsi="Courier New"/>
          <w:color w:val="1A4F8A"/>
          <w:sz w:val="20"/>
        </w:rPr>
        <w:t>TOP_K = 30</w:t>
      </w:r>
    </w:p>
    <w:p>
      <w:pPr>
        <w:spacing w:after="80"/>
        <w:jc w:val="both"/>
      </w:pPr>
      <w:r>
        <w:rPr>
          <w:rFonts w:ascii="Times New Roman" w:hAnsi="Times New Roman"/>
          <w:b w:val="0"/>
          <w:i w:val="0"/>
          <w:sz w:val="24"/>
        </w:rPr>
        <w:t>[NEW] Maximum number of neighbors used per prediction. Caps the inner scoring loop at 30 iterations regardless of how many past items or co-raters exist.</w:t>
      </w:r>
    </w:p>
    <w:p>
      <w:pPr>
        <w:pStyle w:val="Heading1"/>
        <w:jc w:val="left"/>
      </w:pPr>
      <w:r>
        <w:rPr>
          <w:rFonts w:ascii="Times New Roman" w:hAnsi="Times New Roman"/>
          <w:color w:val="1A4F8A"/>
        </w:rPr>
        <w:t>Section 2 — Dataset Loading and Preparation</w:t>
      </w:r>
    </w:p>
    <w:p>
      <w:pPr>
        <w:spacing w:after="20" w:before="20"/>
        <w:ind w:left="567"/>
      </w:pPr>
      <w:r>
        <w:rPr>
          <w:rFonts w:ascii="Courier New" w:hAnsi="Courier New"/>
          <w:color w:val="1A4F8A"/>
          <w:sz w:val="20"/>
        </w:rPr>
        <w:t>ratings_df = pd.read_csv('ml-1m/ratings.dat', sep='::', ...)</w:t>
      </w:r>
    </w:p>
    <w:p>
      <w:pPr>
        <w:spacing w:after="80"/>
        <w:jc w:val="both"/>
      </w:pPr>
      <w:r>
        <w:rPr>
          <w:rFonts w:ascii="Times New Roman" w:hAnsi="Times New Roman"/>
          <w:b w:val="0"/>
          <w:i w:val="0"/>
          <w:sz w:val="24"/>
        </w:rPr>
        <w:t>Reads the dataset. sep='::' is the MovieLens-1M delimiter. encoding='latin-1' handles extended characters in movie titles.</w:t>
      </w:r>
    </w:p>
    <w:p>
      <w:pPr>
        <w:spacing w:after="20" w:before="20"/>
        <w:ind w:left="567"/>
      </w:pPr>
      <w:r>
        <w:rPr>
          <w:rFonts w:ascii="Courier New" w:hAnsi="Courier New"/>
          <w:color w:val="1A4F8A"/>
          <w:sz w:val="20"/>
        </w:rPr>
        <w:t>train_df, test_df = train_test_split(..., test_size=0.2, random_state=42)</w:t>
      </w:r>
    </w:p>
    <w:p>
      <w:pPr>
        <w:spacing w:after="80"/>
        <w:jc w:val="both"/>
      </w:pPr>
      <w:r>
        <w:rPr>
          <w:rFonts w:ascii="Times New Roman" w:hAnsi="Times New Roman"/>
          <w:b w:val="0"/>
          <w:i w:val="0"/>
          <w:sz w:val="24"/>
        </w:rPr>
        <w:t>80% training, 20% test. random_state=42 gives an identical split on every run.</w:t>
      </w:r>
    </w:p>
    <w:p>
      <w:pPr>
        <w:spacing w:after="20" w:before="20"/>
        <w:ind w:left="567"/>
      </w:pPr>
      <w:r>
        <w:rPr>
          <w:rFonts w:ascii="Courier New" w:hAnsi="Courier New"/>
          <w:color w:val="1A4F8A"/>
          <w:sz w:val="20"/>
        </w:rPr>
        <w:t>user_r[row['user_id']][row['item_id']] = row['rating']</w:t>
      </w:r>
    </w:p>
    <w:p>
      <w:pPr>
        <w:spacing w:after="80"/>
        <w:jc w:val="both"/>
      </w:pPr>
      <w:r>
        <w:rPr>
          <w:rFonts w:ascii="Times New Roman" w:hAnsi="Times New Roman"/>
          <w:b w:val="0"/>
          <w:i w:val="0"/>
          <w:sz w:val="24"/>
        </w:rPr>
        <w:t>user_r[u][i] holds the rating of user u on item i. Enables O(1) lookup.</w:t>
      </w:r>
    </w:p>
    <w:p>
      <w:pPr>
        <w:spacing w:after="20" w:before="20"/>
        <w:ind w:left="567"/>
      </w:pPr>
      <w:r>
        <w:rPr>
          <w:rFonts w:ascii="Courier New" w:hAnsi="Courier New"/>
          <w:color w:val="1A4F8A"/>
          <w:sz w:val="20"/>
        </w:rPr>
        <w:t>user_ts[row['user_id']][row['item_id']] = row['timestamp']</w:t>
      </w:r>
    </w:p>
    <w:p>
      <w:pPr>
        <w:spacing w:after="80"/>
        <w:jc w:val="both"/>
      </w:pPr>
      <w:r>
        <w:rPr>
          <w:rFonts w:ascii="Times New Roman" w:hAnsi="Times New Roman"/>
          <w:b w:val="0"/>
          <w:i w:val="0"/>
          <w:sz w:val="24"/>
        </w:rPr>
        <w:t>Stores when each rating was made. Used by temporal_weight() to compute age.</w:t>
      </w:r>
    </w:p>
    <w:p>
      <w:pPr>
        <w:spacing w:after="20" w:before="20"/>
        <w:ind w:left="567"/>
      </w:pPr>
      <w:r>
        <w:rPr>
          <w:rFonts w:ascii="Courier New" w:hAnsi="Courier New"/>
          <w:color w:val="1A4F8A"/>
          <w:sz w:val="20"/>
        </w:rPr>
        <w:t>item_users_set = {i: frozenset(...) for i, u_dict in item_r.items()}</w:t>
      </w:r>
    </w:p>
    <w:p>
      <w:pPr>
        <w:spacing w:after="80"/>
        <w:jc w:val="both"/>
      </w:pPr>
      <w:r>
        <w:rPr>
          <w:rFonts w:ascii="Times New Roman" w:hAnsi="Times New Roman"/>
          <w:b w:val="0"/>
          <w:i w:val="0"/>
          <w:sz w:val="24"/>
        </w:rPr>
        <w:t>[NEW] Precomputes the set of users who rated each item. frozenset supports fast set-intersection (&amp; operator), which is used to rank Top-K neighbors by overlap. Precomputing avoids rebuilding the set on every prediction call.</w:t>
      </w:r>
    </w:p>
    <w:p>
      <w:pPr>
        <w:pStyle w:val="Heading1"/>
        <w:jc w:val="left"/>
      </w:pPr>
      <w:r>
        <w:rPr>
          <w:rFonts w:ascii="Times New Roman" w:hAnsi="Times New Roman"/>
          <w:color w:val="1A4F8A"/>
        </w:rPr>
        <w:t>Section 3 — Core Algorithm Functions (Unchanged from Midterm)</w:t>
      </w:r>
    </w:p>
    <w:p>
      <w:pPr>
        <w:pStyle w:val="Heading2"/>
        <w:jc w:val="left"/>
      </w:pPr>
      <w:r>
        <w:rPr>
          <w:rFonts w:ascii="Times New Roman" w:hAnsi="Times New Roman"/>
          <w:color w:val="1A4F8A"/>
        </w:rPr>
        <w:t>3.1 Prior Probabilities</w:t>
      </w:r>
    </w:p>
    <w:p>
      <w:pPr>
        <w:spacing w:after="20" w:before="20"/>
        <w:ind w:left="567"/>
      </w:pPr>
      <w:r>
        <w:rPr>
          <w:rFonts w:ascii="Courier New" w:hAnsi="Courier New"/>
          <w:color w:val="1A4F8A"/>
          <w:sz w:val="20"/>
        </w:rPr>
        <w:t>def calc_item_prior(i, y, a=ALPHA):</w:t>
      </w:r>
    </w:p>
    <w:p>
      <w:pPr>
        <w:spacing w:after="20" w:before="20"/>
        <w:ind w:left="567"/>
      </w:pPr>
      <w:r>
        <w:rPr>
          <w:rFonts w:ascii="Courier New" w:hAnsi="Courier New"/>
          <w:color w:val="1A4F8A"/>
          <w:sz w:val="20"/>
        </w:rPr>
        <w:t xml:space="preserve">    return (count_y + a) / (len(ratings) + NUM_R * a)</w:t>
      </w:r>
    </w:p>
    <w:p>
      <w:pPr>
        <w:spacing w:after="80"/>
        <w:jc w:val="both"/>
      </w:pPr>
      <w:r>
        <w:rPr>
          <w:rFonts w:ascii="Times New Roman" w:hAnsi="Times New Roman"/>
          <w:b w:val="0"/>
          <w:i w:val="0"/>
          <w:sz w:val="24"/>
        </w:rPr>
        <w:t>Estimates P(y | i): the probability that a random rating of item i equals y. Laplace smoothing adds a (numerator) and NUM_R × a (denominator) so the probability is never zero even for unseen rating classes.</w:t>
      </w:r>
    </w:p>
    <w:p>
      <w:pPr>
        <w:spacing w:after="20" w:before="20"/>
        <w:ind w:left="567"/>
      </w:pPr>
      <w:r>
        <w:rPr>
          <w:rFonts w:ascii="Courier New" w:hAnsi="Courier New"/>
          <w:color w:val="1A4F8A"/>
          <w:sz w:val="20"/>
        </w:rPr>
        <w:t>def calc_user_prior(u, y, a=ALPHA):</w:t>
      </w:r>
    </w:p>
    <w:p>
      <w:pPr>
        <w:spacing w:after="80"/>
        <w:jc w:val="both"/>
      </w:pPr>
      <w:r>
        <w:rPr>
          <w:rFonts w:ascii="Times New Roman" w:hAnsi="Times New Roman"/>
          <w:b w:val="0"/>
          <w:i w:val="0"/>
          <w:sz w:val="24"/>
        </w:rPr>
        <w:t>Same formula applied to user u instead of item i, estimating P(y | u).</w:t>
      </w:r>
    </w:p>
    <w:p>
      <w:pPr>
        <w:pStyle w:val="Heading2"/>
        <w:jc w:val="left"/>
      </w:pPr>
      <w:r>
        <w:rPr>
          <w:rFonts w:ascii="Times New Roman" w:hAnsi="Times New Roman"/>
          <w:color w:val="1A4F8A"/>
        </w:rPr>
        <w:t>3.2 Likelihood Functions</w:t>
      </w:r>
    </w:p>
    <w:p>
      <w:pPr>
        <w:spacing w:after="20" w:before="20"/>
        <w:ind w:left="567"/>
      </w:pPr>
      <w:r>
        <w:rPr>
          <w:rFonts w:ascii="Courier New" w:hAnsi="Courier New"/>
          <w:color w:val="1A4F8A"/>
          <w:sz w:val="20"/>
        </w:rPr>
        <w:t>def calc_ub_likelihood(i, y, j, k, a=ALPHA):</w:t>
      </w:r>
    </w:p>
    <w:p>
      <w:pPr>
        <w:spacing w:after="80"/>
        <w:jc w:val="both"/>
      </w:pPr>
      <w:r>
        <w:rPr>
          <w:rFonts w:ascii="Times New Roman" w:hAnsi="Times New Roman"/>
          <w:b w:val="0"/>
          <w:i w:val="0"/>
          <w:sz w:val="24"/>
        </w:rPr>
        <w:t>Computes P(r_{u,j}=k | rating of item i = y). Step 1: find all users who gave item i rating y. Step 2: among those, count how many gave item j rating k (match) and how many rated item j at all (total). Step 3: return (match + a) / (total + NUM_R × a).</w:t>
      </w:r>
    </w:p>
    <w:p>
      <w:pPr>
        <w:spacing w:after="20" w:before="20"/>
        <w:ind w:left="567"/>
      </w:pPr>
      <w:r>
        <w:rPr>
          <w:rFonts w:ascii="Courier New" w:hAnsi="Courier New"/>
          <w:color w:val="1A4F8A"/>
          <w:sz w:val="20"/>
        </w:rPr>
        <w:t>def calc_ib_likelihood(u, y, v, k, a=ALPHA):</w:t>
      </w:r>
    </w:p>
    <w:p>
      <w:pPr>
        <w:spacing w:after="80"/>
        <w:jc w:val="both"/>
      </w:pPr>
      <w:r>
        <w:rPr>
          <w:rFonts w:ascii="Times New Roman" w:hAnsi="Times New Roman"/>
          <w:b w:val="0"/>
          <w:i w:val="0"/>
          <w:sz w:val="24"/>
        </w:rPr>
        <w:t>Computes P(co-rater v gives k | user u gives y to their items). Finds items user u rated as y, counts how many co-rater v also rated with rating k. Same Laplace formula applied.</w:t>
      </w:r>
    </w:p>
    <w:p>
      <w:pPr>
        <w:pStyle w:val="Heading2"/>
        <w:jc w:val="left"/>
      </w:pPr>
      <w:r>
        <w:rPr>
          <w:rFonts w:ascii="Times New Roman" w:hAnsi="Times New Roman"/>
          <w:color w:val="1A4F8A"/>
        </w:rPr>
        <w:t>3.3 Log-Space Scoring</w:t>
      </w:r>
    </w:p>
    <w:p>
      <w:pPr>
        <w:spacing w:after="20" w:before="20"/>
        <w:ind w:left="567"/>
      </w:pPr>
      <w:r>
        <w:rPr>
          <w:rFonts w:ascii="Courier New" w:hAnsi="Courier New"/>
          <w:color w:val="1A4F8A"/>
          <w:sz w:val="20"/>
        </w:rPr>
        <w:t>def normalize_log_scores(log_scores_dict):</w:t>
      </w:r>
    </w:p>
    <w:p>
      <w:pPr>
        <w:spacing w:after="80"/>
        <w:jc w:val="both"/>
      </w:pPr>
      <w:r>
        <w:rPr>
          <w:rFonts w:ascii="Times New Roman" w:hAnsi="Times New Roman"/>
          <w:b w:val="0"/>
          <w:i w:val="0"/>
          <w:sz w:val="24"/>
        </w:rPr>
        <w:t>Log-sum-exp trick: subtract the maximum log-score before calling exp() to avoid overflow/underflow, then divide by the sum to normalize to a valid probability distribution that sums to 1.</w:t>
      </w:r>
    </w:p>
    <w:p>
      <w:pPr>
        <w:spacing w:after="20" w:before="20"/>
        <w:ind w:left="567"/>
      </w:pPr>
      <w:r>
        <w:rPr>
          <w:rFonts w:ascii="Courier New" w:hAnsi="Courier New"/>
          <w:color w:val="1A4F8A"/>
          <w:sz w:val="20"/>
        </w:rPr>
        <w:t>def ub_score(u, i, a=ALPHA):</w:t>
      </w:r>
    </w:p>
    <w:p>
      <w:pPr>
        <w:spacing w:after="80"/>
        <w:jc w:val="both"/>
      </w:pPr>
      <w:r>
        <w:rPr>
          <w:rFonts w:ascii="Times New Roman" w:hAnsi="Times New Roman"/>
          <w:b w:val="0"/>
          <w:i w:val="0"/>
          <w:sz w:val="24"/>
        </w:rPr>
        <w:t>For each class y, accumulates log P(y|i) + Σ_j log P(r_{u,j}=k|y) over ALL past items j of user u, then normalizes. The 'a' parameter allows alpha sensitivity analysis to override the default.</w:t>
      </w:r>
    </w:p>
    <w:p>
      <w:pPr>
        <w:spacing w:after="20" w:before="20"/>
        <w:ind w:left="567"/>
      </w:pPr>
      <w:r>
        <w:rPr>
          <w:rFonts w:ascii="Courier New" w:hAnsi="Courier New"/>
          <w:color w:val="1A4F8A"/>
          <w:sz w:val="20"/>
        </w:rPr>
        <w:t>def ib_score(u, i, a=ALPHA):</w:t>
      </w:r>
    </w:p>
    <w:p>
      <w:pPr>
        <w:spacing w:after="80"/>
        <w:jc w:val="both"/>
      </w:pPr>
      <w:r>
        <w:rPr>
          <w:rFonts w:ascii="Times New Roman" w:hAnsi="Times New Roman"/>
          <w:b w:val="0"/>
          <w:i w:val="0"/>
          <w:sz w:val="24"/>
        </w:rPr>
        <w:t>Same structure but iterates over ALL co-raters of item i instead.</w:t>
      </w:r>
    </w:p>
    <w:p>
      <w:pPr>
        <w:pStyle w:val="Heading2"/>
        <w:jc w:val="left"/>
      </w:pPr>
      <w:r>
        <w:rPr>
          <w:rFonts w:ascii="Times New Roman" w:hAnsi="Times New Roman"/>
          <w:color w:val="1A4F8A"/>
        </w:rPr>
        <w:t>3.4 Temporal Score Functions</w:t>
      </w:r>
    </w:p>
    <w:p>
      <w:pPr>
        <w:spacing w:after="20" w:before="20"/>
        <w:ind w:left="567"/>
      </w:pPr>
      <w:r>
        <w:rPr>
          <w:rFonts w:ascii="Courier New" w:hAnsi="Courier New"/>
          <w:color w:val="1A4F8A"/>
          <w:sz w:val="20"/>
        </w:rPr>
        <w:t>def temporal_weight(user_id, item_id):</w:t>
      </w:r>
    </w:p>
    <w:p>
      <w:pPr>
        <w:spacing w:after="20" w:before="20"/>
        <w:ind w:left="567"/>
      </w:pPr>
      <w:r>
        <w:rPr>
          <w:rFonts w:ascii="Courier New" w:hAnsi="Courier New"/>
          <w:color w:val="1A4F8A"/>
          <w:sz w:val="20"/>
        </w:rPr>
        <w:t xml:space="preserve">    return math.exp(-DECAY_LAMBDA * (global_max_ts - ts))</w:t>
      </w:r>
    </w:p>
    <w:p>
      <w:pPr>
        <w:spacing w:after="80"/>
        <w:jc w:val="both"/>
      </w:pPr>
      <w:r>
        <w:rPr>
          <w:rFonts w:ascii="Times New Roman" w:hAnsi="Times New Roman"/>
          <w:b w:val="0"/>
          <w:i w:val="0"/>
          <w:sz w:val="24"/>
        </w:rPr>
        <w:t>Computes the recency weight for a past rating. global_max_ts is the most recent timestamp in the training set. age = global_max_ts − t(u,j) is measured in seconds. If a rating's timestamp is not found (missing key), age defaults to 0 → weight 1.</w:t>
      </w:r>
    </w:p>
    <w:p>
      <w:pPr>
        <w:spacing w:after="20" w:before="20"/>
        <w:ind w:left="567"/>
      </w:pPr>
      <w:r>
        <w:rPr>
          <w:rFonts w:ascii="Courier New" w:hAnsi="Courier New"/>
          <w:color w:val="1A4F8A"/>
          <w:sz w:val="20"/>
        </w:rPr>
        <w:t>def ub_score_temporal(u, i, a=ALPHA):</w:t>
      </w:r>
    </w:p>
    <w:p>
      <w:pPr>
        <w:spacing w:after="80"/>
        <w:jc w:val="both"/>
      </w:pPr>
      <w:r>
        <w:rPr>
          <w:rFonts w:ascii="Times New Roman" w:hAnsi="Times New Roman"/>
          <w:b w:val="0"/>
          <w:i w:val="0"/>
          <w:sz w:val="24"/>
        </w:rPr>
        <w:t>Same as ub_score but multiplies each log-likelihood term by w(u,j) before adding it to log_s. Recent items contribute their full log-likelihood; older items contribute a fraction of it.</w:t>
      </w:r>
    </w:p>
    <w:p>
      <w:pPr>
        <w:pStyle w:val="Heading1"/>
        <w:jc w:val="left"/>
      </w:pPr>
      <w:r>
        <w:rPr>
          <w:rFonts w:ascii="Times New Roman" w:hAnsi="Times New Roman"/>
          <w:color w:val="1A4F8A"/>
        </w:rPr>
        <w:t>Section 4 — Top-K Neighborhood Selection [NEW]</w:t>
      </w:r>
    </w:p>
    <w:p>
      <w:pPr>
        <w:pStyle w:val="Heading2"/>
        <w:jc w:val="left"/>
      </w:pPr>
      <w:r>
        <w:rPr>
          <w:rFonts w:ascii="Times New Roman" w:hAnsi="Times New Roman"/>
          <w:color w:val="1A4F8A"/>
        </w:rPr>
        <w:t>4.1 topk_items_for_ub</w:t>
      </w:r>
    </w:p>
    <w:p>
      <w:pPr>
        <w:spacing w:after="20" w:before="20"/>
        <w:ind w:left="567"/>
      </w:pPr>
      <w:r>
        <w:rPr>
          <w:rFonts w:ascii="Courier New" w:hAnsi="Courier New"/>
          <w:color w:val="1A4F8A"/>
          <w:sz w:val="20"/>
        </w:rPr>
        <w:t>def topk_items_for_ub(u, i, K=TOP_K):</w:t>
      </w:r>
    </w:p>
    <w:p>
      <w:pPr>
        <w:spacing w:after="20" w:before="20"/>
        <w:ind w:left="567"/>
      </w:pPr>
      <w:r>
        <w:rPr>
          <w:rFonts w:ascii="Courier New" w:hAnsi="Courier New"/>
          <w:color w:val="1A4F8A"/>
          <w:sz w:val="20"/>
        </w:rPr>
        <w:t xml:space="preserve">    i_set = item_users_set.get(i, frozenset())</w:t>
      </w:r>
    </w:p>
    <w:p>
      <w:pPr>
        <w:spacing w:after="20" w:before="20"/>
        <w:ind w:left="567"/>
      </w:pPr>
      <w:r>
        <w:rPr>
          <w:rFonts w:ascii="Courier New" w:hAnsi="Courier New"/>
          <w:color w:val="1A4F8A"/>
          <w:sz w:val="20"/>
        </w:rPr>
        <w:t xml:space="preserve">    return sorted(past,</w:t>
      </w:r>
    </w:p>
    <w:p>
      <w:pPr>
        <w:spacing w:after="20" w:before="20"/>
        <w:ind w:left="567"/>
      </w:pPr>
      <w:r>
        <w:rPr>
          <w:rFonts w:ascii="Courier New" w:hAnsi="Courier New"/>
          <w:color w:val="1A4F8A"/>
          <w:sz w:val="20"/>
        </w:rPr>
        <w:t xml:space="preserve">        key=lambda jk: len(i_set &amp; item_users_set.get(jk[0], frozenset())),</w:t>
      </w:r>
    </w:p>
    <w:p>
      <w:pPr>
        <w:spacing w:after="20" w:before="20"/>
        <w:ind w:left="567"/>
      </w:pPr>
      <w:r>
        <w:rPr>
          <w:rFonts w:ascii="Courier New" w:hAnsi="Courier New"/>
          <w:color w:val="1A4F8A"/>
          <w:sz w:val="20"/>
        </w:rPr>
        <w:t xml:space="preserve">        reverse=True)[:K]</w:t>
      </w:r>
    </w:p>
    <w:p>
      <w:pPr>
        <w:spacing w:after="80"/>
        <w:jc w:val="both"/>
      </w:pPr>
      <w:r>
        <w:rPr>
          <w:rFonts w:ascii="Times New Roman" w:hAnsi="Times New Roman"/>
          <w:b w:val="0"/>
          <w:i w:val="0"/>
          <w:sz w:val="24"/>
        </w:rPr>
        <w:t>If user u has ≤ K past items: returns all (no filtering). Otherwise: computes |users(i) ∩ users(j)| for each past item j. A high overlap means items i and j are rated by the same community, so j is a strong evidence source for predicting i. Sorting descending and slicing to K keeps only the most relevant.</w:t>
      </w:r>
    </w:p>
    <w:p>
      <w:pPr>
        <w:pStyle w:val="Heading2"/>
        <w:jc w:val="left"/>
      </w:pPr>
      <w:r>
        <w:rPr>
          <w:rFonts w:ascii="Times New Roman" w:hAnsi="Times New Roman"/>
          <w:color w:val="1A4F8A"/>
        </w:rPr>
        <w:t>4.2 topk_users_for_ib</w:t>
      </w:r>
    </w:p>
    <w:p>
      <w:pPr>
        <w:spacing w:after="20" w:before="20"/>
        <w:ind w:left="567"/>
      </w:pPr>
      <w:r>
        <w:rPr>
          <w:rFonts w:ascii="Courier New" w:hAnsi="Courier New"/>
          <w:color w:val="1A4F8A"/>
          <w:sz w:val="20"/>
        </w:rPr>
        <w:t>def topk_users_for_ib(u, i, K=TOP_K):</w:t>
      </w:r>
    </w:p>
    <w:p>
      <w:pPr>
        <w:spacing w:after="80"/>
        <w:jc w:val="both"/>
      </w:pPr>
      <w:r>
        <w:rPr>
          <w:rFonts w:ascii="Times New Roman" w:hAnsi="Times New Roman"/>
          <w:b w:val="0"/>
          <w:i w:val="0"/>
          <w:sz w:val="24"/>
        </w:rPr>
        <w:t>Analogous to topk_items_for_ub. Ranks co-raters v of item i by |items(u) ∩ items(v)|. Co-raters who share more items with u give more informative IB likelihood estimates.</w:t>
      </w:r>
    </w:p>
    <w:p>
      <w:pPr>
        <w:pStyle w:val="Heading2"/>
        <w:jc w:val="left"/>
      </w:pPr>
      <w:r>
        <w:rPr>
          <w:rFonts w:ascii="Times New Roman" w:hAnsi="Times New Roman"/>
          <w:color w:val="1A4F8A"/>
        </w:rPr>
        <w:t>4.3 confidence_maxprob</w:t>
      </w:r>
    </w:p>
    <w:p>
      <w:pPr>
        <w:spacing w:after="20" w:before="20"/>
        <w:ind w:left="567"/>
      </w:pPr>
      <w:r>
        <w:rPr>
          <w:rFonts w:ascii="Courier New" w:hAnsi="Courier New"/>
          <w:color w:val="1A4F8A"/>
          <w:sz w:val="20"/>
        </w:rPr>
        <w:t>def confidence_maxprob(scores_dict):</w:t>
      </w:r>
    </w:p>
    <w:p>
      <w:pPr>
        <w:spacing w:after="20" w:before="20"/>
        <w:ind w:left="567"/>
      </w:pPr>
      <w:r>
        <w:rPr>
          <w:rFonts w:ascii="Courier New" w:hAnsi="Courier New"/>
          <w:color w:val="1A4F8A"/>
          <w:sz w:val="20"/>
        </w:rPr>
        <w:t xml:space="preserve">    return max(scores_dict.values())</w:t>
      </w:r>
    </w:p>
    <w:p>
      <w:pPr>
        <w:spacing w:after="80"/>
        <w:jc w:val="both"/>
      </w:pPr>
      <w:r>
        <w:rPr>
          <w:rFonts w:ascii="Times New Roman" w:hAnsi="Times New Roman"/>
          <w:b w:val="0"/>
          <w:i w:val="0"/>
          <w:sz w:val="24"/>
        </w:rPr>
        <w:t>Returns the probability of the most likely class. Range [0.2, 1.0] for five classes (0.2 = perfectly uniform, 1.0 = certain). Applied to UB-Temporal component scores before geometric mixing. The midterm entropy measure degenerated to ~0 for all predictions because the geometric hybrid exponents w_UB, w_IB ≈ 0.04 push all class probabilities toward 1, collapsing the distribution.</w:t>
      </w:r>
    </w:p>
    <w:p>
      <w:pPr>
        <w:pStyle w:val="Heading2"/>
        <w:jc w:val="left"/>
      </w:pPr>
      <w:r>
        <w:rPr>
          <w:rFonts w:ascii="Times New Roman" w:hAnsi="Times New Roman"/>
          <w:color w:val="1A4F8A"/>
        </w:rPr>
        <w:t>4.4 hybrid_topk_temporal — Final Model</w:t>
      </w:r>
    </w:p>
    <w:p>
      <w:pPr>
        <w:spacing w:after="20" w:before="20"/>
        <w:ind w:left="567"/>
      </w:pPr>
      <w:r>
        <w:rPr>
          <w:rFonts w:ascii="Courier New" w:hAnsi="Courier New"/>
          <w:color w:val="1A4F8A"/>
          <w:sz w:val="20"/>
        </w:rPr>
        <w:t>def hybrid_topk_temporal(u, i, a=ALPHA):</w:t>
      </w:r>
    </w:p>
    <w:p>
      <w:pPr>
        <w:spacing w:after="20" w:before="20"/>
        <w:ind w:left="567"/>
      </w:pPr>
      <w:r>
        <w:rPr>
          <w:rFonts w:ascii="Courier New" w:hAnsi="Courier New"/>
          <w:color w:val="1A4F8A"/>
          <w:sz w:val="20"/>
        </w:rPr>
        <w:t xml:space="preserve">    ub_s = ub_score_topk_temporal(u, i, a)</w:t>
      </w:r>
    </w:p>
    <w:p>
      <w:pPr>
        <w:spacing w:after="20" w:before="20"/>
        <w:ind w:left="567"/>
      </w:pPr>
      <w:r>
        <w:rPr>
          <w:rFonts w:ascii="Courier New" w:hAnsi="Courier New"/>
          <w:color w:val="1A4F8A"/>
          <w:sz w:val="20"/>
        </w:rPr>
        <w:t xml:space="preserve">    ib_s = ib_score_topk_temporal(u, i, a)</w:t>
      </w:r>
    </w:p>
    <w:p>
      <w:pPr>
        <w:spacing w:after="20" w:before="20"/>
        <w:ind w:left="567"/>
      </w:pPr>
      <w:r>
        <w:rPr>
          <w:rFonts w:ascii="Courier New" w:hAnsi="Courier New"/>
          <w:color w:val="1A4F8A"/>
          <w:sz w:val="20"/>
        </w:rPr>
        <w:t xml:space="preserve">    hybrid[y] = max(ub_s[y], 1e-300)**w_ub * max(ib_s[y], 1e-300)**w_ib</w:t>
      </w:r>
    </w:p>
    <w:p>
      <w:pPr>
        <w:spacing w:after="80"/>
        <w:jc w:val="both"/>
      </w:pPr>
      <w:r>
        <w:rPr>
          <w:rFonts w:ascii="Times New Roman" w:hAnsi="Times New Roman"/>
          <w:b w:val="0"/>
          <w:i w:val="0"/>
          <w:sz w:val="24"/>
        </w:rPr>
        <w:t>Calls the two Top-K temporal score functions then combines them with the same adaptive geometric weights as the original hybrid. 1e-300 floor prevents log(0) errors.</w:t>
      </w:r>
    </w:p>
    <w:p>
      <w:pPr>
        <w:pStyle w:val="Heading1"/>
        <w:jc w:val="left"/>
      </w:pPr>
      <w:r>
        <w:rPr>
          <w:rFonts w:ascii="Times New Roman" w:hAnsi="Times New Roman"/>
          <w:color w:val="1A4F8A"/>
        </w:rPr>
        <w:t>Section 5 — Main Evaluation Loop</w:t>
      </w:r>
    </w:p>
    <w:p>
      <w:pPr>
        <w:spacing w:after="20" w:before="20"/>
        <w:ind w:left="567"/>
      </w:pPr>
      <w:r>
        <w:rPr>
          <w:rFonts w:ascii="Courier New" w:hAnsi="Courier New"/>
          <w:color w:val="1A4F8A"/>
          <w:sz w:val="20"/>
        </w:rPr>
        <w:t>eval_df = test_df[test_df['user_id'].isin(small_users)].head(1000)</w:t>
      </w:r>
    </w:p>
    <w:p>
      <w:pPr>
        <w:spacing w:after="80"/>
        <w:jc w:val="both"/>
      </w:pPr>
      <w:r>
        <w:rPr>
          <w:rFonts w:ascii="Times New Roman" w:hAnsi="Times New Roman"/>
          <w:b w:val="0"/>
          <w:i w:val="0"/>
          <w:sz w:val="24"/>
        </w:rPr>
        <w:t>1,000 test rows from users with 20–30 training ratings. Same subset as midterm to enable direct before/after comparison.</w:t>
      </w:r>
    </w:p>
    <w:p>
      <w:pPr>
        <w:spacing w:after="20" w:before="20"/>
        <w:ind w:left="567"/>
      </w:pPr>
      <w:r>
        <w:rPr>
          <w:rFonts w:ascii="Courier New" w:hAnsi="Courier New"/>
          <w:color w:val="1A4F8A"/>
          <w:sz w:val="20"/>
        </w:rPr>
        <w:t>rmse_htk = np.sqrt(np.mean(np.array(errors_htk) ** 2))</w:t>
      </w:r>
    </w:p>
    <w:p>
      <w:pPr>
        <w:spacing w:after="80"/>
        <w:jc w:val="both"/>
      </w:pPr>
      <w:r>
        <w:rPr>
          <w:rFonts w:ascii="Times New Roman" w:hAnsi="Times New Roman"/>
          <w:b w:val="0"/>
          <w:i w:val="0"/>
          <w:sz w:val="24"/>
        </w:rPr>
        <w:t>[NEW] RMSE: takes squared errors, averages them, takes the square root. Larger errors contribute disproportionately compared to MAE.</w:t>
      </w:r>
    </w:p>
    <w:p>
      <w:pPr>
        <w:spacing w:after="20" w:before="20"/>
        <w:ind w:left="567"/>
      </w:pPr>
      <w:r>
        <w:rPr>
          <w:rFonts w:ascii="Courier New" w:hAnsi="Courier New"/>
          <w:color w:val="1A4F8A"/>
          <w:sz w:val="20"/>
        </w:rPr>
        <w:t>confidences_max.append(confidence_maxprob(ubtk_s))</w:t>
      </w:r>
    </w:p>
    <w:p>
      <w:pPr>
        <w:spacing w:after="80"/>
        <w:jc w:val="both"/>
      </w:pPr>
      <w:r>
        <w:rPr>
          <w:rFonts w:ascii="Times New Roman" w:hAnsi="Times New Roman"/>
          <w:b w:val="0"/>
          <w:i w:val="0"/>
          <w:sz w:val="24"/>
        </w:rPr>
        <w:t>[NEW] Records max-probability confidence for each prediction using the UB Top-K Temporal scores.</w:t>
      </w:r>
    </w:p>
    <w:p>
      <w:pPr>
        <w:spacing w:after="20" w:before="20"/>
        <w:ind w:left="567"/>
      </w:pPr>
      <w:r>
        <w:rPr>
          <w:rFonts w:ascii="Courier New" w:hAnsi="Courier New"/>
          <w:color w:val="1A4F8A"/>
          <w:sz w:val="20"/>
        </w:rPr>
        <w:t>cm_full = confusion_matrix(actuals, preds_htk, labels=R_values)</w:t>
      </w:r>
    </w:p>
    <w:p>
      <w:pPr>
        <w:spacing w:after="80"/>
        <w:jc w:val="both"/>
      </w:pPr>
      <w:r>
        <w:rPr>
          <w:rFonts w:ascii="Times New Roman" w:hAnsi="Times New Roman"/>
          <w:b w:val="0"/>
          <w:i w:val="0"/>
          <w:sz w:val="24"/>
        </w:rPr>
        <w:t>Builds the 5×5 confusion matrix for the best model (TopK+Temporal). Each entry [i][j] counts how many actual rating-i predictions were made as j.</w:t>
      </w:r>
    </w:p>
    <w:p>
      <w:pPr>
        <w:pStyle w:val="Heading1"/>
        <w:jc w:val="left"/>
      </w:pPr>
      <w:r>
        <w:rPr>
          <w:rFonts w:ascii="Times New Roman" w:hAnsi="Times New Roman"/>
          <w:color w:val="1A4F8A"/>
        </w:rPr>
        <w:t>Section 6 — User Group Evaluation [NEW]</w:t>
      </w:r>
    </w:p>
    <w:p>
      <w:pPr>
        <w:spacing w:after="20" w:before="20"/>
        <w:ind w:left="567"/>
      </w:pPr>
      <w:r>
        <w:rPr>
          <w:rFonts w:ascii="Courier New" w:hAnsi="Courier New"/>
          <w:color w:val="1A4F8A"/>
          <w:sz w:val="20"/>
        </w:rPr>
        <w:t>groups = {'Light': ..., 'Medium': ..., 'Heavy': ...}</w:t>
      </w:r>
    </w:p>
    <w:p>
      <w:pPr>
        <w:spacing w:after="80"/>
        <w:jc w:val="both"/>
      </w:pPr>
      <w:r>
        <w:rPr>
          <w:rFonts w:ascii="Times New Roman" w:hAnsi="Times New Roman"/>
          <w:b w:val="0"/>
          <w:i w:val="0"/>
          <w:sz w:val="24"/>
        </w:rPr>
        <w:t>Partitions training users into three activity groups. Light: 10–30 ratings (1,241 users). Medium: 31–100 (2,361 users). Heavy: &gt;100 (2,438 users). No cold users (&lt; 10) exist in MovieLens-1M — the dataset was filtered to include only active users.</w:t>
      </w:r>
    </w:p>
    <w:p>
      <w:pPr>
        <w:spacing w:after="20" w:before="20"/>
        <w:ind w:left="567"/>
      </w:pPr>
      <w:r>
        <w:rPr>
          <w:rFonts w:ascii="Courier New" w:hAnsi="Courier New"/>
          <w:color w:val="1A4F8A"/>
          <w:sz w:val="20"/>
        </w:rPr>
        <w:t>subset = test_df[test_df['user_id'].isin(uset)].head(GROUP_SAMPLES)</w:t>
      </w:r>
    </w:p>
    <w:p>
      <w:pPr>
        <w:spacing w:after="80"/>
        <w:jc w:val="both"/>
      </w:pPr>
      <w:r>
        <w:rPr>
          <w:rFonts w:ascii="Times New Roman" w:hAnsi="Times New Roman"/>
          <w:b w:val="0"/>
          <w:i w:val="0"/>
          <w:sz w:val="24"/>
        </w:rPr>
        <w:t>Takes up to 300 test samples from each group. Running both Temporal and TopK+Temporal on 900 total samples adds about 60 seconds of runtime.</w:t>
      </w:r>
    </w:p>
    <w:p>
      <w:pPr>
        <w:pStyle w:val="Heading1"/>
        <w:jc w:val="left"/>
      </w:pPr>
      <w:r>
        <w:rPr>
          <w:rFonts w:ascii="Times New Roman" w:hAnsi="Times New Roman"/>
          <w:color w:val="1A4F8A"/>
        </w:rPr>
        <w:t>Section 7 — Alpha Sensitivity Analysis [NEW]</w:t>
      </w:r>
    </w:p>
    <w:p>
      <w:pPr>
        <w:spacing w:after="20" w:before="20"/>
        <w:ind w:left="567"/>
      </w:pPr>
      <w:r>
        <w:rPr>
          <w:rFonts w:ascii="Courier New" w:hAnsi="Courier New"/>
          <w:color w:val="1A4F8A"/>
          <w:sz w:val="20"/>
        </w:rPr>
        <w:t>alpha_values = [0.001, 0.01, 0.1, 0.5, 1.0]</w:t>
      </w:r>
    </w:p>
    <w:p>
      <w:pPr>
        <w:spacing w:after="80"/>
        <w:jc w:val="both"/>
      </w:pPr>
      <w:r>
        <w:rPr>
          <w:rFonts w:ascii="Times New Roman" w:hAnsi="Times New Roman"/>
          <w:b w:val="0"/>
          <w:i w:val="0"/>
          <w:sz w:val="24"/>
        </w:rPr>
        <w:t>Tests five orders of magnitude for Laplace smoothing. Very small α (0.001) trusts empirical frequencies; very large α (1.0) pulls all probabilities toward uniform. The alpha parameter is passed explicitly to ub_score() and ub_score_temporal() to override the global ALPHA.</w:t>
      </w:r>
    </w:p>
    <w:p>
      <w:pPr>
        <w:pStyle w:val="Heading1"/>
        <w:jc w:val="left"/>
      </w:pPr>
      <w:r>
        <w:rPr>
          <w:rFonts w:ascii="Times New Roman" w:hAnsi="Times New Roman"/>
          <w:color w:val="1A4F8A"/>
        </w:rPr>
        <w:t>Section 8 — Sustainability / Latency</w:t>
      </w:r>
    </w:p>
    <w:p>
      <w:pPr>
        <w:spacing w:after="20" w:before="20"/>
        <w:ind w:left="567"/>
      </w:pPr>
      <w:r>
        <w:rPr>
          <w:rFonts w:ascii="Courier New" w:hAnsi="Courier New"/>
          <w:color w:val="1A4F8A"/>
          <w:sz w:val="20"/>
        </w:rPr>
        <w:t>avg_lat_htk = np.mean(latencies_htk) * 1000</w:t>
      </w:r>
    </w:p>
    <w:p>
      <w:pPr>
        <w:spacing w:after="20" w:before="20"/>
        <w:ind w:left="567"/>
      </w:pPr>
      <w:r>
        <w:rPr>
          <w:rFonts w:ascii="Courier New" w:hAnsi="Courier New"/>
          <w:color w:val="1A4F8A"/>
          <w:sz w:val="20"/>
        </w:rPr>
        <w:t>p95_lat_htk = np.percentile(latencies_htk, 95) * 1000</w:t>
      </w:r>
    </w:p>
    <w:p>
      <w:pPr>
        <w:spacing w:after="80"/>
        <w:jc w:val="both"/>
      </w:pPr>
      <w:r>
        <w:rPr>
          <w:rFonts w:ascii="Times New Roman" w:hAnsi="Times New Roman"/>
          <w:b w:val="0"/>
          <w:i w:val="0"/>
          <w:sz w:val="24"/>
        </w:rPr>
        <w:t>Average and 95th-percentile latency in milliseconds. p95 is the tail latency — the worst-case time for 95% of predictions.</w:t>
      </w:r>
    </w:p>
    <w:p>
      <w:pPr>
        <w:pStyle w:val="Heading1"/>
        <w:jc w:val="left"/>
      </w:pPr>
      <w:r>
        <w:rPr>
          <w:rFonts w:ascii="Times New Roman" w:hAnsi="Times New Roman"/>
          <w:color w:val="1A4F8A"/>
        </w:rPr>
        <w:t>Section 9 — Output Explanations</w:t>
      </w:r>
    </w:p>
    <w:p>
      <w:pPr>
        <w:spacing w:after="120"/>
        <w:jc w:val="both"/>
      </w:pPr>
      <w:r>
        <w:rPr>
          <w:rFonts w:ascii="Times New Roman" w:hAnsi="Times New Roman"/>
          <w:b w:val="0"/>
          <w:i w:val="0"/>
          <w:sz w:val="24"/>
        </w:rPr>
        <w:t>All figures and tables are generated by Sections 5–8 of nbcf_final.py and written to the outputs/ directory. Each output is reproduced below with a technical interpretation of what it reveals about model behavior.</w:t>
      </w:r>
    </w:p>
    <w:p>
      <w:pPr>
        <w:pStyle w:val="Heading2"/>
        <w:jc w:val="left"/>
      </w:pPr>
      <w:r>
        <w:rPr>
          <w:rFonts w:ascii="Times New Roman" w:hAnsi="Times New Roman"/>
          <w:color w:val="1A4F8A"/>
        </w:rPr>
        <w:t>Tables 1–5 — Algorithm Walkthrough</w:t>
      </w:r>
    </w:p>
    <w:p>
      <w:pPr>
        <w:spacing w:after="120"/>
        <w:jc w:val="both"/>
      </w:pPr>
      <w:r>
        <w:rPr>
          <w:rFonts w:ascii="Times New Roman" w:hAnsi="Times New Roman"/>
          <w:b w:val="0"/>
          <w:i w:val="0"/>
          <w:sz w:val="24"/>
        </w:rPr>
        <w:t>Tables 1–5 provide a step-by-step trace of the NBCF computation for a concrete user–item pair sampled from ML-1M. Table 1 renders a rating matrix excerpt that illustrates the 95.53% sparsity structure: missing entries (marked '•') dominate every row and column. Tables 2 and 3 display the Laplace-smoothed prior probabilities P(y|i) and user-based conditional likelihoods P(r_{u,j}=k | y, i) for the target pair. Likelihood values near 0.2 indicate that no co-occurrence observations exist between item j and rating class y, causing the estimate to revert toward the uniform baseline introduced by the α=0.01 smoothing term. Tables 4 and 5 present the analogous item-based quantities and the full posterior score comparison across all nine model variants; the asterisk (*) marks the MAP prediction for each variant.</w:t>
      </w:r>
    </w:p>
    <w:p>
      <w:pPr>
        <w:spacing w:before="80"/>
        <w:jc w:val="center"/>
      </w:pPr>
      <w:r>
        <w:drawing>
          <wp:inline xmlns:a="http://schemas.openxmlformats.org/drawingml/2006/main" xmlns:pic="http://schemas.openxmlformats.org/drawingml/2006/picture">
            <wp:extent cx="4680000" cy="1367758"/>
            <wp:docPr id="1" name="Picture 1"/>
            <wp:cNvGraphicFramePr>
              <a:graphicFrameLocks noChangeAspect="1"/>
            </wp:cNvGraphicFramePr>
            <a:graphic>
              <a:graphicData uri="http://schemas.openxmlformats.org/drawingml/2006/picture">
                <pic:pic>
                  <pic:nvPicPr>
                    <pic:cNvPr id="0" name="table1_rating_matrix.png"/>
                    <pic:cNvPicPr/>
                  </pic:nvPicPr>
                  <pic:blipFill>
                    <a:blip r:embed="rId9"/>
                    <a:stretch>
                      <a:fillRect/>
                    </a:stretch>
                  </pic:blipFill>
                  <pic:spPr>
                    <a:xfrm>
                      <a:off x="0" y="0"/>
                      <a:ext cx="4680000" cy="1367758"/>
                    </a:xfrm>
                    <a:prstGeom prst="rect"/>
                  </pic:spPr>
                </pic:pic>
              </a:graphicData>
            </a:graphic>
          </wp:inline>
        </w:drawing>
      </w:r>
    </w:p>
    <w:p>
      <w:pPr>
        <w:spacing w:before="40" w:after="200"/>
        <w:jc w:val="center"/>
      </w:pPr>
      <w:r>
        <w:rPr>
          <w:rFonts w:ascii="Times New Roman" w:hAnsi="Times New Roman"/>
          <w:i/>
          <w:sz w:val="20"/>
        </w:rPr>
        <w:t>Table 1. Rating matrix excerpt (ML-1M). Missing entries shown as '•'.</w:t>
      </w:r>
    </w:p>
    <w:p>
      <w:pPr>
        <w:spacing w:before="80"/>
        <w:jc w:val="center"/>
      </w:pPr>
      <w:r>
        <w:drawing>
          <wp:inline xmlns:a="http://schemas.openxmlformats.org/drawingml/2006/main" xmlns:pic="http://schemas.openxmlformats.org/drawingml/2006/picture">
            <wp:extent cx="4680000" cy="2785939"/>
            <wp:docPr id="2" name="Picture 2"/>
            <wp:cNvGraphicFramePr>
              <a:graphicFrameLocks noChangeAspect="1"/>
            </wp:cNvGraphicFramePr>
            <a:graphic>
              <a:graphicData uri="http://schemas.openxmlformats.org/drawingml/2006/picture">
                <pic:pic>
                  <pic:nvPicPr>
                    <pic:cNvPr id="0" name="table2_3_priors_likelihood.png"/>
                    <pic:cNvPicPr/>
                  </pic:nvPicPr>
                  <pic:blipFill>
                    <a:blip r:embed="rId10"/>
                    <a:stretch>
                      <a:fillRect/>
                    </a:stretch>
                  </pic:blipFill>
                  <pic:spPr>
                    <a:xfrm>
                      <a:off x="0" y="0"/>
                      <a:ext cx="4680000" cy="2785939"/>
                    </a:xfrm>
                    <a:prstGeom prst="rect"/>
                  </pic:spPr>
                </pic:pic>
              </a:graphicData>
            </a:graphic>
          </wp:inline>
        </w:drawing>
      </w:r>
    </w:p>
    <w:p>
      <w:pPr>
        <w:spacing w:before="40" w:after="200"/>
        <w:jc w:val="center"/>
      </w:pPr>
      <w:r>
        <w:rPr>
          <w:rFonts w:ascii="Times New Roman" w:hAnsi="Times New Roman"/>
          <w:i/>
          <w:sz w:val="20"/>
        </w:rPr>
        <w:t>Tables 2–3. Laplace-smoothed prior probabilities and UB likelihoods for the running example.</w:t>
      </w:r>
    </w:p>
    <w:p>
      <w:pPr>
        <w:spacing w:before="80"/>
        <w:jc w:val="center"/>
      </w:pPr>
      <w:r>
        <w:drawing>
          <wp:inline xmlns:a="http://schemas.openxmlformats.org/drawingml/2006/main" xmlns:pic="http://schemas.openxmlformats.org/drawingml/2006/picture">
            <wp:extent cx="4680000" cy="2795394"/>
            <wp:docPr id="3" name="Picture 3"/>
            <wp:cNvGraphicFramePr>
              <a:graphicFrameLocks noChangeAspect="1"/>
            </wp:cNvGraphicFramePr>
            <a:graphic>
              <a:graphicData uri="http://schemas.openxmlformats.org/drawingml/2006/picture">
                <pic:pic>
                  <pic:nvPicPr>
                    <pic:cNvPr id="0" name="table4_5_ib_scores.png"/>
                    <pic:cNvPicPr/>
                  </pic:nvPicPr>
                  <pic:blipFill>
                    <a:blip r:embed="rId11"/>
                    <a:stretch>
                      <a:fillRect/>
                    </a:stretch>
                  </pic:blipFill>
                  <pic:spPr>
                    <a:xfrm>
                      <a:off x="0" y="0"/>
                      <a:ext cx="4680000" cy="2795394"/>
                    </a:xfrm>
                    <a:prstGeom prst="rect"/>
                  </pic:spPr>
                </pic:pic>
              </a:graphicData>
            </a:graphic>
          </wp:inline>
        </w:drawing>
      </w:r>
    </w:p>
    <w:p>
      <w:pPr>
        <w:spacing w:before="40" w:after="200"/>
        <w:jc w:val="center"/>
      </w:pPr>
      <w:r>
        <w:rPr>
          <w:rFonts w:ascii="Times New Roman" w:hAnsi="Times New Roman"/>
          <w:i/>
          <w:sz w:val="20"/>
        </w:rPr>
        <w:t>Tables 4–5. IB likelihoods and full posterior score table for all nine model variants.</w:t>
      </w:r>
    </w:p>
    <w:p>
      <w:pPr>
        <w:pStyle w:val="Heading2"/>
        <w:jc w:val="left"/>
      </w:pPr>
      <w:r>
        <w:rPr>
          <w:rFonts w:ascii="Times New Roman" w:hAnsi="Times New Roman"/>
          <w:color w:val="1A4F8A"/>
        </w:rPr>
        <w:t>Figure 1 — Confusion Matrices</w:t>
      </w:r>
    </w:p>
    <w:p>
      <w:pPr>
        <w:spacing w:after="120"/>
        <w:jc w:val="both"/>
      </w:pPr>
      <w:r>
        <w:rPr>
          <w:rFonts w:ascii="Times New Roman" w:hAnsi="Times New Roman"/>
          <w:b w:val="0"/>
          <w:i w:val="0"/>
          <w:sz w:val="24"/>
        </w:rPr>
        <w:t>The four panels characterize the classification behavior of the TopK+Temporal model. Panels (a) and (b) present the 5-class confusion matrix in raw counts and row-normalized form; panels (c) and (d) collapse the task to a binary Like (rating ≥ 4) / Dislike (rating &lt; 4) decision. The normalized diagonal quantifies per-class recall. Systematic off-diagonal concentration in rows 1 and 2 reflects the modal-class bias inherent in NBCF: training evidence for rare classes is sparse, causing the model to predict the high-frequency classes (3, 4) more often than the ground truth warrants. The binary confusion matrix (panels c–d) shows substantially better discrimination, consistent with the higher binary F1 reported in Table 7.</w:t>
      </w:r>
    </w:p>
    <w:p>
      <w:pPr>
        <w:spacing w:before="80"/>
        <w:jc w:val="center"/>
      </w:pPr>
      <w:r>
        <w:drawing>
          <wp:inline xmlns:a="http://schemas.openxmlformats.org/drawingml/2006/main" xmlns:pic="http://schemas.openxmlformats.org/drawingml/2006/picture">
            <wp:extent cx="4680000" cy="3892190"/>
            <wp:docPr id="4" name="Picture 4"/>
            <wp:cNvGraphicFramePr>
              <a:graphicFrameLocks noChangeAspect="1"/>
            </wp:cNvGraphicFramePr>
            <a:graphic>
              <a:graphicData uri="http://schemas.openxmlformats.org/drawingml/2006/picture">
                <pic:pic>
                  <pic:nvPicPr>
                    <pic:cNvPr id="0" name="figure1_confusion_matrices.png"/>
                    <pic:cNvPicPr/>
                  </pic:nvPicPr>
                  <pic:blipFill>
                    <a:blip r:embed="rId12"/>
                    <a:stretch>
                      <a:fillRect/>
                    </a:stretch>
                  </pic:blipFill>
                  <pic:spPr>
                    <a:xfrm>
                      <a:off x="0" y="0"/>
                      <a:ext cx="4680000" cy="3892190"/>
                    </a:xfrm>
                    <a:prstGeom prst="rect"/>
                  </pic:spPr>
                </pic:pic>
              </a:graphicData>
            </a:graphic>
          </wp:inline>
        </w:drawing>
      </w:r>
    </w:p>
    <w:p>
      <w:pPr>
        <w:spacing w:before="40" w:after="200"/>
        <w:jc w:val="center"/>
      </w:pPr>
      <w:r>
        <w:rPr>
          <w:rFonts w:ascii="Times New Roman" w:hAnsi="Times New Roman"/>
          <w:i/>
          <w:sz w:val="20"/>
        </w:rPr>
        <w:t>Figure 1. Confusion matrices for TopK+Temporal: 5-class and binary (Like/Dislike).</w:t>
      </w:r>
    </w:p>
    <w:p>
      <w:pPr>
        <w:pStyle w:val="Heading2"/>
        <w:jc w:val="left"/>
      </w:pPr>
      <w:r>
        <w:rPr>
          <w:rFonts w:ascii="Times New Roman" w:hAnsi="Times New Roman"/>
          <w:color w:val="1A4F8A"/>
        </w:rPr>
        <w:t>Figure 2 — MAE and RMSE Comparison</w:t>
      </w:r>
    </w:p>
    <w:p>
      <w:pPr>
        <w:spacing w:after="120"/>
        <w:jc w:val="both"/>
      </w:pPr>
      <w:r>
        <w:rPr>
          <w:rFonts w:ascii="Times New Roman" w:hAnsi="Times New Roman"/>
          <w:b w:val="0"/>
          <w:i w:val="0"/>
          <w:sz w:val="24"/>
        </w:rPr>
        <w:t>The grouped bar chart presents MAE (left panel) and RMSE (right panel) for all five model variants. RMSE bars consistently exceed their MAE counterparts because RMSE penalizes large errors quadratically, amplifying the contribution of outlier predictions. The pronounced gap between UB (MAE=0.861) and IB (MAE=2.335) demonstrates the noise introduced by uninformative co-raters on popular items — a problem that Top-K selection mitigates for UB but only partially resolves for the IB component. The near-identical bars for Temporal and TopK+Temporal confirm that the K=30 approximation preserves accuracy while reducing latency by 59%.</w:t>
      </w:r>
    </w:p>
    <w:p>
      <w:pPr>
        <w:spacing w:before="80"/>
        <w:jc w:val="center"/>
      </w:pPr>
      <w:r>
        <w:drawing>
          <wp:inline xmlns:a="http://schemas.openxmlformats.org/drawingml/2006/main" xmlns:pic="http://schemas.openxmlformats.org/drawingml/2006/picture">
            <wp:extent cx="4680000" cy="1407628"/>
            <wp:docPr id="5" name="Picture 5"/>
            <wp:cNvGraphicFramePr>
              <a:graphicFrameLocks noChangeAspect="1"/>
            </wp:cNvGraphicFramePr>
            <a:graphic>
              <a:graphicData uri="http://schemas.openxmlformats.org/drawingml/2006/picture">
                <pic:pic>
                  <pic:nvPicPr>
                    <pic:cNvPr id="0" name="figure2_mae_rmse_comparison.png"/>
                    <pic:cNvPicPr/>
                  </pic:nvPicPr>
                  <pic:blipFill>
                    <a:blip r:embed="rId13"/>
                    <a:stretch>
                      <a:fillRect/>
                    </a:stretch>
                  </pic:blipFill>
                  <pic:spPr>
                    <a:xfrm>
                      <a:off x="0" y="0"/>
                      <a:ext cx="4680000" cy="1407628"/>
                    </a:xfrm>
                    <a:prstGeom prst="rect"/>
                  </pic:spPr>
                </pic:pic>
              </a:graphicData>
            </a:graphic>
          </wp:inline>
        </w:drawing>
      </w:r>
    </w:p>
    <w:p>
      <w:pPr>
        <w:spacing w:before="40" w:after="200"/>
        <w:jc w:val="center"/>
      </w:pPr>
      <w:r>
        <w:rPr>
          <w:rFonts w:ascii="Times New Roman" w:hAnsi="Times New Roman"/>
          <w:i/>
          <w:sz w:val="20"/>
        </w:rPr>
        <w:t>Figure 2. MAE and RMSE comparison across all five NBCF variants.</w:t>
      </w:r>
    </w:p>
    <w:p>
      <w:pPr>
        <w:pStyle w:val="Heading2"/>
        <w:jc w:val="left"/>
      </w:pPr>
      <w:r>
        <w:rPr>
          <w:rFonts w:ascii="Times New Roman" w:hAnsi="Times New Roman"/>
          <w:color w:val="1A4F8A"/>
        </w:rPr>
        <w:t>Figure 3 — Per-Class F1</w:t>
      </w:r>
    </w:p>
    <w:p>
      <w:pPr>
        <w:spacing w:after="120"/>
        <w:jc w:val="both"/>
      </w:pPr>
      <w:r>
        <w:rPr>
          <w:rFonts w:ascii="Times New Roman" w:hAnsi="Times New Roman"/>
          <w:b w:val="0"/>
          <w:i w:val="0"/>
          <w:sz w:val="24"/>
        </w:rPr>
        <w:t>The grouped bars represent per-class F1 for the Hybrid, Temporal, and TopK+Temporal variants across all five rating classes. F1 is highest for class 4 because it accounts for approximately 38% of ML-1M training ratings, providing the densest likelihood estimates for that class. Classes 1 and 2 yield near-zero F1 across all variants — a direct consequence of class imbalance combined with the Laplace prior pulling probability mass away from unseen rating classes rather than toward them. The marginal differences between Temporal and TopK+Temporal fall within the variance expected for a 1,000-sample evaluation.</w:t>
      </w:r>
    </w:p>
    <w:p>
      <w:pPr>
        <w:spacing w:before="80"/>
        <w:jc w:val="center"/>
      </w:pPr>
      <w:r>
        <w:drawing>
          <wp:inline xmlns:a="http://schemas.openxmlformats.org/drawingml/2006/main" xmlns:pic="http://schemas.openxmlformats.org/drawingml/2006/picture">
            <wp:extent cx="4680000" cy="2040270"/>
            <wp:docPr id="6" name="Picture 6"/>
            <wp:cNvGraphicFramePr>
              <a:graphicFrameLocks noChangeAspect="1"/>
            </wp:cNvGraphicFramePr>
            <a:graphic>
              <a:graphicData uri="http://schemas.openxmlformats.org/drawingml/2006/picture">
                <pic:pic>
                  <pic:nvPicPr>
                    <pic:cNvPr id="0" name="figure3_per_class_f1.png"/>
                    <pic:cNvPicPr/>
                  </pic:nvPicPr>
                  <pic:blipFill>
                    <a:blip r:embed="rId14"/>
                    <a:stretch>
                      <a:fillRect/>
                    </a:stretch>
                  </pic:blipFill>
                  <pic:spPr>
                    <a:xfrm>
                      <a:off x="0" y="0"/>
                      <a:ext cx="4680000" cy="2040270"/>
                    </a:xfrm>
                    <a:prstGeom prst="rect"/>
                  </pic:spPr>
                </pic:pic>
              </a:graphicData>
            </a:graphic>
          </wp:inline>
        </w:drawing>
      </w:r>
    </w:p>
    <w:p>
      <w:pPr>
        <w:spacing w:before="40" w:after="200"/>
        <w:jc w:val="center"/>
      </w:pPr>
      <w:r>
        <w:rPr>
          <w:rFonts w:ascii="Times New Roman" w:hAnsi="Times New Roman"/>
          <w:i/>
          <w:sz w:val="20"/>
        </w:rPr>
        <w:t>Figure 3. Per-class F1 scores for the three main NBCF variants.</w:t>
      </w:r>
    </w:p>
    <w:p>
      <w:pPr>
        <w:pStyle w:val="Heading2"/>
        <w:jc w:val="left"/>
      </w:pPr>
      <w:r>
        <w:rPr>
          <w:rFonts w:ascii="Times New Roman" w:hAnsi="Times New Roman"/>
          <w:color w:val="1A4F8A"/>
        </w:rPr>
        <w:t>Figure 4 — Confidence Analysis</w:t>
      </w:r>
    </w:p>
    <w:p>
      <w:pPr>
        <w:spacing w:after="120"/>
        <w:jc w:val="both"/>
      </w:pPr>
      <w:r>
        <w:rPr>
          <w:rFonts w:ascii="Times New Roman" w:hAnsi="Times New Roman"/>
          <w:b w:val="0"/>
          <w:i w:val="0"/>
          <w:sz w:val="24"/>
        </w:rPr>
        <w:t>Panel (a) plots the distribution of max-probability confidence scores over the 1,000-sample test set. The right-skewed shape — peaked in the 0.30–0.55 range — reflects the intrinsic uncertainty of 5-class rating prediction; scores near 1.0 are rare and indicate that a single class strongly dominates the posterior. The dashed vertical line marks the operating threshold τ=0.45. Panel (b) plots mean MAE per confidence bucket, revealing a monotonic relationship: higher confidence corresponds to lower prediction error. This confirms that the max-probability measure functions as a meaningful calibrated uncertainty proxy and justifies its use as an abstention criterion.</w:t>
      </w:r>
    </w:p>
    <w:p>
      <w:pPr>
        <w:spacing w:before="80"/>
        <w:jc w:val="center"/>
      </w:pPr>
      <w:r>
        <w:drawing>
          <wp:inline xmlns:a="http://schemas.openxmlformats.org/drawingml/2006/main" xmlns:pic="http://schemas.openxmlformats.org/drawingml/2006/picture">
            <wp:extent cx="4680000" cy="1662029"/>
            <wp:docPr id="7" name="Picture 7"/>
            <wp:cNvGraphicFramePr>
              <a:graphicFrameLocks noChangeAspect="1"/>
            </wp:cNvGraphicFramePr>
            <a:graphic>
              <a:graphicData uri="http://schemas.openxmlformats.org/drawingml/2006/picture">
                <pic:pic>
                  <pic:nvPicPr>
                    <pic:cNvPr id="0" name="figure4_confidence.png"/>
                    <pic:cNvPicPr/>
                  </pic:nvPicPr>
                  <pic:blipFill>
                    <a:blip r:embed="rId15"/>
                    <a:stretch>
                      <a:fillRect/>
                    </a:stretch>
                  </pic:blipFill>
                  <pic:spPr>
                    <a:xfrm>
                      <a:off x="0" y="0"/>
                      <a:ext cx="4680000" cy="1662029"/>
                    </a:xfrm>
                    <a:prstGeom prst="rect"/>
                  </pic:spPr>
                </pic:pic>
              </a:graphicData>
            </a:graphic>
          </wp:inline>
        </w:drawing>
      </w:r>
    </w:p>
    <w:p>
      <w:pPr>
        <w:spacing w:before="40" w:after="200"/>
        <w:jc w:val="center"/>
      </w:pPr>
      <w:r>
        <w:rPr>
          <w:rFonts w:ascii="Times New Roman" w:hAnsi="Times New Roman"/>
          <w:i/>
          <w:sz w:val="20"/>
        </w:rPr>
        <w:t>Figure 4. Confidence score distribution (left) and MAE per confidence bucket (right).</w:t>
      </w:r>
    </w:p>
    <w:p>
      <w:pPr>
        <w:pStyle w:val="Heading2"/>
        <w:jc w:val="left"/>
      </w:pPr>
      <w:r>
        <w:rPr>
          <w:rFonts w:ascii="Times New Roman" w:hAnsi="Times New Roman"/>
          <w:color w:val="1A4F8A"/>
        </w:rPr>
        <w:t>Figure 5 — Rating Distribution</w:t>
      </w:r>
    </w:p>
    <w:p>
      <w:pPr>
        <w:spacing w:after="120"/>
        <w:jc w:val="both"/>
      </w:pPr>
      <w:r>
        <w:rPr>
          <w:rFonts w:ascii="Times New Roman" w:hAnsi="Times New Roman"/>
          <w:b w:val="0"/>
          <w:i w:val="0"/>
          <w:sz w:val="24"/>
        </w:rPr>
        <w:t>Panel (a) compares the empirical rating distribution of the test set against the predicted distribution for all three main variants. Every model over-predicts class 4, mirroring the training distribution imbalance — the NBCF posterior is pulled toward the empirical mode rather than fitting the full distribution shape. Panel (b) plots per-class MAE, showing that extreme ground-truth classes (1 and 5) carry the highest individual errors. This is an expected consequence of the smoothed prior: when actual ratings are far from the modal class, the posterior's attraction to that mode inflates the absolute error.</w:t>
      </w:r>
    </w:p>
    <w:p>
      <w:pPr>
        <w:spacing w:before="80"/>
        <w:jc w:val="center"/>
      </w:pPr>
      <w:r>
        <w:drawing>
          <wp:inline xmlns:a="http://schemas.openxmlformats.org/drawingml/2006/main" xmlns:pic="http://schemas.openxmlformats.org/drawingml/2006/picture">
            <wp:extent cx="4680000" cy="1664890"/>
            <wp:docPr id="8" name="Picture 8"/>
            <wp:cNvGraphicFramePr>
              <a:graphicFrameLocks noChangeAspect="1"/>
            </wp:cNvGraphicFramePr>
            <a:graphic>
              <a:graphicData uri="http://schemas.openxmlformats.org/drawingml/2006/picture">
                <pic:pic>
                  <pic:nvPicPr>
                    <pic:cNvPr id="0" name="figure5_rating_distribution.png"/>
                    <pic:cNvPicPr/>
                  </pic:nvPicPr>
                  <pic:blipFill>
                    <a:blip r:embed="rId16"/>
                    <a:stretch>
                      <a:fillRect/>
                    </a:stretch>
                  </pic:blipFill>
                  <pic:spPr>
                    <a:xfrm>
                      <a:off x="0" y="0"/>
                      <a:ext cx="4680000" cy="1664890"/>
                    </a:xfrm>
                    <a:prstGeom prst="rect"/>
                  </pic:spPr>
                </pic:pic>
              </a:graphicData>
            </a:graphic>
          </wp:inline>
        </w:drawing>
      </w:r>
    </w:p>
    <w:p>
      <w:pPr>
        <w:spacing w:before="40" w:after="200"/>
        <w:jc w:val="center"/>
      </w:pPr>
      <w:r>
        <w:rPr>
          <w:rFonts w:ascii="Times New Roman" w:hAnsi="Times New Roman"/>
          <w:i/>
          <w:sz w:val="20"/>
        </w:rPr>
        <w:t>Figure 5. Actual vs predicted rating distribution (left) and per-class MAE (right).</w:t>
      </w:r>
    </w:p>
    <w:p>
      <w:pPr>
        <w:pStyle w:val="Heading2"/>
        <w:jc w:val="left"/>
      </w:pPr>
      <w:r>
        <w:rPr>
          <w:rFonts w:ascii="Times New Roman" w:hAnsi="Times New Roman"/>
          <w:color w:val="1A4F8A"/>
        </w:rPr>
        <w:t>Figure 6 — Latency and Throughput</w:t>
      </w:r>
    </w:p>
    <w:p>
      <w:pPr>
        <w:spacing w:after="120"/>
        <w:jc w:val="both"/>
      </w:pPr>
      <w:r>
        <w:rPr>
          <w:rFonts w:ascii="Times New Roman" w:hAnsi="Times New Roman"/>
          <w:b w:val="0"/>
          <w:i w:val="0"/>
          <w:sz w:val="24"/>
        </w:rPr>
        <w:t>Panel (a) overlays per-prediction latency histograms for the Temporal and TopK+Temporal models across 1,000 predictions. The TopK+Temporal distribution is shifted left (lower median) and narrower (lower variance), reflecting the O(K) bound on the inner scoring loop. Panel (b) plots predictions per second against user history depth. Full Temporal throughput degrades as history grows because the loop iterates over all past items; TopK+Temporal throughput remains stable at K=30 operations per prediction regardless of total item count, decoupling latency from user activity level.</w:t>
      </w:r>
    </w:p>
    <w:p>
      <w:pPr>
        <w:spacing w:before="80"/>
        <w:jc w:val="center"/>
      </w:pPr>
      <w:r>
        <w:drawing>
          <wp:inline xmlns:a="http://schemas.openxmlformats.org/drawingml/2006/main" xmlns:pic="http://schemas.openxmlformats.org/drawingml/2006/picture">
            <wp:extent cx="4680000" cy="1664890"/>
            <wp:docPr id="9" name="Picture 9"/>
            <wp:cNvGraphicFramePr>
              <a:graphicFrameLocks noChangeAspect="1"/>
            </wp:cNvGraphicFramePr>
            <a:graphic>
              <a:graphicData uri="http://schemas.openxmlformats.org/drawingml/2006/picture">
                <pic:pic>
                  <pic:nvPicPr>
                    <pic:cNvPr id="0" name="figure6_sustainability.png"/>
                    <pic:cNvPicPr/>
                  </pic:nvPicPr>
                  <pic:blipFill>
                    <a:blip r:embed="rId17"/>
                    <a:stretch>
                      <a:fillRect/>
                    </a:stretch>
                  </pic:blipFill>
                  <pic:spPr>
                    <a:xfrm>
                      <a:off x="0" y="0"/>
                      <a:ext cx="4680000" cy="1664890"/>
                    </a:xfrm>
                    <a:prstGeom prst="rect"/>
                  </pic:spPr>
                </pic:pic>
              </a:graphicData>
            </a:graphic>
          </wp:inline>
        </w:drawing>
      </w:r>
    </w:p>
    <w:p>
      <w:pPr>
        <w:spacing w:before="40" w:after="200"/>
        <w:jc w:val="center"/>
      </w:pPr>
      <w:r>
        <w:rPr>
          <w:rFonts w:ascii="Times New Roman" w:hAnsi="Times New Roman"/>
          <w:i/>
          <w:sz w:val="20"/>
        </w:rPr>
        <w:t>Figure 6. Per-prediction latency distribution (left) and throughput vs history depth (right).</w:t>
      </w:r>
    </w:p>
    <w:p>
      <w:pPr>
        <w:pStyle w:val="Heading2"/>
        <w:jc w:val="left"/>
      </w:pPr>
      <w:r>
        <w:rPr>
          <w:rFonts w:ascii="Times New Roman" w:hAnsi="Times New Roman"/>
          <w:color w:val="1A4F8A"/>
        </w:rPr>
        <w:t>Figure 7 — User Group Performance [NEW]</w:t>
      </w:r>
    </w:p>
    <w:p>
      <w:pPr>
        <w:spacing w:after="120"/>
        <w:jc w:val="both"/>
      </w:pPr>
      <w:r>
        <w:rPr>
          <w:rFonts w:ascii="Times New Roman" w:hAnsi="Times New Roman"/>
          <w:b w:val="0"/>
          <w:i w:val="0"/>
          <w:sz w:val="24"/>
        </w:rPr>
        <w:t>The bar charts decompose MAE (left) and RMSE (right) by user activity group for the Temporal and TopK+Temporal models. Light users (10–30 ratings) are unaffected by K=30 because their history never exceeds the cap. Medium users (31–100) benefit from Top-K neighborhood selection — a 6.2% MAE reduction — because the top-30 most-overlapping neighbors provide cleaner likelihood estimates than the full, unfiltered history. Heavy users (&gt;100 ratings) incur a slight regression (MAE 0.740 → 0.777) because K=30 occasionally discards genuinely informative neighbors beyond rank 30, suggesting that adaptive K scaling with user activity level is a productive direction for future work.</w:t>
      </w:r>
    </w:p>
    <w:p>
      <w:pPr>
        <w:spacing w:before="80"/>
        <w:jc w:val="center"/>
      </w:pPr>
      <w:r>
        <w:drawing>
          <wp:inline xmlns:a="http://schemas.openxmlformats.org/drawingml/2006/main" xmlns:pic="http://schemas.openxmlformats.org/drawingml/2006/picture">
            <wp:extent cx="4680000" cy="1669792"/>
            <wp:docPr id="10" name="Picture 10"/>
            <wp:cNvGraphicFramePr>
              <a:graphicFrameLocks noChangeAspect="1"/>
            </wp:cNvGraphicFramePr>
            <a:graphic>
              <a:graphicData uri="http://schemas.openxmlformats.org/drawingml/2006/picture">
                <pic:pic>
                  <pic:nvPicPr>
                    <pic:cNvPr id="0" name="figure7_user_groups.png"/>
                    <pic:cNvPicPr/>
                  </pic:nvPicPr>
                  <pic:blipFill>
                    <a:blip r:embed="rId18"/>
                    <a:stretch>
                      <a:fillRect/>
                    </a:stretch>
                  </pic:blipFill>
                  <pic:spPr>
                    <a:xfrm>
                      <a:off x="0" y="0"/>
                      <a:ext cx="4680000" cy="1669792"/>
                    </a:xfrm>
                    <a:prstGeom prst="rect"/>
                  </pic:spPr>
                </pic:pic>
              </a:graphicData>
            </a:graphic>
          </wp:inline>
        </w:drawing>
      </w:r>
    </w:p>
    <w:p>
      <w:pPr>
        <w:spacing w:before="40" w:after="200"/>
        <w:jc w:val="center"/>
      </w:pPr>
      <w:r>
        <w:rPr>
          <w:rFonts w:ascii="Times New Roman" w:hAnsi="Times New Roman"/>
          <w:i/>
          <w:sz w:val="20"/>
        </w:rPr>
        <w:t>Figure 7. MAE and RMSE by user activity group (Light / Medium / Heavy).</w:t>
      </w:r>
    </w:p>
    <w:p>
      <w:pPr>
        <w:pStyle w:val="Heading2"/>
        <w:jc w:val="left"/>
      </w:pPr>
      <w:r>
        <w:rPr>
          <w:rFonts w:ascii="Times New Roman" w:hAnsi="Times New Roman"/>
          <w:color w:val="1A4F8A"/>
        </w:rPr>
        <w:t>Figure 8 — Confidence Threshold Sweep [NEW]</w:t>
      </w:r>
    </w:p>
    <w:p>
      <w:pPr>
        <w:spacing w:after="120"/>
        <w:jc w:val="both"/>
      </w:pPr>
      <w:r>
        <w:rPr>
          <w:rFonts w:ascii="Times New Roman" w:hAnsi="Times New Roman"/>
          <w:b w:val="0"/>
          <w:i w:val="0"/>
          <w:sz w:val="24"/>
        </w:rPr>
        <w:t>The dual-axis chart plots coverage (fraction of predictions accepted; blue, left axis) and filtered MAE over accepted predictions (orange dashed, right axis) as the confidence threshold τ varies from 0.20 to 0.95. At the operating point τ=0.45, coverage is 29.3% and filtered MAE is 0.706 — an 11.5% improvement over the unfiltered MAE of 0.798. Both curves decrease monotonically as τ rises, confirming that the confidence measure is well-calibrated: higher-confidence predictions are systematically more accurate. The smooth trade-off curve allows the threshold to be tuned for specific deployment requirements balancing coverage against prediction quality.</w:t>
      </w:r>
    </w:p>
    <w:p>
      <w:pPr>
        <w:spacing w:before="80"/>
        <w:jc w:val="center"/>
      </w:pPr>
      <w:r>
        <w:drawing>
          <wp:inline xmlns:a="http://schemas.openxmlformats.org/drawingml/2006/main" xmlns:pic="http://schemas.openxmlformats.org/drawingml/2006/picture">
            <wp:extent cx="4680000" cy="2047500"/>
            <wp:docPr id="11" name="Picture 11"/>
            <wp:cNvGraphicFramePr>
              <a:graphicFrameLocks noChangeAspect="1"/>
            </wp:cNvGraphicFramePr>
            <a:graphic>
              <a:graphicData uri="http://schemas.openxmlformats.org/drawingml/2006/picture">
                <pic:pic>
                  <pic:nvPicPr>
                    <pic:cNvPr id="0" name="figure8_confidence_sweep.png"/>
                    <pic:cNvPicPr/>
                  </pic:nvPicPr>
                  <pic:blipFill>
                    <a:blip r:embed="rId19"/>
                    <a:stretch>
                      <a:fillRect/>
                    </a:stretch>
                  </pic:blipFill>
                  <pic:spPr>
                    <a:xfrm>
                      <a:off x="0" y="0"/>
                      <a:ext cx="4680000" cy="2047500"/>
                    </a:xfrm>
                    <a:prstGeom prst="rect"/>
                  </pic:spPr>
                </pic:pic>
              </a:graphicData>
            </a:graphic>
          </wp:inline>
        </w:drawing>
      </w:r>
    </w:p>
    <w:p>
      <w:pPr>
        <w:spacing w:before="40" w:after="200"/>
        <w:jc w:val="center"/>
      </w:pPr>
      <w:r>
        <w:rPr>
          <w:rFonts w:ascii="Times New Roman" w:hAnsi="Times New Roman"/>
          <w:i/>
          <w:sz w:val="20"/>
        </w:rPr>
        <w:t>Figure 8. Coverage–MAE trade-off as the confidence threshold τ is swept from 0.20 to 0.95.</w:t>
      </w:r>
    </w:p>
    <w:p>
      <w:pPr>
        <w:pStyle w:val="Heading2"/>
        <w:jc w:val="left"/>
      </w:pPr>
      <w:r>
        <w:rPr>
          <w:rFonts w:ascii="Times New Roman" w:hAnsi="Times New Roman"/>
          <w:color w:val="1A4F8A"/>
        </w:rPr>
        <w:t>Figure 9 — Alpha Sensitivity [NEW]</w:t>
      </w:r>
    </w:p>
    <w:p>
      <w:pPr>
        <w:spacing w:after="120"/>
        <w:jc w:val="both"/>
      </w:pPr>
      <w:r>
        <w:rPr>
          <w:rFonts w:ascii="Times New Roman" w:hAnsi="Times New Roman"/>
          <w:b w:val="0"/>
          <w:i w:val="0"/>
          <w:sz w:val="24"/>
        </w:rPr>
        <w:t>The log-scaled x-axis spans five values of the Laplace smoothing parameter α. The UB (no temporal; blue) curve exhibits a U-shaped profile with a minimum near α=0.1 (MAE=0.845): both under-smoothing (α=0.001, overfitting sparse likelihoods) and over-smoothing (α=1.0, collapsing toward the uniform prior) degrade accuracy. The UB+Temporal (orange) curve is nearly flat across α ≥ 0.01 (MAE ≈ 0.855), demonstrating that exponential recency weighting absorbs the variance otherwise regularized by α, making the temporal model robust to the choice of smoothing hyperparameter. The dashed vertical line marks the default α=0.01.</w:t>
      </w:r>
    </w:p>
    <w:p>
      <w:pPr>
        <w:spacing w:before="80"/>
        <w:jc w:val="center"/>
      </w:pPr>
      <w:r>
        <w:drawing>
          <wp:inline xmlns:a="http://schemas.openxmlformats.org/drawingml/2006/main" xmlns:pic="http://schemas.openxmlformats.org/drawingml/2006/picture">
            <wp:extent cx="4680000" cy="2294582"/>
            <wp:docPr id="12" name="Picture 12"/>
            <wp:cNvGraphicFramePr>
              <a:graphicFrameLocks noChangeAspect="1"/>
            </wp:cNvGraphicFramePr>
            <a:graphic>
              <a:graphicData uri="http://schemas.openxmlformats.org/drawingml/2006/picture">
                <pic:pic>
                  <pic:nvPicPr>
                    <pic:cNvPr id="0" name="figure9_alpha_sensitivity.png"/>
                    <pic:cNvPicPr/>
                  </pic:nvPicPr>
                  <pic:blipFill>
                    <a:blip r:embed="rId20"/>
                    <a:stretch>
                      <a:fillRect/>
                    </a:stretch>
                  </pic:blipFill>
                  <pic:spPr>
                    <a:xfrm>
                      <a:off x="0" y="0"/>
                      <a:ext cx="4680000" cy="2294582"/>
                    </a:xfrm>
                    <a:prstGeom prst="rect"/>
                  </pic:spPr>
                </pic:pic>
              </a:graphicData>
            </a:graphic>
          </wp:inline>
        </w:drawing>
      </w:r>
    </w:p>
    <w:p>
      <w:pPr>
        <w:spacing w:before="40" w:after="200"/>
        <w:jc w:val="center"/>
      </w:pPr>
      <w:r>
        <w:rPr>
          <w:rFonts w:ascii="Times New Roman" w:hAnsi="Times New Roman"/>
          <w:i/>
          <w:sz w:val="20"/>
        </w:rPr>
        <w:t>Figure 9. MAE vs Laplace smoothing parameter α (log scale) for UB and UB+Temporal.</w:t>
      </w:r>
    </w:p>
    <w:p>
      <w:pPr>
        <w:pStyle w:val="Heading2"/>
        <w:jc w:val="left"/>
      </w:pPr>
      <w:r>
        <w:rPr>
          <w:rFonts w:ascii="Times New Roman" w:hAnsi="Times New Roman"/>
          <w:color w:val="1A4F8A"/>
        </w:rPr>
        <w:t>Table 6 — User Group Metrics [NEW]</w:t>
      </w:r>
    </w:p>
    <w:p>
      <w:pPr>
        <w:spacing w:after="120"/>
        <w:jc w:val="both"/>
      </w:pPr>
      <w:r>
        <w:rPr>
          <w:rFonts w:ascii="Times New Roman" w:hAnsi="Times New Roman"/>
          <w:b w:val="0"/>
          <w:i w:val="0"/>
          <w:sz w:val="24"/>
        </w:rPr>
        <w:t>Numeric companion to Figure 7. Reports sample size n, MAE, and RMSE for each activity group under both the Temporal and TopK+Temporal models. The table enables precise quantification of the group-level performance differences described above. The monotonically decreasing MAE from Light to Heavy users quantifies the cold-start effect: additional historical ratings reduce prediction uncertainty by enriching the likelihood estimates with more co-occurrence evidence.</w:t>
      </w:r>
    </w:p>
    <w:p>
      <w:pPr>
        <w:spacing w:before="80"/>
        <w:jc w:val="center"/>
      </w:pPr>
      <w:r>
        <w:drawing>
          <wp:inline xmlns:a="http://schemas.openxmlformats.org/drawingml/2006/main" xmlns:pic="http://schemas.openxmlformats.org/drawingml/2006/picture">
            <wp:extent cx="4680000" cy="1242275"/>
            <wp:docPr id="13" name="Picture 13"/>
            <wp:cNvGraphicFramePr>
              <a:graphicFrameLocks noChangeAspect="1"/>
            </wp:cNvGraphicFramePr>
            <a:graphic>
              <a:graphicData uri="http://schemas.openxmlformats.org/drawingml/2006/picture">
                <pic:pic>
                  <pic:nvPicPr>
                    <pic:cNvPr id="0" name="table6_user_groups.png"/>
                    <pic:cNvPicPr/>
                  </pic:nvPicPr>
                  <pic:blipFill>
                    <a:blip r:embed="rId21"/>
                    <a:stretch>
                      <a:fillRect/>
                    </a:stretch>
                  </pic:blipFill>
                  <pic:spPr>
                    <a:xfrm>
                      <a:off x="0" y="0"/>
                      <a:ext cx="4680000" cy="1242275"/>
                    </a:xfrm>
                    <a:prstGeom prst="rect"/>
                  </pic:spPr>
                </pic:pic>
              </a:graphicData>
            </a:graphic>
          </wp:inline>
        </w:drawing>
      </w:r>
    </w:p>
    <w:p>
      <w:pPr>
        <w:spacing w:before="40" w:after="200"/>
        <w:jc w:val="center"/>
      </w:pPr>
      <w:r>
        <w:rPr>
          <w:rFonts w:ascii="Times New Roman" w:hAnsi="Times New Roman"/>
          <w:i/>
          <w:sz w:val="20"/>
        </w:rPr>
        <w:t>Table 6. MAE and RMSE broken down by user activity group.</w:t>
      </w:r>
    </w:p>
    <w:p>
      <w:pPr>
        <w:pStyle w:val="Heading2"/>
        <w:jc w:val="left"/>
      </w:pPr>
      <w:r>
        <w:rPr>
          <w:rFonts w:ascii="Times New Roman" w:hAnsi="Times New Roman"/>
          <w:color w:val="1A4F8A"/>
        </w:rPr>
        <w:t>Table 7 — Full Metrics Summary (Updated)</w:t>
      </w:r>
    </w:p>
    <w:p>
      <w:pPr>
        <w:spacing w:after="120"/>
        <w:jc w:val="both"/>
      </w:pPr>
      <w:r>
        <w:rPr>
          <w:rFonts w:ascii="Times New Roman" w:hAnsi="Times New Roman"/>
          <w:b w:val="0"/>
          <w:i w:val="0"/>
          <w:sz w:val="24"/>
        </w:rPr>
        <w:t>Comprehensive evaluation table for all five NBCF variants. Columns follow the standard recommender systems reporting format: MAE, RMSE, macro precision, recall, and F1. Coverage is reported only for TopK+Temporal because the confidence-based abstention mechanism is applied exclusively to that variant. Precision, recall, and F1 are macro-averaged (equal weight per class), making them sensitive to performance on rare classes. The gap between macro F1 (0.27–0.37) and single-class accuracy on the modal class reflects the class-imbalance challenge described in the Figure 3 analysis.</w:t>
      </w:r>
    </w:p>
    <w:p>
      <w:pPr>
        <w:spacing w:before="80"/>
        <w:jc w:val="center"/>
      </w:pPr>
      <w:r>
        <w:drawing>
          <wp:inline xmlns:a="http://schemas.openxmlformats.org/drawingml/2006/main" xmlns:pic="http://schemas.openxmlformats.org/drawingml/2006/picture">
            <wp:extent cx="4680000" cy="1412465"/>
            <wp:docPr id="14" name="Picture 14"/>
            <wp:cNvGraphicFramePr>
              <a:graphicFrameLocks noChangeAspect="1"/>
            </wp:cNvGraphicFramePr>
            <a:graphic>
              <a:graphicData uri="http://schemas.openxmlformats.org/drawingml/2006/picture">
                <pic:pic>
                  <pic:nvPicPr>
                    <pic:cNvPr id="0" name="table7_full_metrics.png"/>
                    <pic:cNvPicPr/>
                  </pic:nvPicPr>
                  <pic:blipFill>
                    <a:blip r:embed="rId22"/>
                    <a:stretch>
                      <a:fillRect/>
                    </a:stretch>
                  </pic:blipFill>
                  <pic:spPr>
                    <a:xfrm>
                      <a:off x="0" y="0"/>
                      <a:ext cx="4680000" cy="1412465"/>
                    </a:xfrm>
                    <a:prstGeom prst="rect"/>
                  </pic:spPr>
                </pic:pic>
              </a:graphicData>
            </a:graphic>
          </wp:inline>
        </w:drawing>
      </w:r>
    </w:p>
    <w:p>
      <w:pPr>
        <w:spacing w:before="40" w:after="200"/>
        <w:jc w:val="center"/>
      </w:pPr>
      <w:r>
        <w:rPr>
          <w:rFonts w:ascii="Times New Roman" w:hAnsi="Times New Roman"/>
          <w:i/>
          <w:sz w:val="20"/>
        </w:rPr>
        <w:t>Table 7. Full metric comparison table for all five NBCF variants.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