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Khalid, S., Ifran, S., Huang, X., Tadesse, E. ve Dainkun, J. (2026). AI-integrated professional development for pre-service teachers: A systematic review of impacts on pedagogical strategies and technological self-efficacy.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European Journal of Education, 61</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(2), Article e70547. https://doi.org/10.1111/ejed.70547</w:t>
      </w:r>
    </w:p>
    <w:p>
      <w:pPr>
        <w:pStyle w:val="BodyText"/>
        <w:spacing w:line="240" w:lineRule="auto" w:before="0" w:after="120"/>
        <w:ind w:left="567" w:hanging="567"/>
        <w:jc w:val="left"/>
      </w:pPr>
      <w:r>
        <w:rPr>
          <w:rFonts w:ascii="Calibri" w:hAnsi="Calibri" w:cs="Calibri" w:eastAsia="Calibri"/>
          <w:color w:val="000000"/>
          <w:sz w:val="24"/>
        </w:rPr>
        <w:t xml:space="preserve">Kılıç, S. ve Koca, F. (2025). Artificial intelligence addiction of university students: The case of Ordu University. </w:t>
      </w:r>
      <w:r>
        <w:rPr>
          <w:iCs/>
          <w:rFonts w:ascii="Calibri" w:hAnsi="Calibri" w:cs="Calibri" w:eastAsia="Calibri"/>
          <w:i/>
          <w:color w:val="000000"/>
          <w:sz w:val="24"/>
        </w:rPr>
        <w:t xml:space="preserve">ODÜ Sosyal Bilimler Araştırmaları Dergisi, 15</w:t>
      </w:r>
      <w:r>
        <w:rPr>
          <w:rFonts w:ascii="Calibri" w:hAnsi="Calibri" w:cs="Calibri" w:eastAsia="Calibri"/>
          <w:color w:val="000000"/>
          <w:sz w:val="24"/>
        </w:rPr>
        <w:t xml:space="preserve">(ISRIS 2025), 352–368. https://doi.org/10.48146/odusobiad.1725693</w:t>
      </w:r>
    </w:p>
    <w:p>
      <w:pPr>
        <w:pStyle w:val="BodyText"/>
        <w:spacing w:line="240" w:lineRule="auto" w:before="0" w:after="120"/>
        <w:ind w:left="567" w:hanging="567"/>
        <w:jc w:val="left"/>
      </w:pPr>
      <w:r>
        <w:rPr>
          <w:rFonts w:ascii="Calibri" w:hAnsi="Calibri" w:cs="Calibri" w:eastAsia="Calibri"/>
          <w:color w:val="000000"/>
          <w:sz w:val="24"/>
        </w:rPr>
        <w:t xml:space="preserve">Kırbulut Güneş, Z. D. ve Güneş, B. (2026). Examining chatbot-generated responses on heat and temperature: Misconceptions, consistency, and conceptual change. </w:t>
      </w:r>
      <w:r>
        <w:rPr>
          <w:iCs/>
          <w:rFonts w:ascii="Calibri" w:hAnsi="Calibri" w:cs="Calibri" w:eastAsia="Calibri"/>
          <w:i/>
          <w:color w:val="000000"/>
          <w:sz w:val="24"/>
        </w:rPr>
        <w:t xml:space="preserve">Eğitim ve Bilim, 51</w:t>
      </w:r>
      <w:r>
        <w:rPr>
          <w:rFonts w:ascii="Calibri" w:hAnsi="Calibri" w:cs="Calibri" w:eastAsia="Calibri"/>
          <w:color w:val="000000"/>
          <w:sz w:val="24"/>
        </w:rPr>
        <w:t xml:space="preserve">(225), 227–264. https://doi.org/10.15390/ES.2026.2515</w:t>
      </w:r>
    </w:p>
    <w:p>
      <w:pPr>
        <w:pStyle w:val="BodyText"/>
        <w:spacing w:line="240" w:lineRule="auto" w:before="0" w:after="120"/>
        <w:ind w:left="567" w:hanging="567"/>
        <w:jc w:val="left"/>
      </w:pPr>
      <w:r>
        <w:rPr>
          <w:rFonts w:ascii="Calibri" w:hAnsi="Calibri" w:cs="Calibri" w:eastAsia="Calibri"/>
          <w:color w:val="000000"/>
          <w:sz w:val="24"/>
        </w:rPr>
        <w:t xml:space="preserve">Kim, E. M., Garg, A., Peng, K. ve Garg, N. (2025). Correlated errors in large language models.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30038–30066). PMLR. https://proceedings.mlr.press/v267/kim25e.html</w:t>
      </w:r>
    </w:p>
    <w:p>
      <w:pPr>
        <w:pStyle w:val="BodyText"/>
        <w:spacing w:line="240" w:lineRule="auto" w:before="0" w:after="120"/>
        <w:ind w:left="567" w:hanging="567"/>
        <w:jc w:val="left"/>
      </w:pPr>
      <w:r>
        <w:rPr>
          <w:rFonts w:ascii="Calibri" w:hAnsi="Calibri" w:cs="Calibri" w:eastAsia="Calibri"/>
          <w:color w:val="000000"/>
          <w:sz w:val="24"/>
        </w:rPr>
        <w:t xml:space="preserve">Kim, H., Sefcik, J. S. ve Bradway, C. (2017). Characteristics of qualitative descriptive studies: A systematic review. </w:t>
      </w:r>
      <w:r>
        <w:rPr>
          <w:iCs/>
          <w:rFonts w:ascii="Calibri" w:hAnsi="Calibri" w:cs="Calibri" w:eastAsia="Calibri"/>
          <w:i/>
          <w:color w:val="000000"/>
          <w:sz w:val="24"/>
        </w:rPr>
        <w:t xml:space="preserve">Research in Nursing &amp; Health, 40</w:t>
      </w:r>
      <w:r>
        <w:rPr>
          <w:rFonts w:ascii="Calibri" w:hAnsi="Calibri" w:cs="Calibri" w:eastAsia="Calibri"/>
          <w:color w:val="000000"/>
          <w:sz w:val="24"/>
        </w:rPr>
        <w:t xml:space="preserve">(1), 23–42. https://doi.org/10.1002/nur.21768</w:t>
      </w:r>
    </w:p>
    <w:p>
      <w:pPr>
        <w:pStyle w:val="BodyText"/>
        <w:spacing w:line="240" w:lineRule="auto" w:before="0" w:after="120"/>
        <w:ind w:left="567" w:hanging="567"/>
        <w:jc w:val="left"/>
      </w:pPr>
      <w:r>
        <w:rPr>
          <w:rFonts w:ascii="Calibri" w:hAnsi="Calibri" w:cs="Calibri" w:eastAsia="Calibri"/>
          <w:color w:val="000000"/>
          <w:sz w:val="24"/>
        </w:rPr>
        <w:t xml:space="preserve">Kirsanov, O., Kushwah, L. ve Selvaretnam, G. (2026). Beyond detection: How students use, and hide, AI in online assessments and what authentic tasks can do about it. </w:t>
      </w:r>
      <w:r>
        <w:rPr>
          <w:iCs/>
          <w:rFonts w:ascii="Calibri" w:hAnsi="Calibri" w:cs="Calibri" w:eastAsia="Calibri"/>
          <w:i/>
          <w:color w:val="000000"/>
          <w:sz w:val="24"/>
        </w:rPr>
        <w:t xml:space="preserve">Journal of Academic Ethics, 24</w:t>
      </w:r>
      <w:r>
        <w:rPr>
          <w:rFonts w:ascii="Calibri" w:hAnsi="Calibri" w:cs="Calibri" w:eastAsia="Calibri"/>
          <w:color w:val="000000"/>
          <w:sz w:val="24"/>
        </w:rPr>
        <w:t xml:space="preserve">(1), Article 14. https://doi.org/10.1007/s10805-025-09691-3</w:t>
      </w:r>
    </w:p>
    <w:p>
      <w:pPr>
        <w:pStyle w:val="BodyText"/>
        <w:spacing w:line="240" w:lineRule="auto" w:before="0" w:after="120"/>
        <w:ind w:left="567" w:hanging="567"/>
        <w:jc w:val="left"/>
      </w:pPr>
      <w:r>
        <w:rPr>
          <w:rFonts w:ascii="Calibri" w:hAnsi="Calibri" w:cs="Calibri" w:eastAsia="Calibri"/>
          <w:color w:val="000000"/>
          <w:sz w:val="24"/>
        </w:rPr>
        <w:t xml:space="preserve">Klingbeil, A., Grützner, C. ve Schreck, P. (2024). Trust and reliance on AI: An experimental study on the extent and costs of overreliance on AI. </w:t>
      </w:r>
      <w:r>
        <w:rPr>
          <w:iCs/>
          <w:rFonts w:ascii="Calibri" w:hAnsi="Calibri" w:cs="Calibri" w:eastAsia="Calibri"/>
          <w:i/>
          <w:color w:val="000000"/>
          <w:sz w:val="24"/>
        </w:rPr>
        <w:t xml:space="preserve">Computers in Human Behavior, 160</w:t>
      </w:r>
      <w:r>
        <w:rPr>
          <w:rFonts w:ascii="Calibri" w:hAnsi="Calibri" w:cs="Calibri" w:eastAsia="Calibri"/>
          <w:color w:val="000000"/>
          <w:sz w:val="24"/>
        </w:rPr>
        <w:t xml:space="preserve">, Article 108352. https://doi.org/10.1016/j.chb.2024.108352</w:t>
      </w:r>
    </w:p>
    <w:p>
      <w:pPr>
        <w:pStyle w:val="BodyText"/>
        <w:spacing w:line="240" w:lineRule="auto" w:before="0" w:after="120"/>
        <w:ind w:left="567" w:hanging="567"/>
        <w:jc w:val="left"/>
      </w:pPr>
      <w:r>
        <w:rPr>
          <w:rFonts w:ascii="Calibri" w:hAnsi="Calibri" w:cs="Calibri" w:eastAsia="Calibri"/>
          <w:color w:val="000000"/>
          <w:sz w:val="24"/>
        </w:rPr>
        <w:t xml:space="preserve">Kohnke, L. ve Moorhouse, B. L. (2026). Avoiding de-skilling and dependency: A practical guide to using generative AI in TESOL teacher education.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Khalid, S., Ifran, S., Huang, X., Tadesse, E. ve Dainkun, J. (2026). AI-integrated professional development for pre-service teachers: A systematic review of impacts on pedagogical strategies and technological self-efficacy.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European Journal of Education, 61</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(2), Article e70547. https://doi.org/10.1111/ejed.70547</w:t>
      </w:r>
    </w:p>
    <w:p>
      <w:pPr>
        <w:pStyle w:val="BodyText"/>
        <w:spacing w:line="240" w:lineRule="auto" w:before="0" w:after="120"/>
        <w:ind w:left="567" w:hanging="567"/>
        <w:jc w:val="left"/>
      </w:pPr>
      <w:r>
        <w:rPr>
          <w:rFonts w:ascii="Calibri" w:hAnsi="Calibri" w:cs="Calibri" w:eastAsia="Calibri"/>
          <w:color w:val="000000"/>
          <w:sz w:val="24"/>
        </w:rPr>
        <w:t xml:space="preserve">Kılıç, S. ve Koca, F. (2025). Artificial intelligence addiction of university students: The case of Ordu University. </w:t>
      </w:r>
      <w:r>
        <w:rPr>
          <w:iCs/>
          <w:rFonts w:ascii="Calibri" w:hAnsi="Calibri" w:cs="Calibri" w:eastAsia="Calibri"/>
          <w:i/>
          <w:color w:val="000000"/>
          <w:sz w:val="24"/>
        </w:rPr>
        <w:t xml:space="preserve">ODÜ Sosyal Bilimler Araştırmaları Dergisi, 15</w:t>
      </w:r>
      <w:r>
        <w:rPr>
          <w:rFonts w:ascii="Calibri" w:hAnsi="Calibri" w:cs="Calibri" w:eastAsia="Calibri"/>
          <w:color w:val="000000"/>
          <w:sz w:val="24"/>
        </w:rPr>
        <w:t xml:space="preserve">(ISRIS 2025), 352–368. https://doi.org/10.48146/odusobiad.1725693</w:t>
      </w:r>
    </w:p>
    <w:p>
      <w:pPr>
        <w:pStyle w:val="BodyText"/>
        <w:spacing w:line="240" w:lineRule="auto" w:before="0" w:after="120"/>
        <w:ind w:left="567" w:hanging="567"/>
        <w:jc w:val="left"/>
      </w:pPr>
      <w:r>
        <w:rPr>
          <w:rFonts w:ascii="Calibri" w:hAnsi="Calibri" w:cs="Calibri" w:eastAsia="Calibri"/>
          <w:color w:val="000000"/>
          <w:sz w:val="24"/>
        </w:rPr>
        <w:t xml:space="preserve">Kırbulut Güneş, Z. D. ve Güneş, B. (2026). Examining chatbot-generated responses on heat and temperature: Misconceptions, consistency, and conceptual change. </w:t>
      </w:r>
      <w:r>
        <w:rPr>
          <w:iCs/>
          <w:rFonts w:ascii="Calibri" w:hAnsi="Calibri" w:cs="Calibri" w:eastAsia="Calibri"/>
          <w:i/>
          <w:color w:val="000000"/>
          <w:sz w:val="24"/>
        </w:rPr>
        <w:t xml:space="preserve">Eğitim ve Bilim, 51</w:t>
      </w:r>
      <w:r>
        <w:rPr>
          <w:rFonts w:ascii="Calibri" w:hAnsi="Calibri" w:cs="Calibri" w:eastAsia="Calibri"/>
          <w:color w:val="000000"/>
          <w:sz w:val="24"/>
        </w:rPr>
        <w:t xml:space="preserve">(225), 227–264. https://doi.org/10.15390/ES.2026.2515</w:t>
      </w:r>
    </w:p>
    <w:p>
      <w:pPr>
        <w:pStyle w:val="BodyText"/>
        <w:spacing w:line="240" w:lineRule="auto" w:before="0" w:after="120"/>
        <w:ind w:left="567" w:hanging="567"/>
        <w:jc w:val="left"/>
      </w:pPr>
      <w:r>
        <w:rPr>
          <w:rFonts w:ascii="Calibri" w:hAnsi="Calibri" w:cs="Calibri" w:eastAsia="Calibri"/>
          <w:color w:val="000000"/>
          <w:sz w:val="24"/>
        </w:rPr>
        <w:t xml:space="preserve">Kim, E. M., Garg, A., Peng, K. ve Garg, N. (2025). Correlated errors in large language models.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30038–30066). PMLR. https://proceedings.mlr.press/v267/kim25e.html</w:t>
      </w:r>
    </w:p>
    <w:p>
      <w:pPr>
        <w:pStyle w:val="BodyText"/>
        <w:spacing w:line="240" w:lineRule="auto" w:before="0" w:after="120"/>
        <w:ind w:left="567" w:hanging="567"/>
        <w:jc w:val="left"/>
      </w:pPr>
      <w:r>
        <w:rPr>
          <w:rFonts w:ascii="Calibri" w:hAnsi="Calibri" w:cs="Calibri" w:eastAsia="Calibri"/>
          <w:color w:val="000000"/>
          <w:sz w:val="24"/>
        </w:rPr>
        <w:t xml:space="preserve">Kim, H., Sefcik, J. S. ve Bradway, C. (2017). Characteristics of qualitative descriptive studies: A systematic review. </w:t>
      </w:r>
      <w:r>
        <w:rPr>
          <w:iCs/>
          <w:rFonts w:ascii="Calibri" w:hAnsi="Calibri" w:cs="Calibri" w:eastAsia="Calibri"/>
          <w:i/>
          <w:color w:val="000000"/>
          <w:sz w:val="24"/>
        </w:rPr>
        <w:t xml:space="preserve">Research in Nursing &amp; Health, 40</w:t>
      </w:r>
      <w:r>
        <w:rPr>
          <w:rFonts w:ascii="Calibri" w:hAnsi="Calibri" w:cs="Calibri" w:eastAsia="Calibri"/>
          <w:color w:val="000000"/>
          <w:sz w:val="24"/>
        </w:rPr>
        <w:t xml:space="preserve">(1), 23–42. https://doi.org/10.1002/nur.21768</w:t>
      </w:r>
    </w:p>
    <w:p>
      <w:pPr>
        <w:pStyle w:val="BodyText"/>
        <w:spacing w:line="240" w:lineRule="auto" w:before="0" w:after="120"/>
        <w:ind w:left="567" w:hanging="567"/>
        <w:jc w:val="left"/>
      </w:pPr>
      <w:r>
        <w:rPr>
          <w:rFonts w:ascii="Calibri" w:hAnsi="Calibri" w:cs="Calibri" w:eastAsia="Calibri"/>
          <w:color w:val="000000"/>
          <w:sz w:val="24"/>
        </w:rPr>
        <w:t xml:space="preserve">Kirsanov, O., Kushwah, L. ve Selvaretnam, G. (2026). Beyond detection: How students use, and hide, AI in online assessments and what authentic tasks can do about it. </w:t>
      </w:r>
      <w:r>
        <w:rPr>
          <w:iCs/>
          <w:rFonts w:ascii="Calibri" w:hAnsi="Calibri" w:cs="Calibri" w:eastAsia="Calibri"/>
          <w:i/>
          <w:color w:val="000000"/>
          <w:sz w:val="24"/>
        </w:rPr>
        <w:t xml:space="preserve">Journal of Academic Ethics, 24</w:t>
      </w:r>
      <w:r>
        <w:rPr>
          <w:rFonts w:ascii="Calibri" w:hAnsi="Calibri" w:cs="Calibri" w:eastAsia="Calibri"/>
          <w:color w:val="000000"/>
          <w:sz w:val="24"/>
        </w:rPr>
        <w:t xml:space="preserve">(1), Article 14. https://doi.org/10.1007/s10805-025-09691-3</w:t>
      </w:r>
    </w:p>
    <w:p>
      <w:pPr>
        <w:pStyle w:val="BodyText"/>
        <w:spacing w:line="240" w:lineRule="auto" w:before="0" w:after="120"/>
        <w:ind w:left="567" w:hanging="567"/>
        <w:jc w:val="left"/>
      </w:pPr>
      <w:r>
        <w:rPr>
          <w:rFonts w:ascii="Calibri" w:hAnsi="Calibri" w:cs="Calibri" w:eastAsia="Calibri"/>
          <w:color w:val="000000"/>
          <w:sz w:val="24"/>
        </w:rPr>
        <w:t xml:space="preserve">Klingbeil, A., Grützner, C. ve Schreck, P. (2024). Trust and reliance on AI: An experimental study on the extent and costs of overreliance on AI. </w:t>
      </w:r>
      <w:r>
        <w:rPr>
          <w:iCs/>
          <w:rFonts w:ascii="Calibri" w:hAnsi="Calibri" w:cs="Calibri" w:eastAsia="Calibri"/>
          <w:i/>
          <w:color w:val="000000"/>
          <w:sz w:val="24"/>
        </w:rPr>
        <w:t xml:space="preserve">Computers in Human Behavior, 160</w:t>
      </w:r>
      <w:r>
        <w:rPr>
          <w:rFonts w:ascii="Calibri" w:hAnsi="Calibri" w:cs="Calibri" w:eastAsia="Calibri"/>
          <w:color w:val="000000"/>
          <w:sz w:val="24"/>
        </w:rPr>
        <w:t xml:space="preserve">, Article 108352. https://doi.org/10.1016/j.chb.2024.108352</w:t>
      </w:r>
    </w:p>
    <w:p>
      <w:pPr>
        <w:pStyle w:val="BodyText"/>
        <w:spacing w:line="240" w:lineRule="auto" w:before="0" w:after="120"/>
        <w:ind w:left="567" w:hanging="567"/>
        <w:jc w:val="left"/>
      </w:pPr>
      <w:r>
        <w:rPr>
          <w:rFonts w:ascii="Calibri" w:hAnsi="Calibri" w:cs="Calibri" w:eastAsia="Calibri"/>
          <w:color w:val="000000"/>
          <w:sz w:val="24"/>
        </w:rPr>
        <w:t xml:space="preserve">TESOL Quarterly</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Khalid, S., Ifran, S., Huang, X., Tadesse, E. ve Dainkun, J. (2026). AI-integrated professional development for pre-service teachers: A systematic review of impacts on pedagogical strategies and technological self-efficacy.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European Journal of Education, 61</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(2), Article e70547. https://doi.org/10.1111/ejed.70547</w:t>
      </w:r>
    </w:p>
    <w:p>
      <w:pPr>
        <w:pStyle w:val="BodyText"/>
        <w:spacing w:line="240" w:lineRule="auto" w:before="0" w:after="120"/>
        <w:ind w:left="567" w:hanging="567"/>
        <w:jc w:val="left"/>
      </w:pPr>
      <w:r>
        <w:rPr>
          <w:rFonts w:ascii="Calibri" w:hAnsi="Calibri" w:cs="Calibri" w:eastAsia="Calibri"/>
          <w:color w:val="000000"/>
          <w:sz w:val="24"/>
        </w:rPr>
        <w:t xml:space="preserve">Kılıç, S. ve Koca, F. (2025). Artificial intelligence addiction of university students: The case of Ordu University. </w:t>
      </w:r>
      <w:r>
        <w:rPr>
          <w:iCs/>
          <w:rFonts w:ascii="Calibri" w:hAnsi="Calibri" w:cs="Calibri" w:eastAsia="Calibri"/>
          <w:i/>
          <w:color w:val="000000"/>
          <w:sz w:val="24"/>
        </w:rPr>
        <w:t xml:space="preserve">ODÜ Sosyal Bilimler Araştırmaları Dergisi, 15</w:t>
      </w:r>
      <w:r>
        <w:rPr>
          <w:rFonts w:ascii="Calibri" w:hAnsi="Calibri" w:cs="Calibri" w:eastAsia="Calibri"/>
          <w:color w:val="000000"/>
          <w:sz w:val="24"/>
        </w:rPr>
        <w:t xml:space="preserve">(ISRIS 2025), 352–368. https://doi.org/10.48146/odusobiad.1725693</w:t>
      </w:r>
    </w:p>
    <w:p>
      <w:pPr>
        <w:pStyle w:val="BodyText"/>
        <w:spacing w:line="240" w:lineRule="auto" w:before="0" w:after="120"/>
        <w:ind w:left="567" w:hanging="567"/>
        <w:jc w:val="left"/>
      </w:pPr>
      <w:r>
        <w:rPr>
          <w:rFonts w:ascii="Calibri" w:hAnsi="Calibri" w:cs="Calibri" w:eastAsia="Calibri"/>
          <w:color w:val="000000"/>
          <w:sz w:val="24"/>
        </w:rPr>
        <w:t xml:space="preserve">Kırbulut Güneş, Z. D. ve Güneş, B. (2026). Examining chatbot-generated responses on heat and temperature: Misconceptions, consistency, and conceptual change. </w:t>
      </w:r>
      <w:r>
        <w:rPr>
          <w:iCs/>
          <w:rFonts w:ascii="Calibri" w:hAnsi="Calibri" w:cs="Calibri" w:eastAsia="Calibri"/>
          <w:i/>
          <w:color w:val="000000"/>
          <w:sz w:val="24"/>
        </w:rPr>
        <w:t xml:space="preserve">Eğitim ve Bilim, 51</w:t>
      </w:r>
      <w:r>
        <w:rPr>
          <w:rFonts w:ascii="Calibri" w:hAnsi="Calibri" w:cs="Calibri" w:eastAsia="Calibri"/>
          <w:color w:val="000000"/>
          <w:sz w:val="24"/>
        </w:rPr>
        <w:t xml:space="preserve">(225), 227–264. https://doi.org/10.15390/ES.2026.2515</w:t>
      </w:r>
    </w:p>
    <w:p>
      <w:pPr>
        <w:pStyle w:val="BodyText"/>
        <w:spacing w:line="240" w:lineRule="auto" w:before="0" w:after="120"/>
        <w:ind w:left="567" w:hanging="567"/>
        <w:jc w:val="left"/>
      </w:pPr>
      <w:r>
        <w:rPr>
          <w:rFonts w:ascii="Calibri" w:hAnsi="Calibri" w:cs="Calibri" w:eastAsia="Calibri"/>
          <w:color w:val="000000"/>
          <w:sz w:val="24"/>
        </w:rPr>
        <w:t xml:space="preserve">Kim, E. M., Garg, A., Peng, K. ve Garg, N. (2025). Correlated errors in large language models.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30038–30066). PMLR. https://proceedings.mlr.press/v267/kim25e.html</w:t>
      </w:r>
    </w:p>
    <w:p>
      <w:pPr>
        <w:pStyle w:val="BodyText"/>
        <w:spacing w:line="240" w:lineRule="auto" w:before="0" w:after="120"/>
        <w:ind w:left="567" w:hanging="567"/>
        <w:jc w:val="left"/>
      </w:pPr>
      <w:r>
        <w:rPr>
          <w:rFonts w:ascii="Calibri" w:hAnsi="Calibri" w:cs="Calibri" w:eastAsia="Calibri"/>
          <w:color w:val="000000"/>
          <w:sz w:val="24"/>
        </w:rPr>
        <w:t xml:space="preserve">Kim, H., Sefcik, J. S. ve Bradway, C. (2017). Characteristics of qualitative descriptive studies: A systematic review. </w:t>
      </w:r>
      <w:r>
        <w:rPr>
          <w:iCs/>
          <w:rFonts w:ascii="Calibri" w:hAnsi="Calibri" w:cs="Calibri" w:eastAsia="Calibri"/>
          <w:i/>
          <w:color w:val="000000"/>
          <w:sz w:val="24"/>
        </w:rPr>
        <w:t xml:space="preserve">Research in Nursing &amp; Health, 40</w:t>
      </w:r>
      <w:r>
        <w:rPr>
          <w:rFonts w:ascii="Calibri" w:hAnsi="Calibri" w:cs="Calibri" w:eastAsia="Calibri"/>
          <w:color w:val="000000"/>
          <w:sz w:val="24"/>
        </w:rPr>
        <w:t xml:space="preserve">(1), 23–42. https://doi.org/10.1002/nur.21768</w:t>
      </w:r>
    </w:p>
    <w:p>
      <w:pPr>
        <w:pStyle w:val="BodyText"/>
        <w:spacing w:line="240" w:lineRule="auto" w:before="0" w:after="120"/>
        <w:ind w:left="567" w:hanging="567"/>
        <w:jc w:val="left"/>
      </w:pPr>
      <w:r>
        <w:rPr>
          <w:rFonts w:ascii="Calibri" w:hAnsi="Calibri" w:cs="Calibri" w:eastAsia="Calibri"/>
          <w:color w:val="000000"/>
          <w:sz w:val="24"/>
        </w:rPr>
        <w:t xml:space="preserve">Kirsanov, O., Kushwah, L. ve Selvaretnam, G. (2026). Beyond detection: How students use, and hide, AI in online assessments and what authentic tasks can do about it. </w:t>
      </w:r>
      <w:r>
        <w:rPr>
          <w:iCs/>
          <w:rFonts w:ascii="Calibri" w:hAnsi="Calibri" w:cs="Calibri" w:eastAsia="Calibri"/>
          <w:i/>
          <w:color w:val="000000"/>
          <w:sz w:val="24"/>
        </w:rPr>
        <w:t xml:space="preserve">Journal of Academic Ethics, 24</w:t>
      </w:r>
      <w:r>
        <w:rPr>
          <w:rFonts w:ascii="Calibri" w:hAnsi="Calibri" w:cs="Calibri" w:eastAsia="Calibri"/>
          <w:color w:val="000000"/>
          <w:sz w:val="24"/>
        </w:rPr>
        <w:t xml:space="preserve">(1), Article 14. https://doi.org/10.1007/s10805-025-09691-3</w:t>
      </w:r>
    </w:p>
    <w:p>
      <w:pPr>
        <w:pStyle w:val="BodyText"/>
        <w:spacing w:line="240" w:lineRule="auto" w:before="0" w:after="120"/>
        <w:ind w:left="567" w:hanging="567"/>
        <w:jc w:val="left"/>
      </w:pPr>
      <w:r>
        <w:rPr>
          <w:rFonts w:ascii="Calibri" w:hAnsi="Calibri" w:cs="Calibri" w:eastAsia="Calibri"/>
          <w:color w:val="000000"/>
          <w:sz w:val="24"/>
        </w:rPr>
        <w:t xml:space="preserve">Klingbeil, A., Grützner, C. ve Schreck, P. (2024). Trust and reliance on AI: An experimental study on the extent and costs of overreliance on AI. </w:t>
      </w:r>
      <w:r>
        <w:rPr>
          <w:iCs/>
          <w:rFonts w:ascii="Calibri" w:hAnsi="Calibri" w:cs="Calibri" w:eastAsia="Calibri"/>
          <w:i/>
          <w:color w:val="000000"/>
          <w:sz w:val="24"/>
        </w:rPr>
        <w:t xml:space="preserve">Computers in Human Behavior, 160</w:t>
      </w:r>
      <w:r>
        <w:rPr>
          <w:rFonts w:ascii="Calibri" w:hAnsi="Calibri" w:cs="Calibri" w:eastAsia="Calibri"/>
          <w:color w:val="000000"/>
          <w:sz w:val="24"/>
        </w:rPr>
        <w:t xml:space="preserve">, Article 108352. https://doi.org/10.1016/j.chb.2024.108352</w:t>
      </w:r>
    </w:p>
    <w:p>
      <w:pPr>
        <w:pStyle w:val="BodyText"/>
        <w:spacing w:line="240" w:lineRule="auto" w:before="0" w:after="120"/>
        <w:ind w:left="567" w:hanging="567"/>
        <w:jc w:val="left"/>
      </w:pPr>
      <w:r>
        <w:rPr>
          <w:rFonts w:ascii="Calibri" w:hAnsi="Calibri" w:cs="Calibri" w:eastAsia="Calibri"/>
          <w:color w:val="000000"/>
          <w:sz w:val="24"/>
        </w:rPr>
        <w:t xml:space="preserve">. Advance online publication. https://doi.org/10.1002/tesq.70203</w:t>
      </w:r>
    </w:p>
    <w:p>
      <w:pPr>
        <w:pStyle w:val="BodyText"/>
        <w:spacing w:line="240" w:lineRule="auto" w:before="0" w:after="120"/>
        <w:ind w:left="567" w:hanging="567"/>
        <w:jc w:val="left"/>
      </w:pPr>
      <w:r>
        <w:rPr>
          <w:rFonts w:ascii="Calibri" w:hAnsi="Calibri" w:cs="Calibri" w:eastAsia="Calibri"/>
          <w:color w:val="000000"/>
          <w:sz w:val="24"/>
        </w:rPr>
        <w:t xml:space="preserve">Kops, M., Schittenhelm, C. ve Wachs, S. (2025). Young people and false information: A scoping review of responses, influential factors, consequences, and prevention programs. </w:t>
      </w:r>
      <w:r>
        <w:rPr>
          <w:iCs/>
          <w:rFonts w:ascii="Calibri" w:hAnsi="Calibri" w:cs="Calibri" w:eastAsia="Calibri"/>
          <w:i/>
          <w:color w:val="000000"/>
          <w:sz w:val="24"/>
        </w:rPr>
        <w:t xml:space="preserve">Computers in Human Behavior, 169</w:t>
      </w:r>
      <w:r>
        <w:rPr>
          <w:rFonts w:ascii="Calibri" w:hAnsi="Calibri" w:cs="Calibri" w:eastAsia="Calibri"/>
          <w:color w:val="000000"/>
          <w:sz w:val="24"/>
        </w:rPr>
        <w:t xml:space="preserve">, Article 108650. https://doi.org/10.1016/j.chb.2025.108650</w:t>
      </w:r>
    </w:p>
    <w:p>
      <w:pPr>
        <w:pStyle w:val="BodyText"/>
        <w:spacing w:line="240" w:lineRule="auto" w:before="0" w:after="120"/>
        <w:ind w:left="567" w:hanging="567"/>
        <w:jc w:val="left"/>
      </w:pPr>
      <w:r>
        <w:rPr>
          <w:rFonts w:ascii="Calibri" w:hAnsi="Calibri" w:cs="Calibri" w:eastAsia="Calibri"/>
          <w:color w:val="000000"/>
          <w:sz w:val="24"/>
        </w:rPr>
        <w:t xml:space="preserve">Korstjens, I. ve Moser, A. (2018). Series: Practical guidance to qualitative research. Part 4: Trustworthiness and publishing. </w:t>
      </w:r>
      <w:r>
        <w:rPr>
          <w:iCs/>
          <w:rFonts w:ascii="Calibri" w:hAnsi="Calibri" w:cs="Calibri" w:eastAsia="Calibri"/>
          <w:i/>
          <w:color w:val="000000"/>
          <w:sz w:val="24"/>
        </w:rPr>
        <w:t xml:space="preserve">European Journal of General Practice, 24</w:t>
      </w:r>
      <w:r>
        <w:rPr>
          <w:rFonts w:ascii="Calibri" w:hAnsi="Calibri" w:cs="Calibri" w:eastAsia="Calibri"/>
          <w:color w:val="000000"/>
          <w:sz w:val="24"/>
        </w:rPr>
        <w:t xml:space="preserve">(1), 120–124. https://doi.org/10.1080/13814788.2017.1375092</w:t>
      </w:r>
    </w:p>
    <w:p>
      <w:pPr>
        <w:pStyle w:val="BodyText"/>
        <w:spacing w:line="240" w:lineRule="auto" w:before="0" w:after="120"/>
        <w:ind w:left="567" w:hanging="567"/>
        <w:jc w:val="left"/>
      </w:pPr>
      <w:r>
        <w:rPr>
          <w:rFonts w:ascii="Calibri" w:hAnsi="Calibri" w:cs="Calibri" w:eastAsia="Calibri"/>
          <w:color w:val="000000"/>
          <w:sz w:val="24"/>
        </w:rPr>
        <w:t xml:space="preserve">Koynoğlu, Z. N. ve Şenel Çoruhlu, T. (2026). Sınıf öğretmeni adaylarının “yapay zekâ” kavramına ilişkin metaforik algılarının incelenmesi. </w:t>
      </w:r>
      <w:r>
        <w:rPr>
          <w:iCs/>
          <w:rFonts w:ascii="Calibri" w:hAnsi="Calibri" w:cs="Calibri" w:eastAsia="Calibri"/>
          <w:i/>
          <w:color w:val="000000"/>
          <w:sz w:val="24"/>
        </w:rPr>
        <w:t xml:space="preserve">Manisa Celal Bayar Üniversitesi Eğitim Fakültesi Dergisi, 14</w:t>
      </w:r>
      <w:r>
        <w:rPr>
          <w:rFonts w:ascii="Calibri" w:hAnsi="Calibri" w:cs="Calibri" w:eastAsia="Calibri"/>
          <w:color w:val="000000"/>
          <w:sz w:val="24"/>
        </w:rPr>
        <w:t xml:space="preserve">(1), 206–225. https://doi.org/10.52826/mcbuefd.1772671</w:t>
      </w:r>
    </w:p>
    <w:p>
      <w:pPr>
        <w:pStyle w:val="BodyText"/>
        <w:spacing w:line="240" w:lineRule="auto" w:before="0" w:after="120"/>
        <w:ind w:left="567" w:hanging="567"/>
        <w:jc w:val="left"/>
      </w:pPr>
      <w:r>
        <w:rPr>
          <w:rFonts w:ascii="Calibri" w:hAnsi="Calibri" w:cs="Calibri" w:eastAsia="Calibri"/>
          <w:color w:val="000000"/>
          <w:sz w:val="24"/>
        </w:rPr>
        <w:t xml:space="preserve">Kozyreva, A., Lorenz-Spreen, P., Herzog, S. M., Ecker, U. K. H., Lewandowsky, S., Hertwig, R., Ali, A., Bak-Coleman, J., Barzilai, S., Basol, M., Berinsky, A. J., Betsch, C., Cook, J., Fazio, L. K., Geers, M., Guess, A. M., Huang, H., Larreguy, H., Maertens, R., . . . Wineburg, S. (2024). Toolbox of individual-level interventions against online misinformation. </w:t>
      </w:r>
      <w:r>
        <w:rPr>
          <w:iCs/>
          <w:rFonts w:ascii="Calibri" w:hAnsi="Calibri" w:cs="Calibri" w:eastAsia="Calibri"/>
          <w:i/>
          <w:color w:val="000000"/>
          <w:sz w:val="24"/>
        </w:rPr>
        <w:t xml:space="preserve">Nature Human Behaviour, 8</w:t>
      </w:r>
      <w:r>
        <w:rPr>
          <w:rFonts w:ascii="Calibri" w:hAnsi="Calibri" w:cs="Calibri" w:eastAsia="Calibri"/>
          <w:color w:val="000000"/>
          <w:sz w:val="24"/>
        </w:rPr>
        <w:t xml:space="preserve">(6), 1044–1052. https://doi.org/10.1038/s41562-024-01881-0</w:t>
      </w:r>
    </w:p>
    <w:p>
      <w:pPr>
        <w:pStyle w:val="BodyText"/>
        <w:spacing w:line="240" w:lineRule="auto" w:before="0" w:after="120"/>
        <w:ind w:left="567" w:hanging="567"/>
        <w:jc w:val="left"/>
      </w:pPr>
      <w:r>
        <w:rPr>
          <w:rFonts w:ascii="Calibri" w:hAnsi="Calibri" w:cs="Calibri" w:eastAsia="Calibri"/>
          <w:color w:val="000000"/>
          <w:sz w:val="24"/>
        </w:rPr>
        <w:t xml:space="preserve">Körükçü, M. ve Kaya, İ. (2026). Sosyal bilgiler öğretmen adaylarının yapay zekâ araçlarına yönelik görüşleri. </w:t>
      </w:r>
      <w:r>
        <w:rPr>
          <w:iCs/>
          <w:rFonts w:ascii="Calibri" w:hAnsi="Calibri" w:cs="Calibri" w:eastAsia="Calibri"/>
          <w:i/>
          <w:color w:val="000000"/>
          <w:sz w:val="24"/>
        </w:rPr>
        <w:t xml:space="preserve">Üçüncü Sektör Sosyal Ekonomi Dergisi, 61</w:t>
      </w:r>
      <w:r>
        <w:rPr>
          <w:rFonts w:ascii="Calibri" w:hAnsi="Calibri" w:cs="Calibri" w:eastAsia="Calibri"/>
          <w:color w:val="000000"/>
          <w:sz w:val="24"/>
        </w:rPr>
        <w:t xml:space="preserve">(3), 3966–3990. https://doi.org/10.63556/tisej.2026.1932</w:t>
      </w:r>
    </w:p>
    <w:p>
      <w:pPr>
        <w:pStyle w:val="BodyText"/>
        <w:spacing w:line="240" w:lineRule="auto" w:before="0" w:after="120"/>
        <w:ind w:left="567" w:hanging="567"/>
        <w:jc w:val="left"/>
      </w:pPr>
      <w:r>
        <w:rPr>
          <w:rFonts w:ascii="Calibri" w:hAnsi="Calibri" w:cs="Calibri" w:eastAsia="Calibri"/>
          <w:color w:val="000000"/>
          <w:sz w:val="24"/>
        </w:rPr>
        <w:t xml:space="preserve">Krupp, L., Steinert, S., Kiefer-Emmanouilidis, M., Avila, K. E., Lukowicz, P., Kuhn, J., Küchemann, S. ve Karolus, J. (2024). Unreflected acceptance: Investigating the negative consequences of ChatGPT-assisted problem solving in physics education. In </w:t>
      </w:r>
      <w:r>
        <w:rPr>
          <w:iCs/>
          <w:rFonts w:ascii="Calibri" w:hAnsi="Calibri" w:cs="Calibri" w:eastAsia="Calibri"/>
          <w:i/>
          <w:color w:val="000000"/>
          <w:sz w:val="24"/>
        </w:rPr>
        <w:t xml:space="preserve">HHAI 2024: Hybrid human AI systems for the social good</w:t>
      </w:r>
      <w:r>
        <w:rPr>
          <w:rFonts w:ascii="Calibri" w:hAnsi="Calibri" w:cs="Calibri" w:eastAsia="Calibri"/>
          <w:color w:val="000000"/>
          <w:sz w:val="24"/>
        </w:rPr>
        <w:t xml:space="preserve"> (pp. 199–212). IOS Press. https://doi.org/10.3233/FAIA240195</w:t>
      </w:r>
    </w:p>
    <w:p>
      <w:pPr>
        <w:pStyle w:val="BodyText"/>
        <w:spacing w:line="240" w:lineRule="auto" w:before="0" w:after="120"/>
        <w:ind w:left="567" w:hanging="567"/>
        <w:jc w:val="left"/>
      </w:pPr>
      <w:r>
        <w:rPr>
          <w:rFonts w:ascii="Calibri" w:hAnsi="Calibri" w:cs="Calibri" w:eastAsia="Calibri"/>
          <w:color w:val="000000"/>
          <w:sz w:val="24"/>
        </w:rPr>
        <w:t xml:space="preserve">Kyngäs, H. ve Kaakinen, P. (2020). Deductive content analysis. In H. Kyngäs, K. Mikkonen ve M. Kääriäinen (Eds.), </w:t>
      </w:r>
      <w:r>
        <w:rPr>
          <w:iCs/>
          <w:rFonts w:ascii="Calibri" w:hAnsi="Calibri" w:cs="Calibri" w:eastAsia="Calibri"/>
          <w:i/>
          <w:color w:val="000000"/>
          <w:sz w:val="24"/>
        </w:rPr>
        <w:t xml:space="preserve">The application of content analysis in nursing science research</w:t>
      </w:r>
      <w:r>
        <w:rPr>
          <w:rFonts w:ascii="Calibri" w:hAnsi="Calibri" w:cs="Calibri" w:eastAsia="Calibri"/>
          <w:color w:val="000000"/>
          <w:sz w:val="24"/>
        </w:rPr>
        <w:t xml:space="preserve"> (pp. 23–30). Springer. https://doi.org/10.1007/978-3-030-30199-6_3</w:t>
      </w:r>
    </w:p>
    <w:p>
      <w:pPr>
        <w:pStyle w:val="BodyText"/>
        <w:spacing w:line="240" w:lineRule="auto" w:before="0" w:after="120"/>
        <w:ind w:left="567" w:hanging="567"/>
        <w:jc w:val="left"/>
      </w:pPr>
      <w:r>
        <w:rPr>
          <w:rFonts w:ascii="Calibri" w:hAnsi="Calibri" w:cs="Calibri" w:eastAsia="Calibri"/>
          <w:color w:val="000000"/>
          <w:sz w:val="24"/>
        </w:rPr>
        <w:t xml:space="preserve">LaDonna, K. A., Taylor, T. ve Lingard, L. (2018). Why open-ended survey questions are unlikely to support rigorous qualitative insights. </w:t>
      </w:r>
      <w:r>
        <w:rPr>
          <w:iCs/>
          <w:rFonts w:ascii="Calibri" w:hAnsi="Calibri" w:cs="Calibri" w:eastAsia="Calibri"/>
          <w:i/>
          <w:color w:val="000000"/>
          <w:sz w:val="24"/>
        </w:rPr>
        <w:t xml:space="preserve">Academic Medicine, 93</w:t>
      </w:r>
      <w:r>
        <w:rPr>
          <w:rFonts w:ascii="Calibri" w:hAnsi="Calibri" w:cs="Calibri" w:eastAsia="Calibri"/>
          <w:color w:val="000000"/>
          <w:sz w:val="24"/>
        </w:rPr>
        <w:t xml:space="preserve">(3), 347–349. https://doi.org/10.1097/ACM.0000000000002088</w:t>
      </w:r>
    </w:p>
    <w:p>
      <w:pPr>
        <w:pStyle w:val="BodyText"/>
        <w:spacing w:line="240" w:lineRule="auto" w:before="0" w:after="120"/>
        <w:ind w:left="567" w:hanging="567"/>
        <w:jc w:val="left"/>
      </w:pPr>
      <w:r>
        <w:rPr>
          <w:rFonts w:ascii="Calibri" w:hAnsi="Calibri" w:cs="Calibri" w:eastAsia="Calibri"/>
          <w:color w:val="000000"/>
          <w:sz w:val="24"/>
        </w:rPr>
        <w:t xml:space="preserve">Lau, G. R., Low, W. Y., Tay, L., Guevarra, Y. A., Gašević, D. ve Hartanto, A. (2026). Understanding critical thinking in generative artificial intelligence use: Development, validation, and correlates of the critical thinking in AI use scale. </w:t>
      </w:r>
      <w:r>
        <w:rPr>
          <w:iCs/>
          <w:rFonts w:ascii="Calibri" w:hAnsi="Calibri" w:cs="Calibri" w:eastAsia="Calibri"/>
          <w:i/>
          <w:color w:val="000000"/>
          <w:sz w:val="24"/>
        </w:rPr>
        <w:t xml:space="preserve">Computers in Human Behavior Reports, 22</w:t>
      </w:r>
      <w:r>
        <w:rPr>
          <w:rFonts w:ascii="Calibri" w:hAnsi="Calibri" w:cs="Calibri" w:eastAsia="Calibri"/>
          <w:color w:val="000000"/>
          <w:sz w:val="24"/>
        </w:rPr>
        <w:t xml:space="preserve">, Article 101103. https://doi.org/10.1016/j.chbr.2026.101103</w:t>
      </w:r>
    </w:p>
    <w:p>
      <w:pPr>
        <w:pStyle w:val="BodyText"/>
        <w:spacing w:line="240" w:lineRule="auto" w:before="0" w:after="120"/>
        <w:ind w:left="567" w:hanging="567"/>
        <w:jc w:val="left"/>
      </w:pPr>
      <w:r>
        <w:rPr>
          <w:rFonts w:ascii="Calibri" w:hAnsi="Calibri" w:cs="Calibri" w:eastAsia="Calibri"/>
          <w:color w:val="000000"/>
          <w:sz w:val="24"/>
        </w:rPr>
        <w:t xml:space="preserve">Le, T. H., Huynh, L., Dang, B., Pham, H., Nguyen, N. T. ve Nguyen, A. (2026). Development and evaluation of artificial intelligence literacy training for teacher education students.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Khalid, S., Ifran, S., Huang, X., Tadesse, E. ve Dainkun, J. (2026). AI-integrated professional development for pre-service teachers: A systematic review of impacts on pedagogical strategies and technological self-efficacy.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European Journal of Education, 61</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(2), Article e70547. https://doi.org/10.1111/ejed.70547</w:t>
      </w:r>
    </w:p>
    <w:p>
      <w:pPr>
        <w:pStyle w:val="BodyText"/>
        <w:spacing w:line="240" w:lineRule="auto" w:before="0" w:after="120"/>
        <w:ind w:left="567" w:hanging="567"/>
        <w:jc w:val="left"/>
      </w:pPr>
      <w:r>
        <w:rPr>
          <w:rFonts w:ascii="Calibri" w:hAnsi="Calibri" w:cs="Calibri" w:eastAsia="Calibri"/>
          <w:color w:val="000000"/>
          <w:sz w:val="24"/>
        </w:rPr>
        <w:t xml:space="preserve">Kılıç, S. ve Koca, F. (2025). Artificial intelligence addiction of university students: The case of Ordu University. </w:t>
      </w:r>
      <w:r>
        <w:rPr>
          <w:iCs/>
          <w:rFonts w:ascii="Calibri" w:hAnsi="Calibri" w:cs="Calibri" w:eastAsia="Calibri"/>
          <w:i/>
          <w:color w:val="000000"/>
          <w:sz w:val="24"/>
        </w:rPr>
        <w:t xml:space="preserve">ODÜ Sosyal Bilimler Araştırmaları Dergisi, 15</w:t>
      </w:r>
      <w:r>
        <w:rPr>
          <w:rFonts w:ascii="Calibri" w:hAnsi="Calibri" w:cs="Calibri" w:eastAsia="Calibri"/>
          <w:color w:val="000000"/>
          <w:sz w:val="24"/>
        </w:rPr>
        <w:t xml:space="preserve">(ISRIS 2025), 352–368. https://doi.org/10.48146/odusobiad.1725693</w:t>
      </w:r>
    </w:p>
    <w:p>
      <w:pPr>
        <w:pStyle w:val="BodyText"/>
        <w:spacing w:line="240" w:lineRule="auto" w:before="0" w:after="120"/>
        <w:ind w:left="567" w:hanging="567"/>
        <w:jc w:val="left"/>
      </w:pPr>
      <w:r>
        <w:rPr>
          <w:rFonts w:ascii="Calibri" w:hAnsi="Calibri" w:cs="Calibri" w:eastAsia="Calibri"/>
          <w:color w:val="000000"/>
          <w:sz w:val="24"/>
        </w:rPr>
        <w:t xml:space="preserve">Kırbulut Güneş, Z. D. ve Güneş, B. (2026). Examining chatbot-generated responses on heat and temperature: Misconceptions, consistency, and conceptual change. </w:t>
      </w:r>
      <w:r>
        <w:rPr>
          <w:iCs/>
          <w:rFonts w:ascii="Calibri" w:hAnsi="Calibri" w:cs="Calibri" w:eastAsia="Calibri"/>
          <w:i/>
          <w:color w:val="000000"/>
          <w:sz w:val="24"/>
        </w:rPr>
        <w:t xml:space="preserve">Eğitim ve Bilim, 51</w:t>
      </w:r>
      <w:r>
        <w:rPr>
          <w:rFonts w:ascii="Calibri" w:hAnsi="Calibri" w:cs="Calibri" w:eastAsia="Calibri"/>
          <w:color w:val="000000"/>
          <w:sz w:val="24"/>
        </w:rPr>
        <w:t xml:space="preserve">(225), 227–264. https://doi.org/10.15390/ES.2026.2515</w:t>
      </w:r>
    </w:p>
    <w:p>
      <w:pPr>
        <w:pStyle w:val="BodyText"/>
        <w:spacing w:line="240" w:lineRule="auto" w:before="0" w:after="120"/>
        <w:ind w:left="567" w:hanging="567"/>
        <w:jc w:val="left"/>
      </w:pPr>
      <w:r>
        <w:rPr>
          <w:rFonts w:ascii="Calibri" w:hAnsi="Calibri" w:cs="Calibri" w:eastAsia="Calibri"/>
          <w:color w:val="000000"/>
          <w:sz w:val="24"/>
        </w:rPr>
        <w:t xml:space="preserve">Kim, E. M., Garg, A., Peng, K. ve Garg, N. (2025). Correlated errors in large language models.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30038–30066). PMLR. https://proceedings.mlr.press/v267/kim25e.html</w:t>
      </w:r>
    </w:p>
    <w:p>
      <w:pPr>
        <w:pStyle w:val="BodyText"/>
        <w:spacing w:line="240" w:lineRule="auto" w:before="0" w:after="120"/>
        <w:ind w:left="567" w:hanging="567"/>
        <w:jc w:val="left"/>
      </w:pPr>
      <w:r>
        <w:rPr>
          <w:rFonts w:ascii="Calibri" w:hAnsi="Calibri" w:cs="Calibri" w:eastAsia="Calibri"/>
          <w:color w:val="000000"/>
          <w:sz w:val="24"/>
        </w:rPr>
        <w:t xml:space="preserve">Kim, H., Sefcik, J. S. ve Bradway, C. (2017). Characteristics of qualitative descriptive studies: A systematic review. </w:t>
      </w:r>
      <w:r>
        <w:rPr>
          <w:iCs/>
          <w:rFonts w:ascii="Calibri" w:hAnsi="Calibri" w:cs="Calibri" w:eastAsia="Calibri"/>
          <w:i/>
          <w:color w:val="000000"/>
          <w:sz w:val="24"/>
        </w:rPr>
        <w:t xml:space="preserve">Research in Nursing &amp; Health, 40</w:t>
      </w:r>
      <w:r>
        <w:rPr>
          <w:rFonts w:ascii="Calibri" w:hAnsi="Calibri" w:cs="Calibri" w:eastAsia="Calibri"/>
          <w:color w:val="000000"/>
          <w:sz w:val="24"/>
        </w:rPr>
        <w:t xml:space="preserve">(1), 23–42. https://doi.org/10.1002/nur.21768</w:t>
      </w:r>
    </w:p>
    <w:p>
      <w:pPr>
        <w:pStyle w:val="BodyText"/>
        <w:spacing w:line="240" w:lineRule="auto" w:before="0" w:after="120"/>
        <w:ind w:left="567" w:hanging="567"/>
        <w:jc w:val="left"/>
      </w:pPr>
      <w:r>
        <w:rPr>
          <w:rFonts w:ascii="Calibri" w:hAnsi="Calibri" w:cs="Calibri" w:eastAsia="Calibri"/>
          <w:color w:val="000000"/>
          <w:sz w:val="24"/>
        </w:rPr>
        <w:t xml:space="preserve">Kirsanov, O., Kushwah, L. ve Selvaretnam, G. (2026). Beyond detection: How students use, and hide, AI in online assessments and what authentic tasks can do about it. </w:t>
      </w:r>
      <w:r>
        <w:rPr>
          <w:iCs/>
          <w:rFonts w:ascii="Calibri" w:hAnsi="Calibri" w:cs="Calibri" w:eastAsia="Calibri"/>
          <w:i/>
          <w:color w:val="000000"/>
          <w:sz w:val="24"/>
        </w:rPr>
        <w:t xml:space="preserve">Journal of Academic Ethics, 24</w:t>
      </w:r>
      <w:r>
        <w:rPr>
          <w:rFonts w:ascii="Calibri" w:hAnsi="Calibri" w:cs="Calibri" w:eastAsia="Calibri"/>
          <w:color w:val="000000"/>
          <w:sz w:val="24"/>
        </w:rPr>
        <w:t xml:space="preserve">(1), Article 14. https://doi.org/10.1007/s10805-025-09691-3</w:t>
      </w:r>
    </w:p>
    <w:p>
      <w:pPr>
        <w:pStyle w:val="BodyText"/>
        <w:spacing w:line="240" w:lineRule="auto" w:before="0" w:after="120"/>
        <w:ind w:left="567" w:hanging="567"/>
        <w:jc w:val="left"/>
      </w:pPr>
      <w:r>
        <w:rPr>
          <w:rFonts w:ascii="Calibri" w:hAnsi="Calibri" w:cs="Calibri" w:eastAsia="Calibri"/>
          <w:color w:val="000000"/>
          <w:sz w:val="24"/>
        </w:rPr>
        <w:t xml:space="preserve">Klingbeil, A., Grützner, C. ve Schreck, P. (2024). Trust and reliance on AI: An experimental study on the extent and costs of overreliance on AI. </w:t>
      </w:r>
      <w:r>
        <w:rPr>
          <w:iCs/>
          <w:rFonts w:ascii="Calibri" w:hAnsi="Calibri" w:cs="Calibri" w:eastAsia="Calibri"/>
          <w:i/>
          <w:color w:val="000000"/>
          <w:sz w:val="24"/>
        </w:rPr>
        <w:t xml:space="preserve">Computers in Human Behavior, 160</w:t>
      </w:r>
      <w:r>
        <w:rPr>
          <w:rFonts w:ascii="Calibri" w:hAnsi="Calibri" w:cs="Calibri" w:eastAsia="Calibri"/>
          <w:color w:val="000000"/>
          <w:sz w:val="24"/>
        </w:rPr>
        <w:t xml:space="preserve">, Article 108352. https://doi.org/10.1016/j.chb.2024.108352</w:t>
      </w:r>
    </w:p>
    <w:p>
      <w:pPr>
        <w:pStyle w:val="BodyText"/>
        <w:spacing w:line="240" w:lineRule="auto" w:before="0" w:after="120"/>
        <w:ind w:left="567" w:hanging="567"/>
        <w:jc w:val="left"/>
      </w:pPr>
      <w:r>
        <w:rPr>
          <w:rFonts w:ascii="Calibri" w:hAnsi="Calibri" w:cs="Calibri" w:eastAsia="Calibri"/>
          <w:color w:val="000000"/>
          <w:sz w:val="24"/>
        </w:rPr>
        <w:t xml:space="preserve">Kohnke, L. ve Moorhouse, B. L. (2026). Avoiding de-skilling and dependency: A practical guide to using generative AI in TESOL teacher education.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Khalid, S., Ifran, S., Huang, X., Tadesse, E. ve Dainkun, J. (2026). AI-integrated professional development for pre-service teachers: A systematic review of impacts on pedagogical strategies and technological self-efficacy.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European Journal of Education, 61</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(2), Article e70547. https://doi.org/10.1111/ejed.70547</w:t>
      </w:r>
    </w:p>
    <w:p>
      <w:pPr>
        <w:pStyle w:val="BodyText"/>
        <w:spacing w:line="240" w:lineRule="auto" w:before="0" w:after="120"/>
        <w:ind w:left="567" w:hanging="567"/>
        <w:jc w:val="left"/>
      </w:pPr>
      <w:r>
        <w:rPr>
          <w:rFonts w:ascii="Calibri" w:hAnsi="Calibri" w:cs="Calibri" w:eastAsia="Calibri"/>
          <w:color w:val="000000"/>
          <w:sz w:val="24"/>
        </w:rPr>
        <w:t xml:space="preserve">Kılıç, S. ve Koca, F. (2025). Artificial intelligence addiction of university students: The case of Ordu University. </w:t>
      </w:r>
      <w:r>
        <w:rPr>
          <w:iCs/>
          <w:rFonts w:ascii="Calibri" w:hAnsi="Calibri" w:cs="Calibri" w:eastAsia="Calibri"/>
          <w:i/>
          <w:color w:val="000000"/>
          <w:sz w:val="24"/>
        </w:rPr>
        <w:t xml:space="preserve">ODÜ Sosyal Bilimler Araştırmaları Dergisi, 15</w:t>
      </w:r>
      <w:r>
        <w:rPr>
          <w:rFonts w:ascii="Calibri" w:hAnsi="Calibri" w:cs="Calibri" w:eastAsia="Calibri"/>
          <w:color w:val="000000"/>
          <w:sz w:val="24"/>
        </w:rPr>
        <w:t xml:space="preserve">(ISRIS 2025), 352–368. https://doi.org/10.48146/odusobiad.1725693</w:t>
      </w:r>
    </w:p>
    <w:p>
      <w:pPr>
        <w:pStyle w:val="BodyText"/>
        <w:spacing w:line="240" w:lineRule="auto" w:before="0" w:after="120"/>
        <w:ind w:left="567" w:hanging="567"/>
        <w:jc w:val="left"/>
      </w:pPr>
      <w:r>
        <w:rPr>
          <w:rFonts w:ascii="Calibri" w:hAnsi="Calibri" w:cs="Calibri" w:eastAsia="Calibri"/>
          <w:color w:val="000000"/>
          <w:sz w:val="24"/>
        </w:rPr>
        <w:t xml:space="preserve">Kırbulut Güneş, Z. D. ve Güneş, B. (2026). Examining chatbot-generated responses on heat and temperature: Misconceptions, consistency, and conceptual change. </w:t>
      </w:r>
      <w:r>
        <w:rPr>
          <w:iCs/>
          <w:rFonts w:ascii="Calibri" w:hAnsi="Calibri" w:cs="Calibri" w:eastAsia="Calibri"/>
          <w:i/>
          <w:color w:val="000000"/>
          <w:sz w:val="24"/>
        </w:rPr>
        <w:t xml:space="preserve">Eğitim ve Bilim, 51</w:t>
      </w:r>
      <w:r>
        <w:rPr>
          <w:rFonts w:ascii="Calibri" w:hAnsi="Calibri" w:cs="Calibri" w:eastAsia="Calibri"/>
          <w:color w:val="000000"/>
          <w:sz w:val="24"/>
        </w:rPr>
        <w:t xml:space="preserve">(225), 227–264. https://doi.org/10.15390/ES.2026.2515</w:t>
      </w:r>
    </w:p>
    <w:p>
      <w:pPr>
        <w:pStyle w:val="BodyText"/>
        <w:spacing w:line="240" w:lineRule="auto" w:before="0" w:after="120"/>
        <w:ind w:left="567" w:hanging="567"/>
        <w:jc w:val="left"/>
      </w:pPr>
      <w:r>
        <w:rPr>
          <w:rFonts w:ascii="Calibri" w:hAnsi="Calibri" w:cs="Calibri" w:eastAsia="Calibri"/>
          <w:color w:val="000000"/>
          <w:sz w:val="24"/>
        </w:rPr>
        <w:t xml:space="preserve">Kim, E. M., Garg, A., Peng, K. ve Garg, N. (2025). Correlated errors in large language models.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30038–30066). PMLR. https://proceedings.mlr.press/v267/kim25e.html</w:t>
      </w:r>
    </w:p>
    <w:p>
      <w:pPr>
        <w:pStyle w:val="BodyText"/>
        <w:spacing w:line="240" w:lineRule="auto" w:before="0" w:after="120"/>
        <w:ind w:left="567" w:hanging="567"/>
        <w:jc w:val="left"/>
      </w:pPr>
      <w:r>
        <w:rPr>
          <w:rFonts w:ascii="Calibri" w:hAnsi="Calibri" w:cs="Calibri" w:eastAsia="Calibri"/>
          <w:color w:val="000000"/>
          <w:sz w:val="24"/>
        </w:rPr>
        <w:t xml:space="preserve">Kim, H., Sefcik, J. S. ve Bradway, C. (2017). Characteristics of qualitative descriptive studies: A systematic review. </w:t>
      </w:r>
      <w:r>
        <w:rPr>
          <w:iCs/>
          <w:rFonts w:ascii="Calibri" w:hAnsi="Calibri" w:cs="Calibri" w:eastAsia="Calibri"/>
          <w:i/>
          <w:color w:val="000000"/>
          <w:sz w:val="24"/>
        </w:rPr>
        <w:t xml:space="preserve">Research in Nursing &amp; Health, 40</w:t>
      </w:r>
      <w:r>
        <w:rPr>
          <w:rFonts w:ascii="Calibri" w:hAnsi="Calibri" w:cs="Calibri" w:eastAsia="Calibri"/>
          <w:color w:val="000000"/>
          <w:sz w:val="24"/>
        </w:rPr>
        <w:t xml:space="preserve">(1), 23–42. https://doi.org/10.1002/nur.21768</w:t>
      </w:r>
    </w:p>
    <w:p>
      <w:pPr>
        <w:pStyle w:val="BodyText"/>
        <w:spacing w:line="240" w:lineRule="auto" w:before="0" w:after="120"/>
        <w:ind w:left="567" w:hanging="567"/>
        <w:jc w:val="left"/>
      </w:pPr>
      <w:r>
        <w:rPr>
          <w:rFonts w:ascii="Calibri" w:hAnsi="Calibri" w:cs="Calibri" w:eastAsia="Calibri"/>
          <w:color w:val="000000"/>
          <w:sz w:val="24"/>
        </w:rPr>
        <w:t xml:space="preserve">Kirsanov, O., Kushwah, L. ve Selvaretnam, G. (2026). Beyond detection: How students use, and hide, AI in online assessments and what authentic tasks can do about it. </w:t>
      </w:r>
      <w:r>
        <w:rPr>
          <w:iCs/>
          <w:rFonts w:ascii="Calibri" w:hAnsi="Calibri" w:cs="Calibri" w:eastAsia="Calibri"/>
          <w:i/>
          <w:color w:val="000000"/>
          <w:sz w:val="24"/>
        </w:rPr>
        <w:t xml:space="preserve">Journal of Academic Ethics, 24</w:t>
      </w:r>
      <w:r>
        <w:rPr>
          <w:rFonts w:ascii="Calibri" w:hAnsi="Calibri" w:cs="Calibri" w:eastAsia="Calibri"/>
          <w:color w:val="000000"/>
          <w:sz w:val="24"/>
        </w:rPr>
        <w:t xml:space="preserve">(1), Article 14. https://doi.org/10.1007/s10805-025-09691-3</w:t>
      </w:r>
    </w:p>
    <w:p>
      <w:pPr>
        <w:pStyle w:val="BodyText"/>
        <w:spacing w:line="240" w:lineRule="auto" w:before="0" w:after="120"/>
        <w:ind w:left="567" w:hanging="567"/>
        <w:jc w:val="left"/>
      </w:pPr>
      <w:r>
        <w:rPr>
          <w:rFonts w:ascii="Calibri" w:hAnsi="Calibri" w:cs="Calibri" w:eastAsia="Calibri"/>
          <w:color w:val="000000"/>
          <w:sz w:val="24"/>
        </w:rPr>
        <w:t xml:space="preserve">Klingbeil, A., Grützner, C. ve Schreck, P. (2024). Trust and reliance on AI: An experimental study on the extent and costs of overreliance on AI. </w:t>
      </w:r>
      <w:r>
        <w:rPr>
          <w:iCs/>
          <w:rFonts w:ascii="Calibri" w:hAnsi="Calibri" w:cs="Calibri" w:eastAsia="Calibri"/>
          <w:i/>
          <w:color w:val="000000"/>
          <w:sz w:val="24"/>
        </w:rPr>
        <w:t xml:space="preserve">Computers in Human Behavior, 160</w:t>
      </w:r>
      <w:r>
        <w:rPr>
          <w:rFonts w:ascii="Calibri" w:hAnsi="Calibri" w:cs="Calibri" w:eastAsia="Calibri"/>
          <w:color w:val="000000"/>
          <w:sz w:val="24"/>
        </w:rPr>
        <w:t xml:space="preserve">, Article 108352. https://doi.org/10.1016/j.chb.2024.108352</w:t>
      </w:r>
    </w:p>
    <w:p>
      <w:pPr>
        <w:pStyle w:val="BodyText"/>
        <w:spacing w:line="240" w:lineRule="auto" w:before="0" w:after="120"/>
        <w:ind w:left="567" w:hanging="567"/>
        <w:jc w:val="left"/>
      </w:pPr>
      <w:r>
        <w:rPr>
          <w:rFonts w:ascii="Calibri" w:hAnsi="Calibri" w:cs="Calibri" w:eastAsia="Calibri"/>
          <w:color w:val="000000"/>
          <w:sz w:val="24"/>
        </w:rPr>
        <w:t xml:space="preserve">TESOL Quarterly</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Khalid, S., Ifran, S., Huang, X., Tadesse, E. ve Dainkun, J. (2026). AI-integrated professional development for pre-service teachers: A systematic review of impacts on pedagogical strategies and technological self-efficacy.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European Journal of Education, 61</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(2), Article e70547. https://doi.org/10.1111/ejed.70547</w:t>
      </w:r>
    </w:p>
    <w:p>
      <w:pPr>
        <w:pStyle w:val="BodyText"/>
        <w:spacing w:line="240" w:lineRule="auto" w:before="0" w:after="120"/>
        <w:ind w:left="567" w:hanging="567"/>
        <w:jc w:val="left"/>
      </w:pPr>
      <w:r>
        <w:rPr>
          <w:rFonts w:ascii="Calibri" w:hAnsi="Calibri" w:cs="Calibri" w:eastAsia="Calibri"/>
          <w:color w:val="000000"/>
          <w:sz w:val="24"/>
        </w:rPr>
        <w:t xml:space="preserve">Kılıç, S. ve Koca, F. (2025). Artificial intelligence addiction of university students: The case of Ordu University. </w:t>
      </w:r>
      <w:r>
        <w:rPr>
          <w:iCs/>
          <w:rFonts w:ascii="Calibri" w:hAnsi="Calibri" w:cs="Calibri" w:eastAsia="Calibri"/>
          <w:i/>
          <w:color w:val="000000"/>
          <w:sz w:val="24"/>
        </w:rPr>
        <w:t xml:space="preserve">ODÜ Sosyal Bilimler Araştırmaları Dergisi, 15</w:t>
      </w:r>
      <w:r>
        <w:rPr>
          <w:rFonts w:ascii="Calibri" w:hAnsi="Calibri" w:cs="Calibri" w:eastAsia="Calibri"/>
          <w:color w:val="000000"/>
          <w:sz w:val="24"/>
        </w:rPr>
        <w:t xml:space="preserve">(ISRIS 2025), 352–368. https://doi.org/10.48146/odusobiad.1725693</w:t>
      </w:r>
    </w:p>
    <w:p>
      <w:pPr>
        <w:pStyle w:val="BodyText"/>
        <w:spacing w:line="240" w:lineRule="auto" w:before="0" w:after="120"/>
        <w:ind w:left="567" w:hanging="567"/>
        <w:jc w:val="left"/>
      </w:pPr>
      <w:r>
        <w:rPr>
          <w:rFonts w:ascii="Calibri" w:hAnsi="Calibri" w:cs="Calibri" w:eastAsia="Calibri"/>
          <w:color w:val="000000"/>
          <w:sz w:val="24"/>
        </w:rPr>
        <w:t xml:space="preserve">Kırbulut Güneş, Z. D. ve Güneş, B. (2026). Examining chatbot-generated responses on heat and temperature: Misconceptions, consistency, and conceptual change. </w:t>
      </w:r>
      <w:r>
        <w:rPr>
          <w:iCs/>
          <w:rFonts w:ascii="Calibri" w:hAnsi="Calibri" w:cs="Calibri" w:eastAsia="Calibri"/>
          <w:i/>
          <w:color w:val="000000"/>
          <w:sz w:val="24"/>
        </w:rPr>
        <w:t xml:space="preserve">Eğitim ve Bilim, 51</w:t>
      </w:r>
      <w:r>
        <w:rPr>
          <w:rFonts w:ascii="Calibri" w:hAnsi="Calibri" w:cs="Calibri" w:eastAsia="Calibri"/>
          <w:color w:val="000000"/>
          <w:sz w:val="24"/>
        </w:rPr>
        <w:t xml:space="preserve">(225), 227–264. https://doi.org/10.15390/ES.2026.2515</w:t>
      </w:r>
    </w:p>
    <w:p>
      <w:pPr>
        <w:pStyle w:val="BodyText"/>
        <w:spacing w:line="240" w:lineRule="auto" w:before="0" w:after="120"/>
        <w:ind w:left="567" w:hanging="567"/>
        <w:jc w:val="left"/>
      </w:pPr>
      <w:r>
        <w:rPr>
          <w:rFonts w:ascii="Calibri" w:hAnsi="Calibri" w:cs="Calibri" w:eastAsia="Calibri"/>
          <w:color w:val="000000"/>
          <w:sz w:val="24"/>
        </w:rPr>
        <w:t xml:space="preserve">Kim, E. M., Garg, A., Peng, K. ve Garg, N. (2025). Correlated errors in large language models.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30038–30066). PMLR. https://proceedings.mlr.press/v267/kim25e.html</w:t>
      </w:r>
    </w:p>
    <w:p>
      <w:pPr>
        <w:pStyle w:val="BodyText"/>
        <w:spacing w:line="240" w:lineRule="auto" w:before="0" w:after="120"/>
        <w:ind w:left="567" w:hanging="567"/>
        <w:jc w:val="left"/>
      </w:pPr>
      <w:r>
        <w:rPr>
          <w:rFonts w:ascii="Calibri" w:hAnsi="Calibri" w:cs="Calibri" w:eastAsia="Calibri"/>
          <w:color w:val="000000"/>
          <w:sz w:val="24"/>
        </w:rPr>
        <w:t xml:space="preserve">Kim, H., Sefcik, J. S. ve Bradway, C. (2017). Characteristics of qualitative descriptive studies: A systematic review. </w:t>
      </w:r>
      <w:r>
        <w:rPr>
          <w:iCs/>
          <w:rFonts w:ascii="Calibri" w:hAnsi="Calibri" w:cs="Calibri" w:eastAsia="Calibri"/>
          <w:i/>
          <w:color w:val="000000"/>
          <w:sz w:val="24"/>
        </w:rPr>
        <w:t xml:space="preserve">Research in Nursing &amp; Health, 40</w:t>
      </w:r>
      <w:r>
        <w:rPr>
          <w:rFonts w:ascii="Calibri" w:hAnsi="Calibri" w:cs="Calibri" w:eastAsia="Calibri"/>
          <w:color w:val="000000"/>
          <w:sz w:val="24"/>
        </w:rPr>
        <w:t xml:space="preserve">(1), 23–42. https://doi.org/10.1002/nur.21768</w:t>
      </w:r>
    </w:p>
    <w:p>
      <w:pPr>
        <w:pStyle w:val="BodyText"/>
        <w:spacing w:line="240" w:lineRule="auto" w:before="0" w:after="120"/>
        <w:ind w:left="567" w:hanging="567"/>
        <w:jc w:val="left"/>
      </w:pPr>
      <w:r>
        <w:rPr>
          <w:rFonts w:ascii="Calibri" w:hAnsi="Calibri" w:cs="Calibri" w:eastAsia="Calibri"/>
          <w:color w:val="000000"/>
          <w:sz w:val="24"/>
        </w:rPr>
        <w:t xml:space="preserve">Kirsanov, O., Kushwah, L. ve Selvaretnam, G. (2026). Beyond detection: How students use, and hide, AI in online assessments and what authentic tasks can do about it. </w:t>
      </w:r>
      <w:r>
        <w:rPr>
          <w:iCs/>
          <w:rFonts w:ascii="Calibri" w:hAnsi="Calibri" w:cs="Calibri" w:eastAsia="Calibri"/>
          <w:i/>
          <w:color w:val="000000"/>
          <w:sz w:val="24"/>
        </w:rPr>
        <w:t xml:space="preserve">Journal of Academic Ethics, 24</w:t>
      </w:r>
      <w:r>
        <w:rPr>
          <w:rFonts w:ascii="Calibri" w:hAnsi="Calibri" w:cs="Calibri" w:eastAsia="Calibri"/>
          <w:color w:val="000000"/>
          <w:sz w:val="24"/>
        </w:rPr>
        <w:t xml:space="preserve">(1), Article 14. https://doi.org/10.1007/s10805-025-09691-3</w:t>
      </w:r>
    </w:p>
    <w:p>
      <w:pPr>
        <w:pStyle w:val="BodyText"/>
        <w:spacing w:line="240" w:lineRule="auto" w:before="0" w:after="120"/>
        <w:ind w:left="567" w:hanging="567"/>
        <w:jc w:val="left"/>
      </w:pPr>
      <w:r>
        <w:rPr>
          <w:rFonts w:ascii="Calibri" w:hAnsi="Calibri" w:cs="Calibri" w:eastAsia="Calibri"/>
          <w:color w:val="000000"/>
          <w:sz w:val="24"/>
        </w:rPr>
        <w:t xml:space="preserve">Klingbeil, A., Grützner, C. ve Schreck, P. (2024). Trust and reliance on AI: An experimental study on the extent and costs of overreliance on AI. </w:t>
      </w:r>
      <w:r>
        <w:rPr>
          <w:iCs/>
          <w:rFonts w:ascii="Calibri" w:hAnsi="Calibri" w:cs="Calibri" w:eastAsia="Calibri"/>
          <w:i/>
          <w:color w:val="000000"/>
          <w:sz w:val="24"/>
        </w:rPr>
        <w:t xml:space="preserve">Computers in Human Behavior, 160</w:t>
      </w:r>
      <w:r>
        <w:rPr>
          <w:rFonts w:ascii="Calibri" w:hAnsi="Calibri" w:cs="Calibri" w:eastAsia="Calibri"/>
          <w:color w:val="000000"/>
          <w:sz w:val="24"/>
        </w:rPr>
        <w:t xml:space="preserve">, Article 108352. https://doi.org/10.1016/j.chb.2024.108352</w:t>
      </w:r>
    </w:p>
    <w:p>
      <w:pPr>
        <w:pStyle w:val="BodyText"/>
        <w:spacing w:line="240" w:lineRule="auto" w:before="0" w:after="120"/>
        <w:ind w:left="567" w:hanging="567"/>
        <w:jc w:val="left"/>
      </w:pPr>
      <w:r>
        <w:rPr>
          <w:rFonts w:ascii="Calibri" w:hAnsi="Calibri" w:cs="Calibri" w:eastAsia="Calibri"/>
          <w:color w:val="000000"/>
          <w:sz w:val="24"/>
        </w:rPr>
        <w:t xml:space="preserve">. Advance online publication. https://doi.org/10.1002/tesq.70203</w:t>
      </w:r>
    </w:p>
    <w:p>
      <w:pPr>
        <w:pStyle w:val="BodyText"/>
        <w:spacing w:line="240" w:lineRule="auto" w:before="0" w:after="120"/>
        <w:ind w:left="567" w:hanging="567"/>
        <w:jc w:val="left"/>
      </w:pPr>
      <w:r>
        <w:rPr>
          <w:rFonts w:ascii="Calibri" w:hAnsi="Calibri" w:cs="Calibri" w:eastAsia="Calibri"/>
          <w:color w:val="000000"/>
          <w:sz w:val="24"/>
        </w:rPr>
        <w:t xml:space="preserve">Kops, M., Schittenhelm, C. ve Wachs, S. (2025). Young people and false information: A scoping review of responses, influential factors, consequences, and prevention programs. </w:t>
      </w:r>
      <w:r>
        <w:rPr>
          <w:iCs/>
          <w:rFonts w:ascii="Calibri" w:hAnsi="Calibri" w:cs="Calibri" w:eastAsia="Calibri"/>
          <w:i/>
          <w:color w:val="000000"/>
          <w:sz w:val="24"/>
        </w:rPr>
        <w:t xml:space="preserve">Computers in Human Behavior, 169</w:t>
      </w:r>
      <w:r>
        <w:rPr>
          <w:rFonts w:ascii="Calibri" w:hAnsi="Calibri" w:cs="Calibri" w:eastAsia="Calibri"/>
          <w:color w:val="000000"/>
          <w:sz w:val="24"/>
        </w:rPr>
        <w:t xml:space="preserve">, Article 108650. https://doi.org/10.1016/j.chb.2025.108650</w:t>
      </w:r>
    </w:p>
    <w:p>
      <w:pPr>
        <w:pStyle w:val="BodyText"/>
        <w:spacing w:line="240" w:lineRule="auto" w:before="0" w:after="120"/>
        <w:ind w:left="567" w:hanging="567"/>
        <w:jc w:val="left"/>
      </w:pPr>
      <w:r>
        <w:rPr>
          <w:rFonts w:ascii="Calibri" w:hAnsi="Calibri" w:cs="Calibri" w:eastAsia="Calibri"/>
          <w:color w:val="000000"/>
          <w:sz w:val="24"/>
        </w:rPr>
        <w:t xml:space="preserve">Korstjens, I. ve Moser, A. (2018). Series: Practical guidance to qualitative research. Part 4: Trustworthiness and publishing. </w:t>
      </w:r>
      <w:r>
        <w:rPr>
          <w:iCs/>
          <w:rFonts w:ascii="Calibri" w:hAnsi="Calibri" w:cs="Calibri" w:eastAsia="Calibri"/>
          <w:i/>
          <w:color w:val="000000"/>
          <w:sz w:val="24"/>
        </w:rPr>
        <w:t xml:space="preserve">European Journal of General Practice, 24</w:t>
      </w:r>
      <w:r>
        <w:rPr>
          <w:rFonts w:ascii="Calibri" w:hAnsi="Calibri" w:cs="Calibri" w:eastAsia="Calibri"/>
          <w:color w:val="000000"/>
          <w:sz w:val="24"/>
        </w:rPr>
        <w:t xml:space="preserve">(1), 120–124. https://doi.org/10.1080/13814788.2017.1375092</w:t>
      </w:r>
    </w:p>
    <w:p>
      <w:pPr>
        <w:pStyle w:val="BodyText"/>
        <w:spacing w:line="240" w:lineRule="auto" w:before="0" w:after="120"/>
        <w:ind w:left="567" w:hanging="567"/>
        <w:jc w:val="left"/>
      </w:pPr>
      <w:r>
        <w:rPr>
          <w:rFonts w:ascii="Calibri" w:hAnsi="Calibri" w:cs="Calibri" w:eastAsia="Calibri"/>
          <w:color w:val="000000"/>
          <w:sz w:val="24"/>
        </w:rPr>
        <w:t xml:space="preserve">Koynoğlu, Z. N. ve Şenel Çoruhlu, T. (2026). Sınıf öğretmeni adaylarının “yapay zekâ” kavramına ilişkin metaforik algılarının incelenmesi. </w:t>
      </w:r>
      <w:r>
        <w:rPr>
          <w:iCs/>
          <w:rFonts w:ascii="Calibri" w:hAnsi="Calibri" w:cs="Calibri" w:eastAsia="Calibri"/>
          <w:i/>
          <w:color w:val="000000"/>
          <w:sz w:val="24"/>
        </w:rPr>
        <w:t xml:space="preserve">Manisa Celal Bayar Üniversitesi Eğitim Fakültesi Dergisi, 14</w:t>
      </w:r>
      <w:r>
        <w:rPr>
          <w:rFonts w:ascii="Calibri" w:hAnsi="Calibri" w:cs="Calibri" w:eastAsia="Calibri"/>
          <w:color w:val="000000"/>
          <w:sz w:val="24"/>
        </w:rPr>
        <w:t xml:space="preserve">(1), 206–225. https://doi.org/10.52826/mcbuefd.1772671</w:t>
      </w:r>
    </w:p>
    <w:p>
      <w:pPr>
        <w:pStyle w:val="BodyText"/>
        <w:spacing w:line="240" w:lineRule="auto" w:before="0" w:after="120"/>
        <w:ind w:left="567" w:hanging="567"/>
        <w:jc w:val="left"/>
      </w:pPr>
      <w:r>
        <w:rPr>
          <w:rFonts w:ascii="Calibri" w:hAnsi="Calibri" w:cs="Calibri" w:eastAsia="Calibri"/>
          <w:color w:val="000000"/>
          <w:sz w:val="24"/>
        </w:rPr>
        <w:t xml:space="preserve">Kozyreva, A., Lorenz-Spreen, P., Herzog, S. M., Ecker, U. K. H., Lewandowsky, S., Hertwig, R., Ali, A., Bak-Coleman, J., Barzilai, S., Basol, M., Berinsky, A. J., Betsch, C., Cook, J., Fazio, L. K., Geers, M., Guess, A. M., Huang, H., Larreguy, H., Maertens, R., . . . Wineburg, S. (2024). Toolbox of individual-level interventions against online misinformation. </w:t>
      </w:r>
      <w:r>
        <w:rPr>
          <w:iCs/>
          <w:rFonts w:ascii="Calibri" w:hAnsi="Calibri" w:cs="Calibri" w:eastAsia="Calibri"/>
          <w:i/>
          <w:color w:val="000000"/>
          <w:sz w:val="24"/>
        </w:rPr>
        <w:t xml:space="preserve">Nature Human Behaviour, 8</w:t>
      </w:r>
      <w:r>
        <w:rPr>
          <w:rFonts w:ascii="Calibri" w:hAnsi="Calibri" w:cs="Calibri" w:eastAsia="Calibri"/>
          <w:color w:val="000000"/>
          <w:sz w:val="24"/>
        </w:rPr>
        <w:t xml:space="preserve">(6), 1044–1052. https://doi.org/10.1038/s41562-024-01881-0</w:t>
      </w:r>
    </w:p>
    <w:p>
      <w:pPr>
        <w:pStyle w:val="BodyText"/>
        <w:spacing w:line="240" w:lineRule="auto" w:before="0" w:after="120"/>
        <w:ind w:left="567" w:hanging="567"/>
        <w:jc w:val="left"/>
      </w:pPr>
      <w:r>
        <w:rPr>
          <w:rFonts w:ascii="Calibri" w:hAnsi="Calibri" w:cs="Calibri" w:eastAsia="Calibri"/>
          <w:color w:val="000000"/>
          <w:sz w:val="24"/>
        </w:rPr>
        <w:t xml:space="preserve">Körükçü, M. ve Kaya, İ. (2026). Sosyal bilgiler öğretmen adaylarının yapay zekâ araçlarına yönelik görüşleri. </w:t>
      </w:r>
      <w:r>
        <w:rPr>
          <w:iCs/>
          <w:rFonts w:ascii="Calibri" w:hAnsi="Calibri" w:cs="Calibri" w:eastAsia="Calibri"/>
          <w:i/>
          <w:color w:val="000000"/>
          <w:sz w:val="24"/>
        </w:rPr>
        <w:t xml:space="preserve">Üçüncü Sektör Sosyal Ekonomi Dergisi, 61</w:t>
      </w:r>
      <w:r>
        <w:rPr>
          <w:rFonts w:ascii="Calibri" w:hAnsi="Calibri" w:cs="Calibri" w:eastAsia="Calibri"/>
          <w:color w:val="000000"/>
          <w:sz w:val="24"/>
        </w:rPr>
        <w:t xml:space="preserve">(3), 3966–3990. https://doi.org/10.63556/tisej.2026.1932</w:t>
      </w:r>
    </w:p>
    <w:p>
      <w:pPr>
        <w:pStyle w:val="BodyText"/>
        <w:spacing w:line="240" w:lineRule="auto" w:before="0" w:after="120"/>
        <w:ind w:left="567" w:hanging="567"/>
        <w:jc w:val="left"/>
      </w:pPr>
      <w:r>
        <w:rPr>
          <w:rFonts w:ascii="Calibri" w:hAnsi="Calibri" w:cs="Calibri" w:eastAsia="Calibri"/>
          <w:color w:val="000000"/>
          <w:sz w:val="24"/>
        </w:rPr>
        <w:t xml:space="preserve">Krupp, L., Steinert, S., Kiefer-Emmanouilidis, M., Avila, K. E., Lukowicz, P., Kuhn, J., Küchemann, S. ve Karolus, J. (2024). Unreflected acceptance: Investigating the negative consequences of ChatGPT-assisted problem solving in physics education. In </w:t>
      </w:r>
      <w:r>
        <w:rPr>
          <w:iCs/>
          <w:rFonts w:ascii="Calibri" w:hAnsi="Calibri" w:cs="Calibri" w:eastAsia="Calibri"/>
          <w:i/>
          <w:color w:val="000000"/>
          <w:sz w:val="24"/>
        </w:rPr>
        <w:t xml:space="preserve">HHAI 2024: Hybrid human AI systems for the social good</w:t>
      </w:r>
      <w:r>
        <w:rPr>
          <w:rFonts w:ascii="Calibri" w:hAnsi="Calibri" w:cs="Calibri" w:eastAsia="Calibri"/>
          <w:color w:val="000000"/>
          <w:sz w:val="24"/>
        </w:rPr>
        <w:t xml:space="preserve"> (pp. 199–212). IOS Press. https://doi.org/10.3233/FAIA240195</w:t>
      </w:r>
    </w:p>
    <w:p>
      <w:pPr>
        <w:pStyle w:val="BodyText"/>
        <w:spacing w:line="240" w:lineRule="auto" w:before="0" w:after="120"/>
        <w:ind w:left="567" w:hanging="567"/>
        <w:jc w:val="left"/>
      </w:pPr>
      <w:r>
        <w:rPr>
          <w:rFonts w:ascii="Calibri" w:hAnsi="Calibri" w:cs="Calibri" w:eastAsia="Calibri"/>
          <w:color w:val="000000"/>
          <w:sz w:val="24"/>
        </w:rPr>
        <w:t xml:space="preserve">Kyngäs, H. ve Kaakinen, P. (2020). Deductive content analysis. In H. Kyngäs, K. Mikkonen ve M. Kääriäinen (Eds.), </w:t>
      </w:r>
      <w:r>
        <w:rPr>
          <w:iCs/>
          <w:rFonts w:ascii="Calibri" w:hAnsi="Calibri" w:cs="Calibri" w:eastAsia="Calibri"/>
          <w:i/>
          <w:color w:val="000000"/>
          <w:sz w:val="24"/>
        </w:rPr>
        <w:t xml:space="preserve">The application of content analysis in nursing science research</w:t>
      </w:r>
      <w:r>
        <w:rPr>
          <w:rFonts w:ascii="Calibri" w:hAnsi="Calibri" w:cs="Calibri" w:eastAsia="Calibri"/>
          <w:color w:val="000000"/>
          <w:sz w:val="24"/>
        </w:rPr>
        <w:t xml:space="preserve"> (pp. 23–30). Springer. https://doi.org/10.1007/978-3-030-30199-6_3</w:t>
      </w:r>
    </w:p>
    <w:p>
      <w:pPr>
        <w:pStyle w:val="BodyText"/>
        <w:spacing w:line="240" w:lineRule="auto" w:before="0" w:after="120"/>
        <w:ind w:left="567" w:hanging="567"/>
        <w:jc w:val="left"/>
      </w:pPr>
      <w:r>
        <w:rPr>
          <w:rFonts w:ascii="Calibri" w:hAnsi="Calibri" w:cs="Calibri" w:eastAsia="Calibri"/>
          <w:color w:val="000000"/>
          <w:sz w:val="24"/>
        </w:rPr>
        <w:t xml:space="preserve">LaDonna, K. A., Taylor, T. ve Lingard, L. (2018). Why open-ended survey questions are unlikely to support rigorous qualitative insights. </w:t>
      </w:r>
      <w:r>
        <w:rPr>
          <w:iCs/>
          <w:rFonts w:ascii="Calibri" w:hAnsi="Calibri" w:cs="Calibri" w:eastAsia="Calibri"/>
          <w:i/>
          <w:color w:val="000000"/>
          <w:sz w:val="24"/>
        </w:rPr>
        <w:t xml:space="preserve">Academic Medicine, 93</w:t>
      </w:r>
      <w:r>
        <w:rPr>
          <w:rFonts w:ascii="Calibri" w:hAnsi="Calibri" w:cs="Calibri" w:eastAsia="Calibri"/>
          <w:color w:val="000000"/>
          <w:sz w:val="24"/>
        </w:rPr>
        <w:t xml:space="preserve">(3), 347–349. https://doi.org/10.1097/ACM.0000000000002088</w:t>
      </w:r>
    </w:p>
    <w:p>
      <w:pPr>
        <w:pStyle w:val="BodyText"/>
        <w:spacing w:line="240" w:lineRule="auto" w:before="0" w:after="120"/>
        <w:ind w:left="567" w:hanging="567"/>
        <w:jc w:val="left"/>
      </w:pPr>
      <w:r>
        <w:rPr>
          <w:rFonts w:ascii="Calibri" w:hAnsi="Calibri" w:cs="Calibri" w:eastAsia="Calibri"/>
          <w:color w:val="000000"/>
          <w:sz w:val="24"/>
        </w:rPr>
        <w:t xml:space="preserve">Lau, G. R., Low, W. Y., Tay, L., Guevarra, Y. A., Gašević, D. ve Hartanto, A. (2026). Understanding critical thinking in generative artificial intelligence use: Development, validation, and correlates of the critical thinking in AI use scale. </w:t>
      </w:r>
      <w:r>
        <w:rPr>
          <w:iCs/>
          <w:rFonts w:ascii="Calibri" w:hAnsi="Calibri" w:cs="Calibri" w:eastAsia="Calibri"/>
          <w:i/>
          <w:color w:val="000000"/>
          <w:sz w:val="24"/>
        </w:rPr>
        <w:t xml:space="preserve">Computers in Human Behavior Reports, 22</w:t>
      </w:r>
      <w:r>
        <w:rPr>
          <w:rFonts w:ascii="Calibri" w:hAnsi="Calibri" w:cs="Calibri" w:eastAsia="Calibri"/>
          <w:color w:val="000000"/>
          <w:sz w:val="24"/>
        </w:rPr>
        <w:t xml:space="preserve">, Article 101103. https://doi.org/10.1016/j.chbr.2026.101103</w:t>
      </w:r>
    </w:p>
    <w:p>
      <w:pPr>
        <w:pStyle w:val="BodyText"/>
        <w:spacing w:line="240" w:lineRule="auto" w:before="0" w:after="120"/>
        <w:ind w:left="567" w:hanging="567"/>
        <w:jc w:val="left"/>
      </w:pPr>
      <w:r>
        <w:rPr>
          <w:rFonts w:ascii="Calibri" w:hAnsi="Calibri" w:cs="Calibri" w:eastAsia="Calibri"/>
          <w:color w:val="000000"/>
          <w:sz w:val="24"/>
        </w:rPr>
        <w:t xml:space="preserve">British Journal of Educational Technology</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Khalid, S., Ifran, S., Huang, X., Tadesse, E. ve Dainkun, J. (2026). AI-integrated professional development for pre-service teachers: A systematic review of impacts on pedagogical strategies and technological self-efficacy.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European Journal of Education, 61</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(2), Article e70547. https://doi.org/10.1111/ejed.70547</w:t>
      </w:r>
    </w:p>
    <w:p>
      <w:pPr>
        <w:pStyle w:val="BodyText"/>
        <w:spacing w:line="240" w:lineRule="auto" w:before="0" w:after="120"/>
        <w:ind w:left="567" w:hanging="567"/>
        <w:jc w:val="left"/>
      </w:pPr>
      <w:r>
        <w:rPr>
          <w:rFonts w:ascii="Calibri" w:hAnsi="Calibri" w:cs="Calibri" w:eastAsia="Calibri"/>
          <w:color w:val="000000"/>
          <w:sz w:val="24"/>
        </w:rPr>
        <w:t xml:space="preserve">Kılıç, S. ve Koca, F. (2025). Artificial intelligence addiction of university students: The case of Ordu University. </w:t>
      </w:r>
      <w:r>
        <w:rPr>
          <w:iCs/>
          <w:rFonts w:ascii="Calibri" w:hAnsi="Calibri" w:cs="Calibri" w:eastAsia="Calibri"/>
          <w:i/>
          <w:color w:val="000000"/>
          <w:sz w:val="24"/>
        </w:rPr>
        <w:t xml:space="preserve">ODÜ Sosyal Bilimler Araştırmaları Dergisi, 15</w:t>
      </w:r>
      <w:r>
        <w:rPr>
          <w:rFonts w:ascii="Calibri" w:hAnsi="Calibri" w:cs="Calibri" w:eastAsia="Calibri"/>
          <w:color w:val="000000"/>
          <w:sz w:val="24"/>
        </w:rPr>
        <w:t xml:space="preserve">(ISRIS 2025), 352–368. https://doi.org/10.48146/odusobiad.1725693</w:t>
      </w:r>
    </w:p>
    <w:p>
      <w:pPr>
        <w:pStyle w:val="BodyText"/>
        <w:spacing w:line="240" w:lineRule="auto" w:before="0" w:after="120"/>
        <w:ind w:left="567" w:hanging="567"/>
        <w:jc w:val="left"/>
      </w:pPr>
      <w:r>
        <w:rPr>
          <w:rFonts w:ascii="Calibri" w:hAnsi="Calibri" w:cs="Calibri" w:eastAsia="Calibri"/>
          <w:color w:val="000000"/>
          <w:sz w:val="24"/>
        </w:rPr>
        <w:t xml:space="preserve">Kırbulut Güneş, Z. D. ve Güneş, B. (2026). Examining chatbot-generated responses on heat and temperature: Misconceptions, consistency, and conceptual change. </w:t>
      </w:r>
      <w:r>
        <w:rPr>
          <w:iCs/>
          <w:rFonts w:ascii="Calibri" w:hAnsi="Calibri" w:cs="Calibri" w:eastAsia="Calibri"/>
          <w:i/>
          <w:color w:val="000000"/>
          <w:sz w:val="24"/>
        </w:rPr>
        <w:t xml:space="preserve">Eğitim ve Bilim, 51</w:t>
      </w:r>
      <w:r>
        <w:rPr>
          <w:rFonts w:ascii="Calibri" w:hAnsi="Calibri" w:cs="Calibri" w:eastAsia="Calibri"/>
          <w:color w:val="000000"/>
          <w:sz w:val="24"/>
        </w:rPr>
        <w:t xml:space="preserve">(225), 227–264. https://doi.org/10.15390/ES.2026.2515</w:t>
      </w:r>
    </w:p>
    <w:p>
      <w:pPr>
        <w:pStyle w:val="BodyText"/>
        <w:spacing w:line="240" w:lineRule="auto" w:before="0" w:after="120"/>
        <w:ind w:left="567" w:hanging="567"/>
        <w:jc w:val="left"/>
      </w:pPr>
      <w:r>
        <w:rPr>
          <w:rFonts w:ascii="Calibri" w:hAnsi="Calibri" w:cs="Calibri" w:eastAsia="Calibri"/>
          <w:color w:val="000000"/>
          <w:sz w:val="24"/>
        </w:rPr>
        <w:t xml:space="preserve">Kim, E. M., Garg, A., Peng, K. ve Garg, N. (2025). Correlated errors in large language models.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30038–30066). PMLR. https://proceedings.mlr.press/v267/kim25e.html</w:t>
      </w:r>
    </w:p>
    <w:p>
      <w:pPr>
        <w:pStyle w:val="BodyText"/>
        <w:spacing w:line="240" w:lineRule="auto" w:before="0" w:after="120"/>
        <w:ind w:left="567" w:hanging="567"/>
        <w:jc w:val="left"/>
      </w:pPr>
      <w:r>
        <w:rPr>
          <w:rFonts w:ascii="Calibri" w:hAnsi="Calibri" w:cs="Calibri" w:eastAsia="Calibri"/>
          <w:color w:val="000000"/>
          <w:sz w:val="24"/>
        </w:rPr>
        <w:t xml:space="preserve">Kim, H., Sefcik, J. S. ve Bradway, C. (2017). Characteristics of qualitative descriptive studies: A systematic review. </w:t>
      </w:r>
      <w:r>
        <w:rPr>
          <w:iCs/>
          <w:rFonts w:ascii="Calibri" w:hAnsi="Calibri" w:cs="Calibri" w:eastAsia="Calibri"/>
          <w:i/>
          <w:color w:val="000000"/>
          <w:sz w:val="24"/>
        </w:rPr>
        <w:t xml:space="preserve">Research in Nursing &amp; Health, 40</w:t>
      </w:r>
      <w:r>
        <w:rPr>
          <w:rFonts w:ascii="Calibri" w:hAnsi="Calibri" w:cs="Calibri" w:eastAsia="Calibri"/>
          <w:color w:val="000000"/>
          <w:sz w:val="24"/>
        </w:rPr>
        <w:t xml:space="preserve">(1), 23–42. https://doi.org/10.1002/nur.21768</w:t>
      </w:r>
    </w:p>
    <w:p>
      <w:pPr>
        <w:pStyle w:val="BodyText"/>
        <w:spacing w:line="240" w:lineRule="auto" w:before="0" w:after="120"/>
        <w:ind w:left="567" w:hanging="567"/>
        <w:jc w:val="left"/>
      </w:pPr>
      <w:r>
        <w:rPr>
          <w:rFonts w:ascii="Calibri" w:hAnsi="Calibri" w:cs="Calibri" w:eastAsia="Calibri"/>
          <w:color w:val="000000"/>
          <w:sz w:val="24"/>
        </w:rPr>
        <w:t xml:space="preserve">Kirsanov, O., Kushwah, L. ve Selvaretnam, G. (2026). Beyond detection: How students use, and hide, AI in online assessments and what authentic tasks can do about it. </w:t>
      </w:r>
      <w:r>
        <w:rPr>
          <w:iCs/>
          <w:rFonts w:ascii="Calibri" w:hAnsi="Calibri" w:cs="Calibri" w:eastAsia="Calibri"/>
          <w:i/>
          <w:color w:val="000000"/>
          <w:sz w:val="24"/>
        </w:rPr>
        <w:t xml:space="preserve">Journal of Academic Ethics, 24</w:t>
      </w:r>
      <w:r>
        <w:rPr>
          <w:rFonts w:ascii="Calibri" w:hAnsi="Calibri" w:cs="Calibri" w:eastAsia="Calibri"/>
          <w:color w:val="000000"/>
          <w:sz w:val="24"/>
        </w:rPr>
        <w:t xml:space="preserve">(1), Article 14. https://doi.org/10.1007/s10805-025-09691-3</w:t>
      </w:r>
    </w:p>
    <w:p>
      <w:pPr>
        <w:pStyle w:val="BodyText"/>
        <w:spacing w:line="240" w:lineRule="auto" w:before="0" w:after="120"/>
        <w:ind w:left="567" w:hanging="567"/>
        <w:jc w:val="left"/>
      </w:pPr>
      <w:r>
        <w:rPr>
          <w:rFonts w:ascii="Calibri" w:hAnsi="Calibri" w:cs="Calibri" w:eastAsia="Calibri"/>
          <w:color w:val="000000"/>
          <w:sz w:val="24"/>
        </w:rPr>
        <w:t xml:space="preserve">Klingbeil, A., Grützner, C. ve Schreck, P. (2024). Trust and reliance on AI: An experimental study on the extent and costs of overreliance on AI. </w:t>
      </w:r>
      <w:r>
        <w:rPr>
          <w:iCs/>
          <w:rFonts w:ascii="Calibri" w:hAnsi="Calibri" w:cs="Calibri" w:eastAsia="Calibri"/>
          <w:i/>
          <w:color w:val="000000"/>
          <w:sz w:val="24"/>
        </w:rPr>
        <w:t xml:space="preserve">Computers in Human Behavior, 160</w:t>
      </w:r>
      <w:r>
        <w:rPr>
          <w:rFonts w:ascii="Calibri" w:hAnsi="Calibri" w:cs="Calibri" w:eastAsia="Calibri"/>
          <w:color w:val="000000"/>
          <w:sz w:val="24"/>
        </w:rPr>
        <w:t xml:space="preserve">, Article 108352. https://doi.org/10.1016/j.chb.2024.108352</w:t>
      </w:r>
    </w:p>
    <w:p>
      <w:pPr>
        <w:pStyle w:val="BodyText"/>
        <w:spacing w:line="240" w:lineRule="auto" w:before="0" w:after="120"/>
        <w:ind w:left="567" w:hanging="567"/>
        <w:jc w:val="left"/>
      </w:pPr>
      <w:r>
        <w:rPr>
          <w:rFonts w:ascii="Calibri" w:hAnsi="Calibri" w:cs="Calibri" w:eastAsia="Calibri"/>
          <w:color w:val="000000"/>
          <w:sz w:val="24"/>
        </w:rPr>
        <w:t xml:space="preserve">Kohnke, L. ve Moorhouse, B. L. (2026). Avoiding de-skilling and dependency: A practical guide to using generative AI in TESOL teacher education.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Khalid, S., Ifran, S., Huang, X., Tadesse, E. ve Dainkun, J. (2026). AI-integrated professional development for pre-service teachers: A systematic review of impacts on pedagogical strategies and technological self-efficacy.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European Journal of Education, 61</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(2), Article e70547. https://doi.org/10.1111/ejed.70547</w:t>
      </w:r>
    </w:p>
    <w:p>
      <w:pPr>
        <w:pStyle w:val="BodyText"/>
        <w:spacing w:line="240" w:lineRule="auto" w:before="0" w:after="120"/>
        <w:ind w:left="567" w:hanging="567"/>
        <w:jc w:val="left"/>
      </w:pPr>
      <w:r>
        <w:rPr>
          <w:rFonts w:ascii="Calibri" w:hAnsi="Calibri" w:cs="Calibri" w:eastAsia="Calibri"/>
          <w:color w:val="000000"/>
          <w:sz w:val="24"/>
        </w:rPr>
        <w:t xml:space="preserve">Kılıç, S. ve Koca, F. (2025). Artificial intelligence addiction of university students: The case of Ordu University. </w:t>
      </w:r>
      <w:r>
        <w:rPr>
          <w:iCs/>
          <w:rFonts w:ascii="Calibri" w:hAnsi="Calibri" w:cs="Calibri" w:eastAsia="Calibri"/>
          <w:i/>
          <w:color w:val="000000"/>
          <w:sz w:val="24"/>
        </w:rPr>
        <w:t xml:space="preserve">ODÜ Sosyal Bilimler Araştırmaları Dergisi, 15</w:t>
      </w:r>
      <w:r>
        <w:rPr>
          <w:rFonts w:ascii="Calibri" w:hAnsi="Calibri" w:cs="Calibri" w:eastAsia="Calibri"/>
          <w:color w:val="000000"/>
          <w:sz w:val="24"/>
        </w:rPr>
        <w:t xml:space="preserve">(ISRIS 2025), 352–368. https://doi.org/10.48146/odusobiad.1725693</w:t>
      </w:r>
    </w:p>
    <w:p>
      <w:pPr>
        <w:pStyle w:val="BodyText"/>
        <w:spacing w:line="240" w:lineRule="auto" w:before="0" w:after="120"/>
        <w:ind w:left="567" w:hanging="567"/>
        <w:jc w:val="left"/>
      </w:pPr>
      <w:r>
        <w:rPr>
          <w:rFonts w:ascii="Calibri" w:hAnsi="Calibri" w:cs="Calibri" w:eastAsia="Calibri"/>
          <w:color w:val="000000"/>
          <w:sz w:val="24"/>
        </w:rPr>
        <w:t xml:space="preserve">Kırbulut Güneş, Z. D. ve Güneş, B. (2026). Examining chatbot-generated responses on heat and temperature: Misconceptions, consistency, and conceptual change. </w:t>
      </w:r>
      <w:r>
        <w:rPr>
          <w:iCs/>
          <w:rFonts w:ascii="Calibri" w:hAnsi="Calibri" w:cs="Calibri" w:eastAsia="Calibri"/>
          <w:i/>
          <w:color w:val="000000"/>
          <w:sz w:val="24"/>
        </w:rPr>
        <w:t xml:space="preserve">Eğitim ve Bilim, 51</w:t>
      </w:r>
      <w:r>
        <w:rPr>
          <w:rFonts w:ascii="Calibri" w:hAnsi="Calibri" w:cs="Calibri" w:eastAsia="Calibri"/>
          <w:color w:val="000000"/>
          <w:sz w:val="24"/>
        </w:rPr>
        <w:t xml:space="preserve">(225), 227–264. https://doi.org/10.15390/ES.2026.2515</w:t>
      </w:r>
    </w:p>
    <w:p>
      <w:pPr>
        <w:pStyle w:val="BodyText"/>
        <w:spacing w:line="240" w:lineRule="auto" w:before="0" w:after="120"/>
        <w:ind w:left="567" w:hanging="567"/>
        <w:jc w:val="left"/>
      </w:pPr>
      <w:r>
        <w:rPr>
          <w:rFonts w:ascii="Calibri" w:hAnsi="Calibri" w:cs="Calibri" w:eastAsia="Calibri"/>
          <w:color w:val="000000"/>
          <w:sz w:val="24"/>
        </w:rPr>
        <w:t xml:space="preserve">Kim, E. M., Garg, A., Peng, K. ve Garg, N. (2025). Correlated errors in large language models.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30038–30066). PMLR. https://proceedings.mlr.press/v267/kim25e.html</w:t>
      </w:r>
    </w:p>
    <w:p>
      <w:pPr>
        <w:pStyle w:val="BodyText"/>
        <w:spacing w:line="240" w:lineRule="auto" w:before="0" w:after="120"/>
        <w:ind w:left="567" w:hanging="567"/>
        <w:jc w:val="left"/>
      </w:pPr>
      <w:r>
        <w:rPr>
          <w:rFonts w:ascii="Calibri" w:hAnsi="Calibri" w:cs="Calibri" w:eastAsia="Calibri"/>
          <w:color w:val="000000"/>
          <w:sz w:val="24"/>
        </w:rPr>
        <w:t xml:space="preserve">Kim, H., Sefcik, J. S. ve Bradway, C. (2017). Characteristics of qualitative descriptive studies: A systematic review. </w:t>
      </w:r>
      <w:r>
        <w:rPr>
          <w:iCs/>
          <w:rFonts w:ascii="Calibri" w:hAnsi="Calibri" w:cs="Calibri" w:eastAsia="Calibri"/>
          <w:i/>
          <w:color w:val="000000"/>
          <w:sz w:val="24"/>
        </w:rPr>
        <w:t xml:space="preserve">Research in Nursing &amp; Health, 40</w:t>
      </w:r>
      <w:r>
        <w:rPr>
          <w:rFonts w:ascii="Calibri" w:hAnsi="Calibri" w:cs="Calibri" w:eastAsia="Calibri"/>
          <w:color w:val="000000"/>
          <w:sz w:val="24"/>
        </w:rPr>
        <w:t xml:space="preserve">(1), 23–42. https://doi.org/10.1002/nur.21768</w:t>
      </w:r>
    </w:p>
    <w:p>
      <w:pPr>
        <w:pStyle w:val="BodyText"/>
        <w:spacing w:line="240" w:lineRule="auto" w:before="0" w:after="120"/>
        <w:ind w:left="567" w:hanging="567"/>
        <w:jc w:val="left"/>
      </w:pPr>
      <w:r>
        <w:rPr>
          <w:rFonts w:ascii="Calibri" w:hAnsi="Calibri" w:cs="Calibri" w:eastAsia="Calibri"/>
          <w:color w:val="000000"/>
          <w:sz w:val="24"/>
        </w:rPr>
        <w:t xml:space="preserve">Kirsanov, O., Kushwah, L. ve Selvaretnam, G. (2026). Beyond detection: How students use, and hide, AI in online assessments and what authentic tasks can do about it. </w:t>
      </w:r>
      <w:r>
        <w:rPr>
          <w:iCs/>
          <w:rFonts w:ascii="Calibri" w:hAnsi="Calibri" w:cs="Calibri" w:eastAsia="Calibri"/>
          <w:i/>
          <w:color w:val="000000"/>
          <w:sz w:val="24"/>
        </w:rPr>
        <w:t xml:space="preserve">Journal of Academic Ethics, 24</w:t>
      </w:r>
      <w:r>
        <w:rPr>
          <w:rFonts w:ascii="Calibri" w:hAnsi="Calibri" w:cs="Calibri" w:eastAsia="Calibri"/>
          <w:color w:val="000000"/>
          <w:sz w:val="24"/>
        </w:rPr>
        <w:t xml:space="preserve">(1), Article 14. https://doi.org/10.1007/s10805-025-09691-3</w:t>
      </w:r>
    </w:p>
    <w:p>
      <w:pPr>
        <w:pStyle w:val="BodyText"/>
        <w:spacing w:line="240" w:lineRule="auto" w:before="0" w:after="120"/>
        <w:ind w:left="567" w:hanging="567"/>
        <w:jc w:val="left"/>
      </w:pPr>
      <w:r>
        <w:rPr>
          <w:rFonts w:ascii="Calibri" w:hAnsi="Calibri" w:cs="Calibri" w:eastAsia="Calibri"/>
          <w:color w:val="000000"/>
          <w:sz w:val="24"/>
        </w:rPr>
        <w:t xml:space="preserve">Klingbeil, A., Grützner, C. ve Schreck, P. (2024). Trust and reliance on AI: An experimental study on the extent and costs of overreliance on AI. </w:t>
      </w:r>
      <w:r>
        <w:rPr>
          <w:iCs/>
          <w:rFonts w:ascii="Calibri" w:hAnsi="Calibri" w:cs="Calibri" w:eastAsia="Calibri"/>
          <w:i/>
          <w:color w:val="000000"/>
          <w:sz w:val="24"/>
        </w:rPr>
        <w:t xml:space="preserve">Computers in Human Behavior, 160</w:t>
      </w:r>
      <w:r>
        <w:rPr>
          <w:rFonts w:ascii="Calibri" w:hAnsi="Calibri" w:cs="Calibri" w:eastAsia="Calibri"/>
          <w:color w:val="000000"/>
          <w:sz w:val="24"/>
        </w:rPr>
        <w:t xml:space="preserve">, Article 108352. https://doi.org/10.1016/j.chb.2024.108352</w:t>
      </w:r>
    </w:p>
    <w:p>
      <w:pPr>
        <w:pStyle w:val="BodyText"/>
        <w:spacing w:line="240" w:lineRule="auto" w:before="0" w:after="120"/>
        <w:ind w:left="567" w:hanging="567"/>
        <w:jc w:val="left"/>
      </w:pPr>
      <w:r>
        <w:rPr>
          <w:rFonts w:ascii="Calibri" w:hAnsi="Calibri" w:cs="Calibri" w:eastAsia="Calibri"/>
          <w:color w:val="000000"/>
          <w:sz w:val="24"/>
        </w:rPr>
        <w:t xml:space="preserve">TESOL Quarterly</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Khalid, S., Ifran, S., Huang, X., Tadesse, E. ve Dainkun, J. (2026). AI-integrated professional development for pre-service teachers: A systematic review of impacts on pedagogical strategies and technological self-efficacy. </w:t>
      </w:r>
      <w:r>
        <w:rPr>
          <w:i/>
          <w:iCs/>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European Journal of Education, 61</w:t>
      </w:r>
      <w:r>
        <w:rPr>
          <w:rFonts w:ascii="Calibri" w:hAnsi="Calibri" w:cs="Calibri" w:eastAsia="Calibri"/>
          <w:b/>
          <w:i w:val="0"/>
          <w:color w:val="000000"/>
          <w:sz w:val="28"/>
        </w:rPr>
        <w:t xml:space="preserve">Eğitim Fakültesi Öğrencilerinin Akademik Görevlerde Üretken Yapay Zekâ Kullanma Deneyimleri: Nitel Betimleyici Bir Araştırma</w:t>
      </w:r>
    </w:p>
    <w:p>
      <w:pPr>
        <w:pStyle w:val="Heading2"/>
        <w:jc w:val="center"/>
      </w:pPr>
      <w:r>
        <w:rPr>
          <w:rFonts w:ascii="Calibri" w:hAnsi="Calibri" w:cs="Calibri" w:eastAsia="Calibri"/>
          <w:b/>
          <w:i w:val="0"/>
          <w:color w:val="000000"/>
          <w:sz w:val="24"/>
        </w:rPr>
        <w:t xml:space="preserve">Öz</w:t>
      </w:r>
    </w:p>
    <w:p>
      <w:pPr>
        <w:pStyle w:val="FirstParagraph"/>
        <w:spacing w:line="240" w:lineRule="auto" w:before="120" w:after="120"/>
        <w:ind w:firstLine="567"/>
        <w:jc w:val="both"/>
      </w:pPr>
      <w:r>
        <w:rPr>
          <w:rFonts w:ascii="Calibri" w:hAnsi="Calibri" w:cs="Calibri" w:eastAsia="Calibri"/>
          <w:color w:val="000000"/>
          <w:sz w:val="24"/>
        </w:rPr>
        <w:t xml:space="preserve">Bu araştırmanın amacı, eğitim fakültesi öğrencilerinin üretken yapay zekâdan akademik yardım alma, çıktıları kullanma ve değerlendirme, araçsız çalışma ve kullanımı düzenleme deneyimlerini betimlemektir. Araştırma nitel betimleyici desende yürütüldü. Çalışma grubunu bir devlet üniversitesinin eğitim fakültesinden 41 öğretmen adayı ile eğitimde ölçme ve değerlendirme alanında iki yüksek lisans öğrencisi oluşturdu. Veriler 13 sabit açık uçlu sorudan oluşan yazılı bir formla toplandı ve yönlendirilmiş nitel içerik analiziyle çözümlendi. Frekanslar katılımcı düzeyinde hesaplandı. Analiz sonucunda üç tema, 12 alt tema ve 76 kod belirlendi. Temalar yardım kaynağı tercihleri ve aracın akademik çalışmadaki rolü, çıktıların kullanımı ve değerlendirilmesi ile araçsız çalışma ve kullanımın düzenlenmesidir. Katılımcıların 26’sı zorlandığında öncelikle üretken yapay zekâya yöneldiğini belirtti. Tercihinin insan desteğinden bu araçlara kaydığını bildiren 14 katılımcıdan yalnız ikisi insan desteğini bütünüyle bıraktığını anlattı. On dokuz katılımcı bir çıktıyı sorgulamadan kullandığını bildirdi, 20 katılımcı ise böyle bir deneyimi reddetti. Dokuz katılımcı bir kontrol yolu adlandırdı ve bunların dördü araç dışı bir kaynağa başvurdu. On katılımcı ise sorguladığını belirtip kontrolün nasıl yapıldığını açıklamadı. Yirmi bir katılımcı araç olmadan tamamlayamayacağını düşündüğü bir an bildirdi. Bu güçlüğün önemli bir bölümü görev koşullarına bağlandı ve bazı açıklamalarda görev başka yollarla sürdürüldü. Sorgulamadan kullanım bildiren ve bunu reddeden katılımcılar araçsız güçlüğü benzer sayıda bildirdi. Bulgular üç ayrımı öne çıkarmaktadır: yardım kaynağı seçimi ile insan desteğinin bütünüyle ikamesi, çıktının kabulü ile değerlendirilmesi ve araçsız güçlük algısı ile çalışmayı sürdürebilme. Bu ayrımlar öğretmen eğitiminde değerlendirici yargının geliştirilmesi ve sonraki araştırmalar açısından tartışıldı.</w:t>
      </w:r>
    </w:p>
    <w:p>
      <w:pPr>
        <w:pStyle w:val="BodyText"/>
        <w:keepNext w:val="0"/>
        <w:spacing w:line="240" w:lineRule="auto" w:before="120" w:after="120"/>
        <w:ind w:firstLine="0"/>
        <w:jc w:val="both"/>
      </w:pPr>
      <w:r>
        <w:rPr>
          <w:bCs/>
          <w:rFonts w:ascii="Calibri" w:hAnsi="Calibri" w:cs="Calibri" w:eastAsia="Calibri"/>
          <w:b/>
          <w:color w:val="000000"/>
          <w:sz w:val="24"/>
        </w:rPr>
        <w:t xml:space="preserve">Anahtar Sözcükler:</w:t>
      </w:r>
      <w:r>
        <w:rPr>
          <w:rFonts w:ascii="Calibri" w:hAnsi="Calibri" w:cs="Calibri" w:eastAsia="Calibri"/>
          <w:color w:val="000000"/>
          <w:sz w:val="24"/>
        </w:rPr>
        <w:t xml:space="preserve"> üretken yapay zekâ; öğretmen adayı; akademik yardım arama; çıktı değerlendirme; nitel içerik analizi</w:t>
      </w:r>
    </w:p>
    <w:p>
      <w:pPr>
        <w:pStyle w:val="Heading1"/>
      </w:pPr>
      <w:r>
        <w:rPr>
          <w:rFonts w:ascii="Calibri" w:hAnsi="Calibri" w:cs="Calibri" w:eastAsia="Calibri"/>
          <w:b/>
          <w:i w:val="0"/>
          <w:color w:val="000000"/>
          <w:sz w:val="28"/>
        </w:rPr>
        <w:t xml:space="preserve">Education Faculty Students’ Experiences of Using Generative Artificial Intelligence for Academic Tasks: A Qualitative Descriptive Study</w:t>
      </w:r>
    </w:p>
    <w:p>
      <w:pPr>
        <w:pStyle w:val="Heading2"/>
        <w:jc w:val="center"/>
      </w:pPr>
      <w:r>
        <w:rPr>
          <w:rFonts w:ascii="Calibri" w:hAnsi="Calibri" w:cs="Calibri" w:eastAsia="Calibri"/>
          <w:b/>
          <w:i w:val="0"/>
          <w:color w:val="000000"/>
          <w:sz w:val="24"/>
        </w:rPr>
        <w:t xml:space="preserve">Abstract</w:t>
      </w:r>
    </w:p>
    <w:p>
      <w:pPr>
        <w:pStyle w:val="FirstParagraph"/>
        <w:spacing w:line="240" w:lineRule="auto" w:before="120" w:after="120"/>
        <w:ind w:firstLine="567"/>
        <w:jc w:val="both"/>
      </w:pPr>
      <w:r>
        <w:rPr>
          <w:rFonts w:ascii="Calibri" w:hAnsi="Calibri" w:cs="Calibri" w:eastAsia="Calibri"/>
          <w:color w:val="000000"/>
          <w:sz w:val="24"/>
        </w:rPr>
        <w:t xml:space="preserve">This study aimed to describe education faculty students’ experiences of using generative artificial intelligence for academic tasks. These experiences covered help-seeking, the use and evaluation of outputs, working without the tools, and regulating use. The study followed a qualitative descriptive design. Participants were 41 pre-service teachers and two master’s students in educational measurement and evaluation from the education faculty of a state university. Data were collected through a written form with 13 fixed open-ended questions and analysed through directed qualitative content analysis. Frequencies were calculated at the participant level. The analysis yielded three themes, 12 sub-themes, and 76 codes. The first theme covered help-source preferences and the role of the tool. The second covered the use and evaluation of outputs. The third covered working without the tools and regulating use. Twenty-six participants reported turning first to generative artificial intelligence when they struggled. Of the 14 participants who reported a shift from human support to these tools, only two described abandoning human support entirely. Nineteen participants reported using an output without questioning it, whereas 20 rejected such an experience. Nine participants named a way of checking outputs, and four of them consulted a source outside the tool. Ten reported questioning outputs without explaining how. Twenty-one participants reported a moment when they thought they could not complete a task without the tool. Many linked this difficulty to task conditions, and some described continuing the task by other means. Participants who reported uncritical use and those who rejected it reported such difficulty in similar numbers. The findings highlight three distinctions: choosing a help source versus replacing human support, accepting versus evaluating an output, and perceived difficulty versus ability to continue. These distinctions are discussed in relation to developing evaluative judgement in teacher education and to future research.</w:t>
      </w:r>
    </w:p>
    <w:p>
      <w:pPr>
        <w:pStyle w:val="BodyText"/>
        <w:keepNext w:val="0"/>
        <w:spacing w:line="240" w:lineRule="auto" w:before="120" w:after="120"/>
        <w:ind w:firstLine="0"/>
        <w:jc w:val="both"/>
      </w:pPr>
      <w:r>
        <w:rPr>
          <w:bCs/>
          <w:rFonts w:ascii="Calibri" w:hAnsi="Calibri" w:cs="Calibri" w:eastAsia="Calibri"/>
          <w:b/>
          <w:color w:val="000000"/>
          <w:sz w:val="24"/>
        </w:rPr>
        <w:t xml:space="preserve">Keywords:</w:t>
      </w:r>
      <w:r>
        <w:rPr>
          <w:rFonts w:ascii="Calibri" w:hAnsi="Calibri" w:cs="Calibri" w:eastAsia="Calibri"/>
          <w:color w:val="000000"/>
          <w:sz w:val="24"/>
        </w:rPr>
        <w:t xml:space="preserve"> generative artificial intelligence; pre-service teacher; academic help-seeking; output evaluation; qualitative content analysis</w:t>
      </w:r>
    </w:p>
    <w:p>
      <w:pPr>
        <w:pStyle w:val="BodyText"/>
        <w:keepNext w:val="0"/>
        <w:spacing w:line="240" w:lineRule="auto" w:before="120" w:after="120"/>
        <w:ind w:firstLine="0"/>
        <w:jc w:val="both"/>
      </w:pPr>
      <w:r>
        <w:rPr>
          <w:bCs/>
          <w:rFonts w:ascii="Calibri" w:hAnsi="Calibri" w:cs="Calibri" w:eastAsia="Calibri"/>
          <w:b/>
          <w:color w:val="000000"/>
          <w:sz w:val="24"/>
        </w:rPr>
        <w:t xml:space="preserve">Etik Kurul:</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 onay alınan etik kurulun adı],</w:t>
      </w:r>
      <w:r>
        <w:rPr>
          <w:rFonts w:ascii="Calibri" w:hAnsi="Calibri" w:cs="Calibri" w:eastAsia="Calibri"/>
          <w:color w:val="000000"/>
          <w:sz w:val="24"/>
        </w:rPr>
        <w:t xml:space="preserve"> </w:t>
      </w:r>
      <w:r>
        <w:rPr>
          <w:bCs/>
          <w:rFonts w:ascii="Calibri" w:hAnsi="Calibri" w:cs="Calibri" w:eastAsia="Calibri"/>
          <w:b/>
          <w:color w:val="000000"/>
          <w:sz w:val="24"/>
        </w:rPr>
        <w:t xml:space="preserve">Tarih:</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r>
        <w:rPr>
          <w:rFonts w:ascii="Calibri" w:hAnsi="Calibri" w:cs="Calibri" w:eastAsia="Calibri"/>
          <w:color w:val="000000"/>
          <w:sz w:val="24"/>
        </w:rPr>
        <w:t xml:space="preserve"> </w:t>
      </w:r>
      <w:r>
        <w:rPr>
          <w:bCs/>
          <w:rFonts w:ascii="Calibri" w:hAnsi="Calibri" w:cs="Calibri" w:eastAsia="Calibri"/>
          <w:b/>
          <w:color w:val="000000"/>
          <w:sz w:val="24"/>
        </w:rPr>
        <w:t xml:space="preserve">Sayı: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Summary</w:t>
      </w:r>
    </w:p>
    <w:p>
      <w:pPr>
        <w:pStyle w:val="FirstParagraph"/>
        <w:spacing w:line="240" w:lineRule="auto" w:before="120" w:after="120"/>
        <w:ind w:firstLine="567"/>
        <w:jc w:val="both"/>
      </w:pPr>
      <w:r>
        <w:rPr>
          <w:rFonts w:ascii="Calibri" w:hAnsi="Calibri" w:cs="Calibri" w:eastAsia="Calibri"/>
          <w:color w:val="000000"/>
          <w:sz w:val="24"/>
        </w:rPr>
        <w:t xml:space="preserve">Generative artificial intelligence (GenAI) tools have quickly become part of higher education. Students use them to find information, prepare content, and get learning support (Ravšelj et al., 2025; Stephenson &amp; Armstrong, 2026; von Garrel &amp; Mayer, 2023). Use is also common among young people in Türkiye. In 2025, 39.4% of individuals aged 16 to 24 reported that they used GenAI (Türkiye İstatistik Kurumu, 2025). Pre-service teachers use these tools as learners, and later they will guide the tool use of their own students (Bae et al., 2024; Khalid et al., 2026; Kohnke &amp; Moorhouse, 2026; Le et al., 2026). Studies in Türkiye report both benefits and concerns, such as incorrect information, plagiarism, and weaker critical thinking (Dulkadir Yaman, 2025; Karataş &amp; Yüce, 2024). However, perceived benefits and concerns do not show how students examine a specific output or how they use it in their academic work.</w:t>
      </w:r>
    </w:p>
    <w:p>
      <w:pPr>
        <w:pStyle w:val="BodyText"/>
        <w:spacing w:line="240" w:lineRule="auto" w:before="120" w:after="120"/>
        <w:ind w:firstLine="567"/>
        <w:jc w:val="both"/>
      </w:pPr>
      <w:r>
        <w:rPr>
          <w:rFonts w:ascii="Calibri" w:hAnsi="Calibri" w:cs="Calibri" w:eastAsia="Calibri"/>
          <w:color w:val="000000"/>
          <w:sz w:val="24"/>
        </w:rPr>
        <w:t xml:space="preserve">Three bodies of literature guided the study. The help-seeking literature separates instrumental help-seeking, which supports understanding, from executive help-seeking, which aims to get the answer (Butler, 1998; Karabenick, 2004; Nelson-Le Gall, 1985). Recent studies show that GenAI often becomes a first source of help but does not fully replace human help (Hou et al., 2024; Penney et al., 2025; Viberg et al., 2026). The automation literature treats trust as an attitude and reliance as a related behavior (Hoff &amp; Bashir, 2015; Lee &amp; See, 2004; Schemmer et al., 2023). Users can follow incorrect advice, and workload, time pressure, and the cost of verification can affect this tendency (Goddard et al., 2012; Parasuraman &amp; Manzey, 2010; Vasconcelos et al., 2023). The literature on cognitive offloading shows that tool support can increase immediate performance without a similar gain in learning (Bastani et al., 2025; Grinschgl et al., 2021; Soderstrom &amp; Bjork, 2015).</w:t>
      </w:r>
    </w:p>
    <w:p>
      <w:pPr>
        <w:pStyle w:val="BodyText"/>
        <w:spacing w:line="240" w:lineRule="auto" w:before="120" w:after="120"/>
        <w:ind w:firstLine="567"/>
        <w:jc w:val="both"/>
      </w:pPr>
      <w:r>
        <w:rPr>
          <w:rFonts w:ascii="Calibri" w:hAnsi="Calibri" w:cs="Calibri" w:eastAsia="Calibri"/>
          <w:color w:val="000000"/>
          <w:sz w:val="24"/>
        </w:rPr>
        <w:t xml:space="preserve">The aim of this study was to describe education faculty students’ experiences with GenAI in academic tasks. The study covered help-seeking, the use and evaluation of outputs, working without the tools, and regulating use. It did not classify students as users and non-users or as dependent and not dependent. Instead, it examined the different contents within their accounts. The first research question concerned help-source preferences and the role of GenAI. The second concerned the use and evaluation of outputs. The third concerned the regulation of use and work without the tools.</w:t>
      </w:r>
    </w:p>
    <w:p>
      <w:pPr>
        <w:pStyle w:val="BodyText"/>
        <w:spacing w:line="240" w:lineRule="auto" w:before="120" w:after="120"/>
        <w:ind w:firstLine="567"/>
        <w:jc w:val="both"/>
      </w:pPr>
      <w:r>
        <w:rPr>
          <w:rFonts w:ascii="Calibri" w:hAnsi="Calibri" w:cs="Calibri" w:eastAsia="Calibri"/>
          <w:color w:val="000000"/>
          <w:sz w:val="24"/>
        </w:rPr>
        <w:t xml:space="preserve">The study used a qualitative descriptive design (Bradshaw et al., 2017; Kim et al., 2017; Sandelowski, 2000, 2010). The data were collected for a master’s thesis and analyzed again for a secondary purpose. The participants were 43 volunteers from the education faculty of a state university. Forty-one were undergraduate pre-service teachers, and two were master’s students in educational measurement and evaluation. They completed a written form with 13 fixed open-ended questions. Two questions were outside the research questions and were read only as context, so 473 of the 559 responses were coded. The data were analyzed through directed qualitative content analysis (Assarroudi et al., 2018; Elo &amp; Kyngäs, 2008; Hsieh &amp; Shannon, 2005). The themes were defined in advance to match the research questions, and the sub-themes and codes were derived from the data. The counting unit was the participant. A code was assigned only for an explicit statement, and conditional statements were not coded as events. Questioning was coded as verification only when the participant named a way of checking. Codes with a frequency of 1 were merged with the closest code in the same sub-theme. Each code assignment was recorded with a verbatim excerpt in an audit table. A model-based second coding tested the clarity of the decision rules, but it did not replace human coding (Morgan, 2023; Wachinger et al., 2025). </w:t>
      </w:r>
      <w:r>
        <w:rPr>
          <w:iCs/>
          <w:rFonts w:ascii="Calibri" w:hAnsi="Calibri" w:cs="Calibri" w:eastAsia="Calibri"/>
          <w:i/>
          <w:color w:val="000000"/>
          <w:sz w:val="24"/>
          <w:highlight w:val="yellow"/>
        </w:rPr>
        <w:t xml:space="preserve">[YAZAR ONAYI GEREKLİ: Two researchers coded the whole data set independently, and agreement was assessed with Cohen’s kappa.]</w:t>
      </w:r>
      <w:r>
        <w:rPr>
          <w:rFonts w:ascii="Calibri" w:hAnsi="Calibri" w:cs="Calibri" w:eastAsia="Calibri"/>
          <w:color w:val="000000"/>
          <w:sz w:val="24"/>
        </w:rPr>
        <w:t xml:space="preserve"> Frequencies describe the reports in the study group and do not show prevalence (Maxwell, 2010; Neale et al., 2014; Sandelowski, 2001).</w:t>
      </w:r>
    </w:p>
    <w:p>
      <w:pPr>
        <w:pStyle w:val="BodyText"/>
        <w:spacing w:line="240" w:lineRule="auto" w:before="120" w:after="120"/>
        <w:ind w:firstLine="567"/>
        <w:jc w:val="both"/>
      </w:pPr>
      <w:r>
        <w:rPr>
          <w:rFonts w:ascii="Calibri" w:hAnsi="Calibri" w:cs="Calibri" w:eastAsia="Calibri"/>
          <w:color w:val="000000"/>
          <w:sz w:val="24"/>
        </w:rPr>
        <w:t xml:space="preserve">The analysis produced three themes, 12 sub-themes, and 76 codes. The first theme covered help-source preferences and the role of the tool. Turning first to GenAI when facing difficulty was the dominant pattern (f = 26). However, eight of these 26 participants also asked friends or instructors when the tool did not help or when the situation required it. Nine participants turned first to people, and eight used both sources without a clear priority. Fourteen participants reported that their preference had shifted from human support to GenAI. Only two of them said that they had stopped asking people for help. The most frequent reason for the preference was speed, ease, and saving time (f = 20). Seven participants linked their preference to conditions related to instructors, such as limited access or perceived unwillingness. Information search, topic research, and summarizing were the most frequently delegated tasks (f = 29). Thirteen participants limited the help to specific points or kept their own contribution. No participant explicitly said that the tool had done a whole assignment. The participants described the tool as a helper (f = 15), an information source (f = 9), or in personified terms such as a friend or a teacher (f = 10).</w:t>
      </w:r>
    </w:p>
    <w:p>
      <w:pPr>
        <w:pStyle w:val="BodyText"/>
        <w:spacing w:line="240" w:lineRule="auto" w:before="120" w:after="120"/>
        <w:ind w:firstLine="567"/>
        <w:jc w:val="both"/>
      </w:pPr>
      <w:r>
        <w:rPr>
          <w:rFonts w:ascii="Calibri" w:hAnsi="Calibri" w:cs="Calibri" w:eastAsia="Calibri"/>
          <w:color w:val="000000"/>
          <w:sz w:val="24"/>
        </w:rPr>
        <w:t xml:space="preserve">The second theme covered the use and evaluation of outputs. Participants who reported using an output without questioning it (f = 19) and those who rejected such an experience (f = 20) were almost equal in number. The most frequent reason for acceptance was that the output seemed reliable, correct, or logical (f = 9). However, acceptance did not always reflect trust. Some participants accepted outputs because they had no alternative, because of habit, because of haste, or despite doubt. One participant based acceptance on the well-formed sentences of the output. Nine participants named a way of checking. They checked outputs on the internet, with a search engine, or in the original source (f = 4). Others compared outputs with another GenAI tool (f = 3), asked the same tool again, or compared the output with their own answer (f = 3). Ten participants said that they questioned outputs but did not explain how. Uncritical use and a named way of checking co-occurred in four participants. Fourteen participants reported meeting incorrect, incomplete, or fabricated information. Participants who accepted and rejected uncritical use reported this experience in similar numbers.</w:t>
      </w:r>
    </w:p>
    <w:p>
      <w:pPr>
        <w:pStyle w:val="BodyText"/>
        <w:spacing w:line="240" w:lineRule="auto" w:before="120" w:after="120"/>
        <w:ind w:firstLine="567"/>
        <w:jc w:val="both"/>
      </w:pPr>
      <w:r>
        <w:rPr>
          <w:rFonts w:ascii="Calibri" w:hAnsi="Calibri" w:cs="Calibri" w:eastAsia="Calibri"/>
          <w:color w:val="000000"/>
          <w:sz w:val="24"/>
        </w:rPr>
        <w:t xml:space="preserve">The third theme covered working without the tools and regulating use. Twenty-one participants reported a moment when they thought they could not complete an assignment without the tool, and 17 reported no such moment. Ten of the 21 linked the difficulty to task conditions, such as short deadlines or unfamiliar topics. Seven described how they continued or could continue the task, for example by going to the library. Five of the 17 said that work without the tool would take longer but was possible. Participants who reported uncritical use and those who rejected it reported such a moment in equal numbers (10 in each group). Seven participants reported feeling inadequate or losing skills. Twenty participants used the tool longer than planned, and most of them linked this to not getting the desired output. Twenty-five participants reported an increase in use, and nine said that they had learned to write better prompts. During access interruptions, 23 participants reported negative emotions, and 17 said that their routine was not affected or only slightly affected. Twenty-six participants reported no tendency to conceal their use, and 17 reported at least one form of concealment. The most frequent reason for concealment was concern about instructors and grades (f = 6).</w:t>
      </w:r>
    </w:p>
    <w:p>
      <w:pPr>
        <w:pStyle w:val="BodyText"/>
        <w:spacing w:line="240" w:lineRule="auto" w:before="120" w:after="120"/>
        <w:ind w:firstLine="567"/>
        <w:jc w:val="both"/>
      </w:pPr>
      <w:r>
        <w:rPr>
          <w:rFonts w:ascii="Calibri" w:hAnsi="Calibri" w:cs="Calibri" w:eastAsia="Calibri"/>
          <w:color w:val="000000"/>
          <w:sz w:val="24"/>
        </w:rPr>
        <w:t xml:space="preserve">The findings support three distinctions. The first is between choosing a help source and fully replacing human support. Choosing GenAI first did not mean giving up human support for every participant. This pattern is consistent with studies that show GenAI has not fully replaced traditional help sources (Hou et al., 2024; Penney et al., 2025; Viberg et al., 2026). The two cases of complete shift agree with findings that help requests through GenAI can weaken peer interaction (Hou et al., 2025). Because some participants linked their preference to instructors, help-source choice should be read together with the learning environment. Sources with less interpersonal exposure can also make help-seeking easier (Karabenick &amp; Knapp, 1988; Wang et al., 2026).</w:t>
      </w:r>
    </w:p>
    <w:p>
      <w:pPr>
        <w:pStyle w:val="BodyText"/>
        <w:spacing w:line="240" w:lineRule="auto" w:before="120" w:after="120"/>
        <w:ind w:firstLine="567"/>
        <w:jc w:val="both"/>
      </w:pPr>
      <w:r>
        <w:rPr>
          <w:rFonts w:ascii="Calibri" w:hAnsi="Calibri" w:cs="Calibri" w:eastAsia="Calibri"/>
          <w:color w:val="000000"/>
          <w:sz w:val="24"/>
        </w:rPr>
        <w:t xml:space="preserve">The second distinction is between accepting an output and evaluating it. Acceptance was often based on trust, but haste, habit, and a lack of alternatives also played a role. This agrees with findings that workload, time pressure, and the cost of verification affect overreliance (Goddard et al., 2012; Parasuraman &amp; Manzey, 2010; Vasconcelos et al., 2023). Acceptance based on well-formed sentences agrees with research on processing fluency and truth judgements (Alter &amp; Oppenheimer, 2009; Brashier &amp; Marsh, 2020; Reber &amp; Schwarz, 1999). Only nine participants named a way of checking, so a general report of questioning is not evidence of verification competence. Verbal monitoring and actual checking can leave different traces (Li &amp; Liu, 2026). Checking with another GenAI tool is not the same as checking with an independent source, because different models can make similar errors (Goel et al., 2025; Kim et al., 2025).</w:t>
      </w:r>
    </w:p>
    <w:p>
      <w:pPr>
        <w:pStyle w:val="BodyText"/>
        <w:spacing w:line="240" w:lineRule="auto" w:before="120" w:after="120"/>
        <w:ind w:firstLine="567"/>
        <w:jc w:val="both"/>
      </w:pPr>
      <w:r>
        <w:rPr>
          <w:rFonts w:ascii="Calibri" w:hAnsi="Calibri" w:cs="Calibri" w:eastAsia="Calibri"/>
          <w:color w:val="000000"/>
          <w:sz w:val="24"/>
        </w:rPr>
        <w:t xml:space="preserve">The third distinction is between perceived difficulty without the tool and the ability to continue the work. About half of the participants who reported such difficulty linked it to task conditions, and some continued the task by other means. Others separated an expectation of more effort from an expectation of failure. Perceived and measured skill can differ, so these accounts do not show skill loss (Macnamara et al., 2024). Experimental studies show that performance can drop when tool support is removed (Bastani et al., 2025; Darvishi et al., 2024). The self-reports in this study cannot confirm or reject such effects. Discomfort during an access interruption should also not be taken as evidence of addiction (Billieux et al., 2015; Ciudad-Fernández et al., 2025). Academic concealment was mostly linked to instructors, grades, and the risk of looking lazy or less competent. Similar reasons appear in studies on undisclosed GenAI use and on the social evaluation of AI users (Gonsalves, 2025; Kirsanov et al., 2026; Reif et al., 2025).</w:t>
      </w:r>
    </w:p>
    <w:p>
      <w:pPr>
        <w:pStyle w:val="BodyText"/>
        <w:spacing w:line="240" w:lineRule="auto" w:before="120" w:after="120"/>
        <w:ind w:firstLine="567"/>
        <w:jc w:val="both"/>
      </w:pPr>
      <w:r>
        <w:rPr>
          <w:rFonts w:ascii="Calibri" w:hAnsi="Calibri" w:cs="Calibri" w:eastAsia="Calibri"/>
          <w:color w:val="000000"/>
          <w:sz w:val="24"/>
        </w:rPr>
        <w:t xml:space="preserve">In conclusion, the educational meaning of GenAI use depends on what students do, on what basis, and under which conditions. The presence or frequency of use alone does not show this meaning. Teacher education programs can ask pre-service teachers to compare a specific claim in an output with an independent source and to justify their decision (Bearman et al., 2024; McGrew, 2024; Tai et al., 2018). Such practice can be repeated across the program, because the effect of such instruction can decrease over time (Chesire et al., 2024). Tasks can make students’ initial ideas and later changes visible, for example when students write their own answer before they ask the tool (Buçinca et al., 2021; Darvishi et al., 2024; Tankelevitch et al., 2024). Course-level rules on acceptable use and disclosure should be clear and discussed with students (An et al., 2025; Gonsalves, 2025; Kirsanov et al., 2026). Education faculties can develop course-level principles that complement the national ethics guideline, which focuses on research and publication (Yükseköğretim Kurulu [YÖK], 2024). Future research can combine written accounts with interviews, interaction logs, and products completed without the tool (Johnston et al., 2025; Li &amp; Liu, 2026). The study has limitations. The data came from volunteers in one faculty, and the written form did not allow follow-up questions. There were no usage logs or independent performance measures. Frequencies show how often an experience was reported, not how often it occurred.</w:t>
      </w:r>
    </w:p>
    <w:p>
      <w:pPr>
        <w:pStyle w:val="Heading1"/>
      </w:pPr>
      <w:r>
        <w:rPr>
          <w:rFonts w:ascii="Calibri" w:hAnsi="Calibri" w:cs="Calibri" w:eastAsia="Calibri"/>
          <w:b/>
          <w:i w:val="0"/>
          <w:color w:val="000000"/>
          <w:sz w:val="24"/>
        </w:rPr>
        <w:t xml:space="preserve">Giriş</w:t>
      </w:r>
    </w:p>
    <w:p>
      <w:pPr>
        <w:pStyle w:val="Heading2"/>
      </w:pPr>
      <w:r>
        <w:rPr>
          <w:rFonts w:ascii="Calibri" w:hAnsi="Calibri" w:cs="Calibri" w:eastAsia="Calibri"/>
          <w:b/>
          <w:i w:val="0"/>
          <w:color w:val="000000"/>
          <w:sz w:val="24"/>
        </w:rPr>
        <w:t xml:space="preserve">Yükseköğretimde ve Öğretmen Eğitiminde Üretken Yapay Zekâ</w:t>
      </w:r>
    </w:p>
    <w:p>
      <w:pPr>
        <w:pStyle w:val="FirstParagraph"/>
        <w:spacing w:line="240" w:lineRule="auto" w:before="120" w:after="120"/>
        <w:ind w:firstLine="567"/>
        <w:jc w:val="both"/>
      </w:pPr>
      <w:r>
        <w:rPr>
          <w:rFonts w:ascii="Calibri" w:hAnsi="Calibri" w:cs="Calibri" w:eastAsia="Calibri"/>
          <w:color w:val="000000"/>
          <w:sz w:val="24"/>
        </w:rPr>
        <w:t xml:space="preserve">Üretken yapay zekâ (ÜYZ) araçları kısa bir sürede gündelik yaşamın ve yükseköğretimin olağan bileşenleri arasına girmiştir. Bu araçlar bilgi edinme, içerik hazırlama ve öğrenme desteği gibi farklı amaçlarla yaygın biçimde kullanılmaktadır (Pew Research Center, 2026; Ravšelj vd., 2025; Stephenson ve Armstrong, 2026; Stöhr vd., 2024; von Garrel ve Mayer, 2023). Yüzü aşkın ülke ve bölgeden öğrencinin katıldığı küresel bir araştırmada öğrenciler ChatGPT’yi en çok beyin fırtınası, özetleme ve makale bulma amacıyla kullandıklarını bildirmiştir (Ravšelj vd., 2025). Birleşik Krallık’ta lisans öğrencileriyle yürütülen ulusal bir ankette katılımcıların %94’ü, değerlendirmeye konu çalışmalarında ÜYZ’den en az bir biçimde yararlandığını belirtmiştir (Stephenson ve Armstrong, 2026). Almanya’daki ulusal bir araştırmada ise anlama sorularını netleştirme ve alana özgü kavramları açıklatma, öğrencilerin en önemli kullanım nedenleri arasında yer almıştır (von Garrel ve Mayer, 2023).</w:t>
      </w:r>
    </w:p>
    <w:p>
      <w:pPr>
        <w:pStyle w:val="BodyText"/>
        <w:spacing w:line="240" w:lineRule="auto" w:before="120" w:after="120"/>
        <w:ind w:firstLine="567"/>
        <w:jc w:val="both"/>
      </w:pPr>
      <w:r>
        <w:rPr>
          <w:rFonts w:ascii="Calibri" w:hAnsi="Calibri" w:cs="Calibri" w:eastAsia="Calibri"/>
          <w:color w:val="000000"/>
          <w:sz w:val="24"/>
        </w:rPr>
        <w:t xml:space="preserve">Türkiye verileri de kullanımın gençlerde yoğunlaştığını göstermektedir. Türkiye İstatistik Kurumunun 2025 verilerine göre 16-74 yaş grubundaki bireylerin %19,2’si, 16-24 yaş grubundakilerin ise %39,4’ü ÜYZ kullandığını beyan etmiştir. ÜYZ kullananların %31,4’ü bu araçlara örgün eğitim amacıyla başvurmuştur (Türkiye İstatistik Kurumu, 2025). Aynı verilerin Eurostat dökümüne göre 16-24 yaş grubunda ÜYZ kullananların yarısından fazlası bu araçları örgün eğitim amacıyla kullanmıştır (Eurostat, 2026). Ortaöğretim düzeyinde PISA 2025 verileri, Türkiye’deki öğrencilerin sohbet robotlarını okul görevlerinde OECD ortalamasından daha sık kullandığını göstermektedir (OECD, 2026a; Özberk, 2026). Türkiye’de öğrencilerin %52’si öğrenmesine yardımcı olması için sohbet robotlarını en az haftada bir kullandığını bildirmiştir (OECD ortalaması %46). Bu veriler öz bildirime dayanır ve ülkeler arası farklar yanıt davranışını da yansıtabilir (OECD, 2026a). Yine de öğretmen eğitimine gelen kuşakların ÜYZ’yi okul görevlerinde yaygın biçimde kullandığı bir ortamdan geldiğini düşündürmektedir.</w:t>
      </w:r>
    </w:p>
    <w:p>
      <w:pPr>
        <w:pStyle w:val="BodyText"/>
        <w:spacing w:line="240" w:lineRule="auto" w:before="120" w:after="120"/>
        <w:ind w:firstLine="567"/>
        <w:jc w:val="both"/>
      </w:pPr>
      <w:r>
        <w:rPr>
          <w:rFonts w:ascii="Calibri" w:hAnsi="Calibri" w:cs="Calibri" w:eastAsia="Calibri"/>
          <w:color w:val="000000"/>
          <w:sz w:val="24"/>
        </w:rPr>
        <w:t xml:space="preserve">Türkiye’de üniversite öğrencileriyle yürütülen çalışmalar da benzer bir tablo ortaya koymaktadır. Bu çalışmalarda ChatGPT başta olmak üzere ÜYZ araçları farklı bölümlerde çeşitli amaçlarla kullanılmakta ya da kullanılmak istenmektedir. Bu amaçlar arasında yazma ve dil desteği, görsel üretimi, kavramsal anlama ve programlamada hata bulma yer almaktadır (Aksoy ve Akyel, 2026; Eti, 2025; Gezgin vd., 2024; Hossain vd., 2025). Ödev hazırlama ise üniversite öğrencilerinin en sık bildirdiği kullanım amaçları arasındadır (Erat ve Cindiloğlu Demirer, 2026). Öğrenciler hız, pratiklik ve zaman kazanma gibi yararların yanında bilgi güvenilirliği, intihal ve aşırı dayanma konularında kaygılarını da dile getirmektedir (Aruğaslan, 2025; Demir ve Zaimoğlu, 2025; Eti, 2025; Polat, 2026).</w:t>
      </w:r>
    </w:p>
    <w:p>
      <w:pPr>
        <w:pStyle w:val="BodyText"/>
        <w:spacing w:line="240" w:lineRule="auto" w:before="120" w:after="120"/>
        <w:ind w:firstLine="567"/>
        <w:jc w:val="both"/>
      </w:pPr>
      <w:r>
        <w:rPr>
          <w:rFonts w:ascii="Calibri" w:hAnsi="Calibri" w:cs="Calibri" w:eastAsia="Calibri"/>
          <w:color w:val="000000"/>
          <w:sz w:val="24"/>
        </w:rPr>
        <w:t xml:space="preserve">Öğretmen adayları bu öğrenciler arasında ayrı bir önem taşımaktadır. Adaylar bir yandan kendi derslerini ve ödevlerini yürüten öğrenenler, diğer yandan ileride öğrencilerinin bu araçları kullanmasına rehberlik edecek öğretmenlerdir (Bae vd., 2024; Hu vd., 2026; Khalid vd., 2026; Kohnke ve Moorhouse, 2026; Le vd., 2026). Türkiye’de öğretmen adaylarıyla yürütülen çalışmalarda ÜYZ, ödev ve araştırmanın yanında mesleki görevlerde de kullanılmakta veya denenmektedir. Bu görevler arasında ders planı, etkinlik ve materyal hazırlama yer almaktadır (Çelik, 2025; Özaydın Aydoğdu ve Aydoğdu, 2025; Pişkin Tunç, 2024; Tapan Broutin, 2024; Yılmaz vd., 2026). Bu çalışmalarda zaman kazanma, bilgiye hızlı erişim ve içerik üretimi gibi yararlar çeşitli kaygılarla birlikte anlatılmaktadır. Bu kaygılar arasında yanlış bilgi, intihal, etik sorunlar ve eleştirel düşünmenin zayıflaması yer almaktadır (Dulkadir Yaman, 2025; Karataş ve Yüce, 2024; Körükçü ve Kaya, 2026). Metafor çalışmalarında adaylar yapay zekâyı (YZ) ve ÜYZ araçlarını çoğunlukla bilgi kaynağı, yardımcı ya da rehber olarak nitelendirmiştir (Eriçok vd., 2024; Ölmez ve Özçakır Sümen, 2026; Varlı vd., 2026). Bazı adaylar ise tembellik, aşırı dayanma ve zararlı alışkanlık gibi sınırlılıklara işaret etmiştir (Koynoğlu ve Şenel Çoruhlu, 2026; Ölmez ve Özçakır Sümen, 2026; Varlı vd., 2026).</w:t>
      </w:r>
    </w:p>
    <w:p>
      <w:pPr>
        <w:pStyle w:val="BodyText"/>
        <w:spacing w:line="240" w:lineRule="auto" w:before="120" w:after="120"/>
        <w:ind w:firstLine="567"/>
        <w:jc w:val="both"/>
      </w:pPr>
      <w:r>
        <w:rPr>
          <w:rFonts w:ascii="Calibri" w:hAnsi="Calibri" w:cs="Calibri" w:eastAsia="Calibri"/>
          <w:color w:val="000000"/>
          <w:sz w:val="24"/>
        </w:rPr>
        <w:t xml:space="preserve">Bu çalışmalar, adayların ÜYZ kullanımını hangi olanaklar ve güçlüklerle ilişkilendirdiğini anlamaya önemli katkı sağlamaktadır. Ancak Türkiye’de sınıf öğretmenleri ve adaylarıyla yürütülen YZ çalışmalarının önemli bir bölümü görüş ve tutum betimlemesine dayanmaktadır (Ateş ve Mersinoğlu, 2026). Geliştirilen veya uyarlanan ölçekler de büyük ölçüde YZ okuryazarlığı ve tutum yapılarına odaklanmaktadır (Yılmaz ve Korkmaz, 2025). Algılanan yarar veya kaygı, belirli bir çıktının nasıl incelendiğini ve akademik çalışmaya nasıl katıldığını tek başına açıklamaz. Aynı aracı kullanmak da aynı öğrenme amacını benimsemek anlamına gelmez (Johnston vd., 2024; Kaplan, 2024; Lodge vd., 2023). Bu nedenle öğrencinin yardım istediği aşama, araca bıraktığı iş ve üretilen yanıtla ne yaptığı ayrı ayrı incelenmelidir.</w:t>
      </w:r>
    </w:p>
    <w:p>
      <w:pPr>
        <w:pStyle w:val="Heading2"/>
      </w:pPr>
      <w:r>
        <w:rPr>
          <w:rFonts w:ascii="Calibri" w:hAnsi="Calibri" w:cs="Calibri" w:eastAsia="Calibri"/>
          <w:b/>
          <w:i w:val="0"/>
          <w:color w:val="000000"/>
          <w:sz w:val="24"/>
        </w:rPr>
        <w:t xml:space="preserve">Akademik Yardım Arama ve Yardım Kaynağı Seçimi</w:t>
      </w:r>
    </w:p>
    <w:p>
      <w:pPr>
        <w:pStyle w:val="FirstParagraph"/>
        <w:spacing w:line="240" w:lineRule="auto" w:before="120" w:after="120"/>
        <w:ind w:firstLine="567"/>
        <w:jc w:val="both"/>
      </w:pPr>
      <w:r>
        <w:rPr>
          <w:rFonts w:ascii="Calibri" w:hAnsi="Calibri" w:cs="Calibri" w:eastAsia="Calibri"/>
          <w:color w:val="000000"/>
          <w:sz w:val="24"/>
        </w:rPr>
        <w:t xml:space="preserve">Akademik yardım arama, öğrencinin bir güçlükle karşılaştığında bir kişiye veya bilgi kaynağına başvurmasıdır. Alanyazın bu davranışı öz-düzenlemeli öğrenmenin bir stratejisi olarak ele alır (Karabenick ve Dembo, 2011; Nelson-Le Gall, 1981; Newman, 2002; Zimmerman, 2002). Bu çerçevede yardım aramak bağımlılığın değil, çoğu zaman başarıya yönelik etkin bir çabanın göstergesidir (Karabenick ve Knapp, 1991; Newman, 2002). Yükseköğretim öğrencileriyle yapılan çalışmaların meta-analizi de gereksinime bağlı yardım arama ile başarı arasında çok küçük ama olumlu bir ilişki bildirmiştir (Fong vd., 2023).</w:t>
      </w:r>
    </w:p>
    <w:p>
      <w:pPr>
        <w:pStyle w:val="BodyText"/>
        <w:spacing w:line="240" w:lineRule="auto" w:before="120" w:after="120"/>
        <w:ind w:firstLine="567"/>
        <w:jc w:val="both"/>
      </w:pPr>
      <w:r>
        <w:rPr>
          <w:rFonts w:ascii="Calibri" w:hAnsi="Calibri" w:cs="Calibri" w:eastAsia="Calibri"/>
          <w:color w:val="000000"/>
          <w:sz w:val="24"/>
        </w:rPr>
        <w:t xml:space="preserve">Yardım aramanın niteliği ise belirleyicidir. Alanyazın, anlamayı ve sonraki görevlerde bağımsız çalışmayı destekleyen araçsal yardım arama ile yanıtı edinerek görevi bitirmeye yönelen yürütücü yardım aramayı birbirinden ayırır (Butler, 1998; Karabenick, 2004; Nelson-Le Gall, 1981, 1985). Meta-analitik bulgular araçsal yardım aramanın başarıyla olumlu, yürütücü yardım aramanın ise olumsuz ilişkili olduğunu göstermektedir (Fong vd., 2023). Bu ayrım ÜYZ bağlamına da taşınmaktadır. Ustalık hedefleri ile ChatGPT’den yürütücü yardım arama, bu yardımı tehdit olarak algılama ve ondan kaçınma arasındaki ilişkilere genel akademik yardım aramanın aracılık ettiği bulunmuştur (Sung ve Thomas, 2025). Süreç verisiyle yürütülen bir karşılaştırmada ChatGPT’den yardım alan öğrenciler, insan uzmana başvuranlara göre daha çok doğrudan yanıt istemiş ve değerlendirme aşamasını daha sık atlamıştır (Chen vd., 2025). Türkiye’de bir lisede yürütülen deneyde de öğrenciler koruyucu sınırları olmayan bir araçtan çoğunlukla çözümü isteyip kopyalamıştır. İpucu veren bir araçla ise daha çok yardım istemiş ve kendi denemelerini yapmışlardır (Bastani vd., 2025).</w:t>
      </w:r>
    </w:p>
    <w:p>
      <w:pPr>
        <w:pStyle w:val="BodyText"/>
        <w:spacing w:line="240" w:lineRule="auto" w:before="120" w:after="120"/>
        <w:ind w:firstLine="567"/>
        <w:jc w:val="both"/>
      </w:pPr>
      <w:r>
        <w:rPr>
          <w:rFonts w:ascii="Calibri" w:hAnsi="Calibri" w:cs="Calibri" w:eastAsia="Calibri"/>
          <w:color w:val="000000"/>
          <w:sz w:val="24"/>
        </w:rPr>
        <w:t xml:space="preserve">Yardım aramanın sosyal bir maliyeti de vardır. Yetersiz görünme kaygısı ve algılanan tehdit, öğrencilerin gereksindikleri yardımı istemekten kaçınmasıyla ilişkilendirilmiştir (Butler, 1998; Ryan ve Pintrich, 1997; Ryan vd., 2001). Erken bir deneyde yardım kaynağı bir kişi yerine bilgisayarın kendisi olduğunda yardım isteyenlerin oranı belirgin biçimde artmıştır (Karabenick ve Knapp, 1988). Bu bulgu, kaynağın niteliğinin yardım arama kararını etkileyebildiğine işaret eder. Kullanıcıların ÜYZ’den yardım isterken insan topluluklarına göre daha az temkinli ifade ve nezaket işareti kullandığı bildirilmiştir (Qi ve Zhao, 2026). Öğrenciler de aracı düşük riskli bir yardım alanı olarak algılayabilmektedir (Wang vd., 2026). Wang vd. (2026) bu düşük risk algısının yüksek güvenden değil, kişilerarası görünürlüğün azalmasından ve kendini açmanın denetlenebilmesinden kaynaklandığını bildirmiştir.</w:t>
      </w:r>
    </w:p>
    <w:p>
      <w:pPr>
        <w:pStyle w:val="BodyText"/>
        <w:spacing w:line="240" w:lineRule="auto" w:before="120" w:after="120"/>
        <w:ind w:firstLine="567"/>
        <w:jc w:val="both"/>
      </w:pPr>
      <w:r>
        <w:rPr>
          <w:rFonts w:ascii="Calibri" w:hAnsi="Calibri" w:cs="Calibri" w:eastAsia="Calibri"/>
          <w:color w:val="000000"/>
          <w:sz w:val="24"/>
        </w:rPr>
        <w:t xml:space="preserve">ÜYZ’nin ilk başvuru kaynağı olması, insan desteğinin bütünüyle bırakıldığı anlamına gelmeyebilir. Bilgisayar bilimleri ve programlama öğrencileriyle yapılan çalışmalar, ÜYZ’nin hızla benimsendiğini, ancak geleneksel yardım kaynaklarının yerini tümüyle almadığını ve kaynak seçiminin göreve göre değiştiğini göstermektedir (Hou vd., 2024; Penney vd., 2025). İsveç’te yürütülen nitel bir çalışmada öğrenciler ÜYZ’yi akranlar ve öğretim elemanlarıyla birlikte, görevin türüne göre kademeli olarak kullanmıştır (Viberg vd., 2026). Başka bir çalışmada öğrenciler ÜYZ’yi insan desteğinin yerini almayan, geçici bir yardım arama kanalı olarak betimlemiştir (Wang vd., 2026). Buna karşılık bazı bulgular, yardım isteklerinin giderek ÜYZ aracılığıyla yürütüldüğüne ve akran etkileşiminin zayıflayabildiğine işaret etmektedir (Hou vd., 2025). Küresel ölçekte öğrenciler de ChatGPT’nin sosyal yalıtılmışlığı artırabileceğine ilişkin kaygı bildirmiştir (Ravšelj vd., 2025). Dolayısıyla yardım kaynağı seçimi ile insan desteğinin bütünüyle ikamesi ayrı ayrı incelenmelidir.</w:t>
      </w:r>
    </w:p>
    <w:p>
      <w:pPr>
        <w:pStyle w:val="BodyText"/>
        <w:spacing w:line="240" w:lineRule="auto" w:before="120" w:after="120"/>
        <w:ind w:firstLine="567"/>
        <w:jc w:val="both"/>
      </w:pPr>
      <w:r>
        <w:rPr>
          <w:rFonts w:ascii="Calibri" w:hAnsi="Calibri" w:cs="Calibri" w:eastAsia="Calibri"/>
          <w:color w:val="000000"/>
          <w:sz w:val="24"/>
        </w:rPr>
        <w:t xml:space="preserve">Öğrencilerin ÜYZ’ye yönelme gerekçeleri arasında anında yanıt, kolay erişim ve zaman kazanma öne çıkmaktadır (Aruğaslan, 2025; Ersöz, 2025; Holland ve Ciachir, 2025; Penney vd., 2025). Görevin koşulları da bu yönelimi etkileyebilir. Akademik iş yükü, zaman baskısı ve akademik stres, ChatGPT kullanımıyla ve ÜYZ bağımlılığı olarak adlandırılan örüntülerle ilişkili bulunmuştur (Abbas vd., 2024; Jiang ve Xu, 2026; Zhang vd., 2024). Bu ilişkiler kesitsel veya zaman aralıklı desenlere dayanır ve nedenselliği göstermez. ÜYZ ile çalışmak ayrıca hangi işin araca bırakılacağına, istemin nasıl kurulacağına ve çıktının nasıl değerlendirileceğine ilişkin yeni üstbilişsel talepler doğurur (Fan vd., 2025; Tankelevitch vd., 2024; Viberg vd., 2026). Hou vd. (2024) da ÜYZ ile yardım aramanın geliştirilmesi gereken bir beceri olduğuna ve yararın bu beceriye sahip öğrencilerde yoğunlaşabildiğine ilişkin ön bulgular sunmuştur.</w:t>
      </w:r>
    </w:p>
    <w:p>
      <w:pPr>
        <w:pStyle w:val="Heading2"/>
      </w:pPr>
      <w:r>
        <w:rPr>
          <w:rFonts w:ascii="Calibri" w:hAnsi="Calibri" w:cs="Calibri" w:eastAsia="Calibri"/>
          <w:b/>
          <w:i w:val="0"/>
          <w:color w:val="000000"/>
          <w:sz w:val="24"/>
        </w:rPr>
        <w:t xml:space="preserve">Çıktının Kabulü, Güven ve Değerlendirme</w:t>
      </w:r>
    </w:p>
    <w:p>
      <w:pPr>
        <w:pStyle w:val="FirstParagraph"/>
        <w:spacing w:line="240" w:lineRule="auto" w:before="120" w:after="120"/>
        <w:ind w:firstLine="567"/>
        <w:jc w:val="both"/>
      </w:pPr>
      <w:r>
        <w:rPr>
          <w:rFonts w:ascii="Calibri" w:hAnsi="Calibri" w:cs="Calibri" w:eastAsia="Calibri"/>
          <w:color w:val="000000"/>
          <w:sz w:val="24"/>
        </w:rPr>
        <w:t xml:space="preserve">Büyük dil modelleri akıcı ancak olgusal olarak yanlış içerik ve var olmayan kaynaklar üretebilmektedir (Huang vd., 2025; Ji vd., 2023; Walters ve Wilder, 2023). Bu hataların oranı model sürümüne, araca ve zamana göre belirgin biçimde değişmektedir (Aydın vd., 2026; Chelli vd., 2024; Walters ve Wilder, 2023). Türkiye’de yapılan içerik değerlendirmeleri de sohbet robotu yanıtlarının hata, eksiklik, kavram yanılgısı ve uydurma kaynak içerebildiğini göstermektedir (Göktaş, 2023; Kırbulut Güneş ve Güneş, 2026; Safran ve Çalı, 2025; Yalçın Çelik ve Çoban, 2023). Bu durum, çıktının kullanıcı tarafından değerlendirilmesini akademik çalışmanın bir parçası hâline getirmektedir.</w:t>
      </w:r>
    </w:p>
    <w:p>
      <w:pPr>
        <w:pStyle w:val="BodyText"/>
        <w:spacing w:line="240" w:lineRule="auto" w:before="120" w:after="120"/>
        <w:ind w:firstLine="567"/>
        <w:jc w:val="both"/>
      </w:pPr>
      <w:r>
        <w:rPr>
          <w:rFonts w:ascii="Calibri" w:hAnsi="Calibri" w:cs="Calibri" w:eastAsia="Calibri"/>
          <w:color w:val="000000"/>
          <w:sz w:val="24"/>
        </w:rPr>
        <w:t xml:space="preserve">Otomasyona güven alanyazını güveni bir tutum, dayanmayı ise bu tutumla ilişkili ama ondan ayrı bir davranış olarak ele alır (Hoff ve Bashir, 2015; Kahr vd., 2024; Lee ve See, 2004). Uygun dayanma, doğru önerilerin kabul edilmesi ve yanlış önerilerin reddedilmesi olarak tanımlanır (Schemmer vd., 2023). Kullanıcıların yanlış önerileri de izleme eğilimi, yani aşırı dayanma veya otomasyon yanlılığı, farklı bağlamlarda tekrar tekrar gözlenmiştir (Buçinca vd., 2021; Goddard vd., 2012; Klingbeil vd., 2024; Parasuraman ve Manzey, 2010; Vasconcelos vd., 2023). İş yükü ve zaman baskısı bu yanlılığı etkileyen etkenler arasında sayılmaktadır (Goddard vd., 2012; Parasuraman ve Manzey, 2010). Doğrulamanın maliyeti arttığında kullanıcıların açıklamaları incelemeyi daha az seçebildiği de gösterilmiştir (Vasconcelos vd., 2023).</w:t>
      </w:r>
    </w:p>
    <w:p>
      <w:pPr>
        <w:pStyle w:val="BodyText"/>
        <w:spacing w:line="240" w:lineRule="auto" w:before="120" w:after="120"/>
        <w:ind w:firstLine="567"/>
        <w:jc w:val="both"/>
      </w:pPr>
      <w:r>
        <w:rPr>
          <w:rFonts w:ascii="Calibri" w:hAnsi="Calibri" w:cs="Calibri" w:eastAsia="Calibri"/>
          <w:color w:val="000000"/>
          <w:sz w:val="24"/>
        </w:rPr>
        <w:t xml:space="preserve">Öğrenci örneklemlerinde ÜYZ’ye duyulan güven, çıktının doğruluğuyla her zaman örtüşmemektedir. Fizik alanındaki çalışmalarda öğrencilerin önemli bir bölümü yanlış çözümleri doğru sanmış ya da aracın hatalarına karşın doğru yanıt verme yeteneğine güvenmiştir (Ding vd., 2023; Krupp vd., 2024). Bilgi çalışanlarında da ÜYZ’nin yeterliğine duyulan güven arttıkça daha az, kişinin kendine duyduğu güven arttıkça daha fazla eleştirel düşünme bildirilmiştir (Lee vd., 2025). Türkiye’de matematik öğretmeni adayları aracın sahte kaynak üretmesinden yakınmış, bir kısmının ise çıktının doğruluğuna sınırlılık görmeden inandığı gözlenmiştir (Kaplan, 2024). Kabul kararı içeriğin doğruluğu kadar sunuluş biçimine de dayanabilir. İşlenmesi kolay bilgi, doğruluk yargısında bir ipucu olarak kullanılabilmektedir (Alter ve Oppenheimer, 2009; Brashier ve Marsh, 2020; Dechêne vd., 2010; Reber ve Schwarz, 1999). ÜYZ bağlamında da sohbet biçiminde sunum ve uzun açıklamalar yanlışlıkların fark edilmesini güçleştirebilmekte ve güveni doğruluğun ötesinde artırabilmektedir (Anderl vd., 2024; Si vd., 2024; Steyvers vd., 2025).</w:t>
      </w:r>
    </w:p>
    <w:p>
      <w:pPr>
        <w:pStyle w:val="BodyText"/>
        <w:spacing w:line="240" w:lineRule="auto" w:before="120" w:after="120"/>
        <w:ind w:firstLine="567"/>
        <w:jc w:val="both"/>
      </w:pPr>
      <w:r>
        <w:rPr>
          <w:rFonts w:ascii="Calibri" w:hAnsi="Calibri" w:cs="Calibri" w:eastAsia="Calibri"/>
          <w:color w:val="000000"/>
          <w:sz w:val="24"/>
        </w:rPr>
        <w:t xml:space="preserve">Dış bir kaynaktan yardım almak, kişinin kendi bilgisini ve performansını değerlendirmesini de etkileyebilir. İnternette arama yapanlar kendi bilgilerini olduğundan yüksek değerlendirmiştir (Eliseev ve Marsh, 2023; Fisher vd., 2015; Ward, 2021). Bilgili bir ortakla çalışanlar da yardımın olmayacağı durumlardaki performanslarını olduğundan yüksek tahmin etmiştir (Fisher ve Oppenheimer, 2021). ÜYZ ile mantık sorusu çözen katılımcıların performansı artmış, ancak performanslarını olduğundan yüksek tahmin etmişlerdir (Fernandes vd., 2026). Zorlanan programlama öğrencilerinin de ÜYZ ile çalışırken bir yeterlik yanılsamasıyla görevi tamamlayabildiği gözlenmiştir (Prather vd., 2024).</w:t>
      </w:r>
    </w:p>
    <w:p>
      <w:pPr>
        <w:pStyle w:val="BodyText"/>
        <w:spacing w:line="240" w:lineRule="auto" w:before="120" w:after="120"/>
        <w:ind w:firstLine="567"/>
        <w:jc w:val="both"/>
      </w:pPr>
      <w:r>
        <w:rPr>
          <w:rFonts w:ascii="Calibri" w:hAnsi="Calibri" w:cs="Calibri" w:eastAsia="Calibri"/>
          <w:color w:val="000000"/>
          <w:sz w:val="24"/>
        </w:rPr>
        <w:t xml:space="preserve">Bir çıktıyı değerlendirmek için ondan bağımsız bir kaynağa başvurmak, dijital bilgi değerlendirmesinde yanal okuma olarak adlandırılır. Profesyonel doğrulayıcılar sayfadan çıkıp başka kaynaklara bakarken öğrenciler çoğu zaman sayfanın görünümü gibi zayıf ipuçlarına dayanmaktadır (Breakstone vd., 2021; McGrew, 2024; Wineburg ve McGrew, 2019). Bu strateji öğretimle geliştirilebilmektedir (Brodsky vd., 2021; Kozyreva vd., 2024; McGrew, 2024). Büyük dil modellerinin açıklamaları ise kaynağın kendisine başvurmanın yerini tutmayabilir (Si vd., 2024). Farklı modellerin hataları belirgin biçimde örtüşebildiğinden, bir çıktıyı başka bir modelle karşılaştırmak da bağımsız bir doğrulama sağlamayabilir (Goel vd., 2025; Kim vd., 2025).</w:t>
      </w:r>
    </w:p>
    <w:p>
      <w:pPr>
        <w:pStyle w:val="BodyText"/>
        <w:spacing w:line="240" w:lineRule="auto" w:before="120" w:after="120"/>
        <w:ind w:firstLine="567"/>
        <w:jc w:val="both"/>
      </w:pPr>
      <w:r>
        <w:rPr>
          <w:rFonts w:ascii="Calibri" w:hAnsi="Calibri" w:cs="Calibri" w:eastAsia="Calibri"/>
          <w:color w:val="000000"/>
          <w:sz w:val="24"/>
        </w:rPr>
        <w:t xml:space="preserve">Değerlendirici yargı, kişinin kendi çalışmasının ve başkalarının çalışmalarının niteliği hakkında karar verebilme kapasitesini ifade eder (Tai vd., 2018). ÜYZ bağlamında bu yeterlik, üretilen içeriğin yanında kullanım seçimlerini ve üretim sürecini de kapsayacak biçimde ele alınmaktadır (Bearman vd., 2024). YZ okuryazarlığı çerçeveleri ve ölçekleri de değerlendirmeyi, anlama ve kullanmadan ayrı bir boyut olarak tanımlamaktadır (Ng vd., 2021; Wang vd., 2023). YZ kullanımında eleştirel düşünmeyi ölçen bir ölçek de doğrulamayı ayrı bir faktör olarak ele almaktadır (Lau vd., 2026). Bu boyut Türkçeye uyarlanan ölçeklerde de korunmuştur (Çelebi vd., 2023; Karaoğlan Yılmaz ve Yılmaz, 2023). Bununla birlikte öğrencinin kontrol ettiğini söylemesi ile kontrolün nasıl yapıldığı ve başarılı olup olmadığı ayrı sorulardır. Süreç verisiyle yürütülen bir çalışma, sözel olarak dile getirilen izleme ile eyleme dökülen denetimin farklı izler bırakabildiğini göstermiştir (Li ve Liu, 2026). Bir derleme de doğrulamayı başlatmanın, doğrulamanın niteliğinin ve doğrulama başarısının ayrı hedefler olduğunu vurgulamaktadır (Wei ve Shang, 2026). Fen bilimleri öğretmen adaylarıyla yapılan nitel bir çalışmada adaylar duruma bağlı kanıt standartları kullanmış ve güvenlerini aşinalık, algılanan risk ve zaman baskısına göre ayarlamıştır (Hu vd., 2026).</w:t>
      </w:r>
    </w:p>
    <w:p>
      <w:pPr>
        <w:pStyle w:val="Heading2"/>
      </w:pPr>
      <w:r>
        <w:rPr>
          <w:rFonts w:ascii="Calibri" w:hAnsi="Calibri" w:cs="Calibri" w:eastAsia="Calibri"/>
          <w:b/>
          <w:i w:val="0"/>
          <w:color w:val="000000"/>
          <w:sz w:val="24"/>
        </w:rPr>
        <w:t xml:space="preserve">Araçsız Çalışma, Bilişsel Dışsallaştırma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Bilişsel dışsallaştırma, bir görevin bilgi işleme taleplerini fiziksel eylem veya dış araçlardan yararlanarak azaltmayı ifade eder (Risko ve Gilbert, 2016). Dışsallaştırma anlık performansı artırırken dışsallaştırılan bilginin sonraki belleğini zayıflatabilir (Grinschgl vd., 2021). İnterneti bilgi edinmek için kullanmak, sonraki kolay sorularda da internete başvurma eğilimini artırabilmektedir (Storm vd., 2017). YZ araçlarıyla ilgili kesitsel bir çalışmada sık kullanım ile eleştirel düşünme arasındaki olumsuz ilişkiye bilişsel dışsallaştırmanın aracılık ettiği bildirilmiştir (Gerlich, 2025). Büyük dil modeliyle çalışan öğrenciler daha düşük zihinsel çaba bildirmiş, ancak arama motoruyla çalışanlara göre daha zayıf gerekçelendirme yapmıştır (Stadler vd., 2024).</w:t>
      </w:r>
    </w:p>
    <w:p>
      <w:pPr>
        <w:pStyle w:val="BodyText"/>
        <w:spacing w:line="240" w:lineRule="auto" w:before="120" w:after="120"/>
        <w:ind w:firstLine="567"/>
        <w:jc w:val="both"/>
      </w:pPr>
      <w:r>
        <w:rPr>
          <w:rFonts w:ascii="Calibri" w:hAnsi="Calibri" w:cs="Calibri" w:eastAsia="Calibri"/>
          <w:color w:val="000000"/>
          <w:sz w:val="24"/>
        </w:rPr>
        <w:t xml:space="preserve">Öğretim sırasında gözlenen performans, kalıcı öğrenmenin güvenilmez bir göstergesi olabilir (Soderstrom ve Bjork, 2015). Bu ayrımın ÜYZ destekli öğrenme araştırmalarında da korunması önerilmektedir (Bauer vd., 2025; Yan vd., 2025). Deneysel çalışmalar araç desteğinin ürün niteliğini veya anlık performansı artırabildiğini, ancak bu kazancın bilgi kazanımına ya da araçsız performansa her zaman yansımadığını göstermektedir (Bastani vd., 2025; Darvishi vd., 2024; Fan vd., 2025). ChatGPT’nin öğrenmeye etkisini inceleyen deneysel çalışmaların meta-analizi performansta büyük olumlu etkiler bildirmiştir. Ancak yazarlar, bazı çalışmalarda son testte aracın kullanılmasına izin verildiğini ve bunun çıktının niteliği ile öğrenmeyi karıştırabildiğini vurgulamıştır (Deng vd., 2025). YZ desteğinin, kullanıcı farkında olmadan beceri gelişimini ve korunmasını olumsuz etkileyebileceği de tartışılmaktadır (Macnamara vd., 2024). Uzman hekimlerle yürütülen gözlemsel bir çalışma da bu yönde bulgular sunmuştur (Budzyń vd., 2025).</w:t>
      </w:r>
    </w:p>
    <w:p>
      <w:pPr>
        <w:pStyle w:val="BodyText"/>
        <w:spacing w:line="240" w:lineRule="auto" w:before="120" w:after="120"/>
        <w:ind w:firstLine="567"/>
        <w:jc w:val="both"/>
      </w:pPr>
      <w:r>
        <w:rPr>
          <w:rFonts w:ascii="Calibri" w:hAnsi="Calibri" w:cs="Calibri" w:eastAsia="Calibri"/>
          <w:color w:val="000000"/>
          <w:sz w:val="24"/>
        </w:rPr>
        <w:t xml:space="preserve">Araçsız çalışmaya ilişkin öznel değerlendirmeler ise bağımsız performanstan farklı bir bilgi kaynağıdır. Türkiye’de öğretmen adaylarının çoğu aracı kullanamadığında yetersizlik ve mutsuzluk hissettiğini belirtmiştir (Çelik, 2025). Üniversite öğrencileri, lisansüstü öğrenciler ve öğretmen adayları da yazma becerisinin gerilemesini, aşırı kullanımı ve bilginin sorgulanmadan kabul edilmesini olası riskler arasında saymıştır (Demir ve Zaimoğlu, 2025; Kayhan ve Eyüp, 2025; Uçar ve Uçar, 2025). Ancak bir görevin araçsız daha uzun süreceğini düşünmek, görevi yapamayacağını düşünmekle aynı anlama gelmez. Kişinin yeterliğinde azalma hissetmesi de ölçülmüş bir beceri kaybını göstermez. Algılanan ve ölçülen beceri birbirinden ayrışabilir (Macnamara vd., 2024).</w:t>
      </w:r>
    </w:p>
    <w:p>
      <w:pPr>
        <w:pStyle w:val="BodyText"/>
        <w:spacing w:line="240" w:lineRule="auto" w:before="120" w:after="120"/>
        <w:ind w:firstLine="567"/>
        <w:jc w:val="both"/>
      </w:pPr>
      <w:r>
        <w:rPr>
          <w:rFonts w:ascii="Calibri" w:hAnsi="Calibri" w:cs="Calibri" w:eastAsia="Calibri"/>
          <w:color w:val="000000"/>
          <w:sz w:val="24"/>
        </w:rPr>
        <w:t xml:space="preserve">Kullanım süresinin ve sıklığının zaman içinde artması, erişim kesintisinde rahatsızlık duyulması ve kullanımı sınırlamada güçlük yaşanması bağımlılık alanyazınındaki bileşenlerle ilişkilendirilebilmektedir (Caplan, 2010; Griffiths, 2005; Yankouskaya vd., 2025). Türkiye’de de YZ’ye, ÜYZ’ye ve YZ sohbet robotlarına bağımlılığı ölçmek üzere son yıllarda çeşitli ölçekler uyarlanmış veya geliştirilmiştir (Alkan vd., 2026; Çakmak vd., 2026; Savaş, 2024; Seki vd., 2026; Totan vd., 2026). Bu tür ölçeklerle yürütülen kesitsel çalışmalar, puanları kullanım sıklığı, yalnızlık ve algılanan sosyal destek gibi değişkenlerle ilişkilendirmektedir (Akbulut Zencirci, 2026; Kılıç ve Koca, 2025; Sarıaslan ve Aslan, 2026; Uğuz vd., 2026). Bu ilişkiler nedensel değildir. Bazı yazarlar ise gündelik ve işlevsel kullanımın yalnız sıklık üzerinden sorun olarak adlandırılmasının olağan davranışları patolojik olarak yorumlama riski taşıdığını vurgulamaktadır (Billieux vd., 2015; Ciudad-Fernández vd., 2025). Tıp öğrencileriyle yapılan bir Türkiye çalışmasında kısa bir YZ bağımlılığı ölçeğinin puanı, aracı akademik amaçla kullananlarda daha yüksek bulunmuştur (Akbulut Zencirci, 2026). Bu bulgu, işlevsel kullanım ile sorunlu kullanımın ölçme araçlarında birbirine karışabileceğini düşündürmektedir.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göstergeler de bağlamıyla birlikte okunmalıdır. Planlanandan uzun süren bir etkileşim, istenen çıktıyı elde etmek için yapılan tekrarlı düzenlemeleri içerebilir. ÜYZ ile çalışmada kullanıcının rolünün üretimden değerlendirmeye kaydığı ve bunun verimlilik kaybına yol açabildiği tartışılmaktadır (Simkute vd., 2024; Tankelevitch vd., 2024). Alışkanlık da kullanımın önemli bir belirleyicisidir. Üniversite öğrencilerinde alışkanlık, ChatGPT kullanma niyetinin en güçlü yordayıcısı olarak bulunmuştur (Strzelecki, 2024). Kullanımın çevreyle paylaşılması da değerlendirme koşullarıyla ilişkilidir. Öğrenciler yaptırım korkusu, belirsiz yönergeler, yargılanma ve damgalanma kaygısı gibi gerekçelerle ÜYZ kullanımlarını öğretim elemanlarından gizleyebilmekte veya beyan etmeyebilmektedir (Adnin vd., 2025; Chang vd., 2026; Gonsalves, 2025; Kirsanov vd., 2026). İş yeri bağlamındaki deneyler de YZ kullananların daha tembel ve daha az yetkin algılanabildiğini, kullanımını beyan edenlere daha az güvenildiğini göstermektedir (Reif vd., 2025; Schilke ve Reimann, 2025). Yükseköğretim kurumlarının yönergeleri ise kapsam ve yaklaşım bakımından farklılaşmakta ve derse özgü kararların önemli bir bölümünü öğretim elemanına bırakmaktadır (An vd., 2025; McDonald vd., 2025; Moorhouse vd., 2023). Türkiye’de Yükseköğretim Kurulunun etik rehberi, bilimsel araştırma ve yayınlarda ÜYZ’nin hangi işlevlerinin hangi aşamada kullanıldığının açıkça bildirilmesini beklemektedir (Yükseköğretim Kurulu [YÖK], 2024). Millî Eğitim Bakanlığının politika belgesi ise temel eğitimde YZ okuryazarlığını ve sorumlu kullanımı hedeflemektedir (Millî Eğitim Bakanlığı, 2025).</w:t>
      </w:r>
    </w:p>
    <w:p>
      <w:pPr>
        <w:pStyle w:val="Heading2"/>
      </w:pPr>
      <w:r>
        <w:rPr>
          <w:rFonts w:ascii="Calibri" w:hAnsi="Calibri" w:cs="Calibri" w:eastAsia="Calibri"/>
          <w:b/>
          <w:i w:val="0"/>
          <w:color w:val="000000"/>
          <w:sz w:val="24"/>
        </w:rPr>
        <w:t xml:space="preserve">Araştırmanın Amacı ve Önemi</w:t>
      </w:r>
    </w:p>
    <w:p>
      <w:pPr>
        <w:pStyle w:val="FirstParagraph"/>
        <w:spacing w:line="240" w:lineRule="auto" w:before="120" w:after="120"/>
        <w:ind w:firstLine="567"/>
        <w:jc w:val="both"/>
      </w:pPr>
      <w:r>
        <w:rPr>
          <w:rFonts w:ascii="Calibri" w:hAnsi="Calibri" w:cs="Calibri" w:eastAsia="Calibri"/>
          <w:color w:val="000000"/>
          <w:sz w:val="24"/>
        </w:rPr>
        <w:t xml:space="preserve">Ulaşabildiğimiz Türkiye çalışmaları arasında, öğretmen adaylarının yardım kaynağı seçimini, çıktı değerlendirme işlemlerini ve araçsız çalışma deneyimlerini aynı katılımcının açıklamaları içinde birlikte inceleyen bir çalışma bulunmamaktadır. Uluslararası alanyazında doğrulamayı başlatma, doğrulamanın niteliği ve doğrulama başarısı ayrı hedefler olarak tartışılmaktadır (Wei ve Shang, 2026). Sözel izleme ile eyleme dökülen denetim arasındaki farklar da süreç verisiyle incelenmeye başlanmıştır (Li ve Liu, 2026). Bu çalışma, genel kullanım bildirimlerinin altındaki farklı içerikleri ayrıştırmayı amaçlamaktadır. Öğrencileri kullanan ve kullanmayan ya da bağımlı ve bağımlı olmayan biçiminde sınıflandırmak yerine üç ayrım üzerinde durulmaktadır. Bunlar yardım kaynağı seçimi ile insan desteğinin bütünüyle ikamesi, çıktının kabulü ile değerlendirilmesi ve araçsız güçlük algısı ile çalışmayı sürdürebilmedir. Bu yaklaşım, yoğun kullanımın kendiliğinden sorun sayılmasını önlemeyi amaçlar (Billieux vd., 2015; Ciudad-Fernández vd., 2025). Öğretmen adayları hem öğrenen hem de gelecekteki değerlendiricidir. Bu nedenle çıktıları nasıl değerlendirdiklerine ilişkin betimlemeler, öğretmen eğitiminde değerlendirici yargının geliştirilmesine ilişkin tartışmalara da veri sağlar (Bearman vd., 2024; Celik, 2023; Tai vd., 2018).</w:t>
      </w:r>
    </w:p>
    <w:p>
      <w:pPr>
        <w:pStyle w:val="BodyText"/>
        <w:spacing w:line="240" w:lineRule="auto" w:before="120" w:after="120"/>
        <w:ind w:firstLine="567"/>
        <w:jc w:val="both"/>
      </w:pPr>
      <w:r>
        <w:rPr>
          <w:rFonts w:ascii="Calibri" w:hAnsi="Calibri" w:cs="Calibri" w:eastAsia="Calibri"/>
          <w:color w:val="000000"/>
          <w:sz w:val="24"/>
        </w:rPr>
        <w:t xml:space="preserve">Bu doğrultuda araştırmanın amacı, eğitim fakültesi öğrencilerinin ÜYZ’den akademik yardım alma, çıktıları kullanma ve değerlendirme, araçsız çalışma ve kullanımı düzenleme deneyimlerini kendi açıklamaları üzerinden betimlemektir. Bu amaç kapsamında şu alt problemlere yanıt aranmıştır: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akademik yardım kaynaklarına ilişkin tercihlerini ve ÜYZ’nin akademik çalışmalarındaki rolünü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çıktılarını kullanma ve değerlendirme süreçlerini nasıl açıklamaktadır?</w:t>
      </w:r>
    </w:p>
    <w:p>
      <w:pPr>
        <w:numPr>
          <w:ilvl w:val="0"/>
          <w:numId w:val="1001"/>
        </w:numPr>
        <w:pStyle w:val="Compact"/>
        <w:spacing w:line="240" w:lineRule="auto" w:before="0" w:after="60"/>
        <w:ind w:firstLine="0"/>
        <w:jc w:val="both"/>
      </w:pPr>
      <w:r>
        <w:rPr>
          <w:rFonts w:ascii="Calibri" w:hAnsi="Calibri" w:cs="Calibri" w:eastAsia="Calibri"/>
          <w:color w:val="000000"/>
          <w:sz w:val="24"/>
        </w:rPr>
        <w:t xml:space="preserve">Katılımcılar ÜYZ kullanımını düzenlemeye ve bu araçlar olmadan akademik çalışmalarını sürdürmeye ilişkin deneyim ve değerlendirmelerini nasıl açıklamaktadır?</w:t>
      </w:r>
    </w:p>
    <w:p>
      <w:pPr>
        <w:pStyle w:val="Heading1"/>
      </w:pPr>
      <w:r>
        <w:rPr>
          <w:rFonts w:ascii="Calibri" w:hAnsi="Calibri" w:cs="Calibri" w:eastAsia="Calibri"/>
          <w:b/>
          <w:i w:val="0"/>
          <w:color w:val="000000"/>
          <w:sz w:val="24"/>
        </w:rPr>
        <w:t xml:space="preserve">Yöntem</w:t>
      </w:r>
    </w:p>
    <w:p>
      <w:pPr>
        <w:pStyle w:val="Heading2"/>
      </w:pPr>
      <w:r>
        <w:rPr>
          <w:rFonts w:ascii="Calibri" w:hAnsi="Calibri" w:cs="Calibri" w:eastAsia="Calibri"/>
          <w:b/>
          <w:i w:val="0"/>
          <w:color w:val="000000"/>
          <w:sz w:val="24"/>
        </w:rPr>
        <w:t xml:space="preserve">Araştırma Deseni</w:t>
      </w:r>
    </w:p>
    <w:p>
      <w:pPr>
        <w:pStyle w:val="FirstParagraph"/>
        <w:spacing w:line="240" w:lineRule="auto" w:before="120" w:after="120"/>
        <w:ind w:firstLine="567"/>
        <w:jc w:val="both"/>
      </w:pPr>
      <w:r>
        <w:rPr>
          <w:rFonts w:ascii="Calibri" w:hAnsi="Calibri" w:cs="Calibri" w:eastAsia="Calibri"/>
          <w:color w:val="000000"/>
          <w:sz w:val="24"/>
        </w:rPr>
        <w:t xml:space="preserve">Araştırma, olguyu katılımcıların gündelik ifadelerine yakın ve düşük çıkarım düzeyinde betimlemeyi amaçlayan nitel betimleyici desenle yürütüldü (Bradshaw vd., 2017; Kim vd., 2017; Sandelowski, 2000, 2010). Nitel betimleme yorumdan bütünüyle arınmış değildir, ancak yorum veriye yakın tutulur (Bradshaw vd., 2017; Sandelowski, 2010). Bu yaklaşım, eğitim alanında en yaygın tür olarak tanımlanan temel nitel araştırmayla da yakından ilişkilidir (Bradshaw vd., 2017; Merriam ve Tisdell, 2016). Nitel desenler ve çözümleme yolları Türkçe alanyazında da ayrıntılı biçimde ele alınmıştır (Yıldırım ve Şimşek, 2021). Nitel betimleme, deneyime ilişkin bilginin olguyu doğrudan yaşayanlardan alınması gerektiğinde ve anket geliştirmeye girdi sağlanacağında özellikle uygun görülmektedir (Bradshaw vd., 2017; Neergaard vd., 2009).</w:t>
      </w:r>
    </w:p>
    <w:p>
      <w:pPr>
        <w:pStyle w:val="BodyText"/>
        <w:spacing w:line="240" w:lineRule="auto" w:before="120" w:after="120"/>
        <w:ind w:firstLine="567"/>
        <w:jc w:val="both"/>
      </w:pPr>
      <w:r>
        <w:rPr>
          <w:rFonts w:ascii="Calibri" w:hAnsi="Calibri" w:cs="Calibri" w:eastAsia="Calibri"/>
          <w:color w:val="000000"/>
          <w:sz w:val="24"/>
        </w:rPr>
        <w:t xml:space="preserve">Bu makalede, bir yüksek lisans tezi kapsamında toplanan nitel veriler ikincil bir amaçla yeniden çözümlendi. [KÖR HAKEMLİK: Tez künyesi kabulden sonra eklenecektir.] Makalenin odağı, bu verilerde yer alan akademik yardım alma, çıktı değerlendirme ve kullanımı düzenleme deneyimleridir. Veriler, başlangıç kategorilerinin kuramdan ve önceki araştırma bulgularından yararlanılarak belirlendiği yönlendirilmiş nitel içerik analiziyle çözümlendi (Assarroudi vd., 2018; Elo ve Kyngäs, 2008; Hsieh ve Shannon, 2005; Kyngäs ve Kaakinen, 2020). Temalar üç alt probleme karşılık gelecek biçimde önceden belirlendi. Alt temalar ve kodlar ise bu çerçeve içinde veriden türetildi. Bu yapı, çerçeveye uymayan verilerin yeni kategori olarak değerlendirilmesine izin veren kısıtlanmamış kategori matrisiyle uyumludur (Assarroudi vd., 2018; Elo ve Kyngäs, 2008; Graneheim vd., 2017). Yardım arama, değerlendirici yargı, bilişsel dışsallaştırma ve öz-düzenleme kavramları başlangıç taramasına yön verdi. Bu kavramlar doğrulanacak bir kuramsal yapı olarak kullanılmadı (Bradshaw vd., 2017). Tezin öngördüğü yapılarla uyum da bulguların raporlanmasında bir ölçüt olarak kullanılmadı.</w:t>
      </w:r>
    </w:p>
    <w:p>
      <w:pPr>
        <w:pStyle w:val="Heading2"/>
      </w:pPr>
      <w:r>
        <w:rPr>
          <w:rFonts w:ascii="Calibri" w:hAnsi="Calibri" w:cs="Calibri" w:eastAsia="Calibri"/>
          <w:b/>
          <w:i w:val="0"/>
          <w:color w:val="000000"/>
          <w:sz w:val="24"/>
        </w:rPr>
        <w:t xml:space="preserve">Çalışma Grubu</w:t>
      </w:r>
    </w:p>
    <w:p>
      <w:pPr>
        <w:pStyle w:val="FirstParagraph"/>
        <w:spacing w:line="240" w:lineRule="auto" w:before="120" w:after="120"/>
        <w:ind w:firstLine="567"/>
        <w:jc w:val="both"/>
      </w:pPr>
      <w:r>
        <w:rPr>
          <w:rFonts w:ascii="Calibri" w:hAnsi="Calibri" w:cs="Calibri" w:eastAsia="Calibri"/>
          <w:color w:val="000000"/>
          <w:sz w:val="24"/>
        </w:rPr>
        <w:t xml:space="preserve">Çalışma grubunu bir devlet üniversitesinin eğitim fakültesinden gönüllülük esasına göre katılan 43 öğrenci oluşturdu. Katılımcıların 41’i lisans programlarında öğrenim gören öğretmen adayıdır. İki katılımcı (K40, K41) program alanına eğitimde ölçme ve değerlendirmeyi yazmıştır. K41 bu anabilim dalında yüksek lisans öğrencisi olduğunu açıkça belirtmiştir. K40 öğrenim düzeyini yazmamış, ancak bir yanıtında psikolojik danışman olduğunu belirtmiştir. Bu nedenle K40’ın lisansüstü düzeyde olduğu bir çıkarımdır. Toplanan formların tamamı çözümlemeye alındı. Katılımcılara ilişkin özellikler Tablo 1’de sunulmuştur. Katılımcıların tamamı ChatGPT’yi kullandığını belirtti ve 20 katılımcı birden fazla araç adı verdi. Bu araçlar arasında en sık Copilot ve Gemini yer aldı. Programlar eşit temsil edilmediği için programlar arasında karşılaştırma yapılmadı.</w:t>
      </w:r>
    </w:p>
    <w:p>
      <w:pPr>
        <w:pStyle w:val="BodyText"/>
        <w:keepNext/>
        <w:spacing w:line="240" w:lineRule="auto" w:before="240" w:after="0"/>
        <w:ind w:firstLine="0"/>
        <w:jc w:val="left"/>
      </w:pPr>
      <w:r>
        <w:rPr>
          <w:bCs/>
          <w:rFonts w:ascii="Calibri" w:hAnsi="Calibri" w:cs="Calibri" w:eastAsia="Calibri"/>
          <w:b/>
          <w:color w:val="000000"/>
          <w:sz w:val="24"/>
        </w:rPr>
        <w:t xml:space="preserve">Tablo 1</w:t>
      </w:r>
    </w:p>
    <w:p>
      <w:pPr>
        <w:pStyle w:val="BodyText"/>
        <w:keepNext/>
        <w:spacing w:line="240" w:lineRule="auto" w:before="0" w:after="120"/>
        <w:ind w:firstLine="0"/>
        <w:jc w:val="left"/>
      </w:pPr>
      <w:r>
        <w:rPr>
          <w:iCs/>
          <w:rFonts w:ascii="Calibri" w:hAnsi="Calibri" w:cs="Calibri" w:eastAsia="Calibri"/>
          <w:i/>
          <w:color w:val="000000"/>
          <w:sz w:val="24"/>
        </w:rPr>
        <w:t xml:space="preserve">Katılımcıların Özellikleri (n = 43)</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4752"/>
        <w:gridCol w:w="792"/>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Özellik</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Kategori</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Cinsiyet</w:t>
            </w:r>
          </w:p>
        </w:tc>
        <w:tc>
          <w:tcPr/>
          <w:p>
            <w:pPr>
              <w:pStyle w:val="Compact"/>
              <w:spacing w:before="20" w:after="20" w:line="240" w:lineRule="auto"/>
              <w:ind w:firstLine="0"/>
              <w:jc w:val="left"/>
            </w:pPr>
            <w:r>
              <w:rPr>
                <w:rFonts w:ascii="Calibri" w:hAnsi="Calibri" w:cs="Calibri" w:eastAsia="Calibri"/>
                <w:b w:val="0"/>
                <w:color w:val="000000"/>
                <w:sz w:val="20"/>
              </w:rPr>
              <w:t xml:space="preserve">Kadın</w:t>
            </w:r>
          </w:p>
        </w:tc>
        <w:tc>
          <w:tcPr/>
          <w:p>
            <w:pPr>
              <w:pStyle w:val="Compact"/>
              <w:spacing w:before="20" w:after="20" w:line="240" w:lineRule="auto"/>
              <w:ind w:firstLine="0"/>
              <w:jc w:val="left"/>
            </w:pPr>
            <w:r>
              <w:rPr>
                <w:rFonts w:ascii="Calibri" w:hAnsi="Calibri" w:cs="Calibri" w:eastAsia="Calibri"/>
                <w:b w:val="0"/>
                <w:color w:val="000000"/>
                <w:sz w:val="20"/>
              </w:rPr>
              <w:t xml:space="preserve">39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Erkek</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Program</w:t>
            </w:r>
          </w:p>
        </w:tc>
        <w:tc>
          <w:tcPr/>
          <w:p>
            <w:pPr>
              <w:pStyle w:val="Compact"/>
              <w:spacing w:before="20" w:after="20" w:line="240" w:lineRule="auto"/>
              <w:ind w:firstLine="0"/>
              <w:jc w:val="left"/>
            </w:pPr>
            <w:r>
              <w:rPr>
                <w:rFonts w:ascii="Calibri" w:hAnsi="Calibri" w:cs="Calibri" w:eastAsia="Calibri"/>
                <w:b w:val="0"/>
                <w:color w:val="000000"/>
                <w:sz w:val="20"/>
              </w:rPr>
              <w:t xml:space="preserve">Sınıf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Sosyal bilgiler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Okul öncesi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Rehberlik ve psikolojik danışmanlık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İlköğretim matematik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Türkçe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Fen bilimleri öğretmenliği</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Eğitimde ölçme ve değerlendirme (yüksek lisans)</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Sınıf düzeyi (lisans, n = 41)</w:t>
            </w:r>
          </w:p>
        </w:tc>
        <w:tc>
          <w:tcPr/>
          <w:p>
            <w:pPr>
              <w:pStyle w:val="Compact"/>
              <w:spacing w:before="20" w:after="20" w:line="240" w:lineRule="auto"/>
              <w:ind w:firstLine="0"/>
              <w:jc w:val="left"/>
            </w:pPr>
            <w:r>
              <w:rPr>
                <w:rFonts w:ascii="Calibri" w:hAnsi="Calibri" w:cs="Calibri" w:eastAsia="Calibri"/>
                <w:b w:val="0"/>
                <w:color w:val="000000"/>
                <w:sz w:val="20"/>
              </w:rPr>
              <w:t xml:space="preserve">1.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 sınıf</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 sınıf</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 sınıf</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Seçenek dışı yanıt veya boş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Günlük kullanım süresi</w:t>
            </w:r>
          </w:p>
        </w:tc>
        <w:tc>
          <w:tcPr/>
          <w:p>
            <w:pPr>
              <w:pStyle w:val="Compact"/>
              <w:spacing w:before="20" w:after="20" w:line="240" w:lineRule="auto"/>
              <w:ind w:firstLine="0"/>
              <w:jc w:val="left"/>
            </w:pPr>
            <w:r>
              <w:rPr>
                <w:rFonts w:ascii="Calibri" w:hAnsi="Calibri" w:cs="Calibri" w:eastAsia="Calibri"/>
                <w:b w:val="0"/>
                <w:color w:val="000000"/>
                <w:sz w:val="20"/>
              </w:rPr>
              <w:t xml:space="preserve">15 dakikadan az</w:t>
            </w:r>
          </w:p>
        </w:tc>
        <w:tc>
          <w:tcPr/>
          <w:p>
            <w:pPr>
              <w:pStyle w:val="Compact"/>
              <w:spacing w:before="20" w:after="20" w:line="240" w:lineRule="auto"/>
              <w:ind w:firstLine="0"/>
              <w:jc w:val="left"/>
            </w:pPr>
            <w:r>
              <w:rPr>
                <w:rFonts w:ascii="Calibri" w:hAnsi="Calibri" w:cs="Calibri" w:eastAsia="Calibri"/>
                <w:b w:val="0"/>
                <w:color w:val="000000"/>
                <w:sz w:val="20"/>
              </w:rPr>
              <w:t xml:space="preserve">16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15-30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30-60 dakika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 saatten fazla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ChatGPT’yi ilk kullanma yılı</w:t>
            </w:r>
          </w:p>
        </w:tc>
        <w:tc>
          <w:tcPr/>
          <w:p>
            <w:pPr>
              <w:pStyle w:val="Compact"/>
              <w:spacing w:before="20" w:after="20" w:line="240" w:lineRule="auto"/>
              <w:ind w:firstLine="0"/>
              <w:jc w:val="left"/>
            </w:pPr>
            <w:r>
              <w:rPr>
                <w:rFonts w:ascii="Calibri" w:hAnsi="Calibri" w:cs="Calibri" w:eastAsia="Calibri"/>
                <w:b w:val="0"/>
                <w:color w:val="000000"/>
                <w:sz w:val="20"/>
              </w:rPr>
              <w:t xml:space="preserve">2022</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2023</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2024</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2025</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Boş</w:t>
            </w:r>
          </w:p>
        </w:tc>
        <w:tc>
          <w:tcPr/>
          <w:p>
            <w:pPr>
              <w:pStyle w:val="Compact"/>
              <w:spacing w:before="20" w:after="20" w:line="240" w:lineRule="auto"/>
              <w:ind w:firstLine="0"/>
              <w:jc w:val="left"/>
            </w:pPr>
            <w:r>
              <w:rPr>
                <w:rFonts w:ascii="Calibri" w:hAnsi="Calibri" w:cs="Calibri" w:eastAsia="Calibri"/>
                <w:b w:val="0"/>
                <w:color w:val="000000"/>
                <w:sz w:val="20"/>
              </w:rPr>
              <w:t xml:space="preserve">1</w:t>
            </w:r>
          </w:p>
        </w:tc>
      </w:tr>
      <w:tr>
        <w:tc>
          <w:tcPr/>
          <w:p>
            <w:pPr>
              <w:pStyle w:val="Compact"/>
              <w:spacing w:before="20" w:after="20" w:line="240" w:lineRule="auto"/>
              <w:ind w:firstLine="0"/>
              <w:jc w:val="left"/>
            </w:pPr>
            <w:r>
              <w:rPr>
                <w:rFonts w:ascii="Calibri" w:hAnsi="Calibri" w:cs="Calibri" w:eastAsia="Calibri"/>
                <w:b w:val="0"/>
                <w:color w:val="000000"/>
                <w:sz w:val="20"/>
              </w:rPr>
              <w:t xml:space="preserve">Not ortalamasına ilişkin algı</w:t>
            </w:r>
          </w:p>
        </w:tc>
        <w:tc>
          <w:tcPr/>
          <w:p>
            <w:pPr>
              <w:pStyle w:val="Compact"/>
              <w:spacing w:before="20" w:after="20" w:line="240" w:lineRule="auto"/>
              <w:ind w:firstLine="0"/>
              <w:jc w:val="left"/>
            </w:pPr>
            <w:r>
              <w:rPr>
                <w:rFonts w:ascii="Calibri" w:hAnsi="Calibri" w:cs="Calibri" w:eastAsia="Calibri"/>
                <w:b w:val="0"/>
                <w:color w:val="000000"/>
                <w:sz w:val="20"/>
              </w:rPr>
              <w:t xml:space="preserve">Yüksek (3,00-4,00)</w:t>
            </w:r>
          </w:p>
        </w:tc>
        <w:tc>
          <w:tcPr/>
          <w:p>
            <w:pPr>
              <w:pStyle w:val="Compact"/>
              <w:spacing w:before="20" w:after="20" w:line="240" w:lineRule="auto"/>
              <w:ind w:firstLine="0"/>
              <w:jc w:val="left"/>
            </w:pPr>
            <w:r>
              <w:rPr>
                <w:rFonts w:ascii="Calibri" w:hAnsi="Calibri" w:cs="Calibri" w:eastAsia="Calibri"/>
                <w:b w:val="0"/>
                <w:color w:val="000000"/>
                <w:sz w:val="20"/>
              </w:rPr>
              <w:t xml:space="preserve">34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Orta (2,00-2,99)</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Yaş aralığı 19-36, ortanca yaş 22’dir. Kullanım süresi ve not ortalaması katılımcıların kendi beyanıdır.</w:t>
      </w:r>
    </w:p>
    <w:p>
      <w:pPr>
        <w:pStyle w:val="Heading2"/>
      </w:pPr>
      <w:r>
        <w:rPr>
          <w:rFonts w:ascii="Calibri" w:hAnsi="Calibri" w:cs="Calibri" w:eastAsia="Calibri"/>
          <w:b/>
          <w:i w:val="0"/>
          <w:color w:val="000000"/>
          <w:sz w:val="24"/>
        </w:rPr>
        <w:t xml:space="preserve">Veri Toplama Aracı ve Süreci</w:t>
      </w:r>
    </w:p>
    <w:p>
      <w:pPr>
        <w:pStyle w:val="FirstParagraph"/>
        <w:spacing w:line="240" w:lineRule="auto" w:before="120" w:after="120"/>
        <w:ind w:firstLine="567"/>
        <w:jc w:val="both"/>
      </w:pPr>
      <w:r>
        <w:rPr>
          <w:rFonts w:ascii="Calibri" w:hAnsi="Calibri" w:cs="Calibri" w:eastAsia="Calibri"/>
          <w:color w:val="000000"/>
          <w:sz w:val="24"/>
        </w:rPr>
        <w:t xml:space="preserve">Veriler, katılımcıların kendi kendine doldurduğu “Görüşme Formu” başlıklı yazılı bir formla toplandı. Form demografik alanlar ile 13 sabit açık uçlu sorudan oluşmaktadır (Ek 1). Formun girişinde araştırmanın amacı açıklandı. Katılımın gönüllü olduğu, yanıtların gizli tutulacağı ve yalnız bilimsel amaçlarla çözümleneceği belirtildi. Sözlü görüşme veya takip sorusu uygulanmadı. Açık uçlu yazılı yanıtlar, katılımcıların deneyimlerini kendi sözcükleriyle ve ortak sorular üzerinden toplamaya, yanıtlardaki çeşitliliği görünür kılmaya olanak verir (Braun vd., 2021; O’Cathain ve Thomas, 2004; Rouder vd., 2021). Ancak kısa kalan yanıtların takip sorusuyla ayrıntılandırılamaması, verinin derinliğini ve yorumun kapsamını sınırlayabilir (LaDonna vd., 2018; O’Cathain ve Thomas, 2004; Rouder vd., 2021). </w:t>
      </w:r>
      <w:r>
        <w:rPr>
          <w:iCs/>
          <w:rFonts w:ascii="Calibri" w:hAnsi="Calibri" w:cs="Calibri" w:eastAsia="Calibri"/>
          <w:i/>
          <w:color w:val="000000"/>
          <w:sz w:val="24"/>
          <w:highlight w:val="yellow"/>
        </w:rPr>
        <w:t xml:space="preserve">[YAZAR BİLGİSİ GEREKLİ: Veri toplama tarihleri, formun basılı veya çevrim içi uygulanma biçimi, katılımcılara ulaşma yolu ve araştırmacıların katılımcılarla ilişkisi.]</w:t>
      </w:r>
    </w:p>
    <w:p>
      <w:pPr>
        <w:pStyle w:val="BodyText"/>
        <w:spacing w:line="240" w:lineRule="auto" w:before="120" w:after="120"/>
        <w:ind w:firstLine="567"/>
        <w:jc w:val="both"/>
      </w:pPr>
      <w:r>
        <w:rPr>
          <w:rFonts w:ascii="Calibri" w:hAnsi="Calibri" w:cs="Calibri" w:eastAsia="Calibri"/>
          <w:color w:val="000000"/>
          <w:sz w:val="24"/>
        </w:rPr>
        <w:t xml:space="preserve">Veri kümesini 43 katılımcının 13 soruya verdiği 559 yazılı yanıt oluşturmaktadır. Boş bırakılan yanıt yoktur. Duygusal durumlarda araca yönelmeyi soran S6 ile yeni araçları takip etme isteğini soran S11, alt problemlerin dışında kaldığı için kodlanmadı. Bu iki soruya verilen yanıtlar yalnız diğer yanıtların bağlamını anlamak için okundu. Böylece kodlanan yanıt sayısı 473’tür. Bir soruyu kapsam dışında tutmak, aynı içeriğin başka sorularda görünmesini engellemez. S13’te özel veya duygusal kullanımı gizlemeye ilişkin bildirimler bağlam verisi olarak korundu ve akademik kullanımın gizlenmesinden ayrı raporlandı.</w:t>
      </w:r>
    </w:p>
    <w:p>
      <w:pPr>
        <w:pStyle w:val="Heading2"/>
      </w:pPr>
      <w:r>
        <w:rPr>
          <w:rFonts w:ascii="Calibri" w:hAnsi="Calibri" w:cs="Calibri" w:eastAsia="Calibri"/>
          <w:b/>
          <w:i w:val="0"/>
          <w:color w:val="000000"/>
          <w:sz w:val="24"/>
        </w:rPr>
        <w:t xml:space="preserve">Verilerin Analizi</w:t>
      </w:r>
    </w:p>
    <w:p>
      <w:pPr>
        <w:pStyle w:val="FirstParagraph"/>
        <w:spacing w:line="240" w:lineRule="auto" w:before="120" w:after="120"/>
        <w:ind w:firstLine="567"/>
        <w:jc w:val="both"/>
      </w:pPr>
      <w:r>
        <w:rPr>
          <w:rFonts w:ascii="Calibri" w:hAnsi="Calibri" w:cs="Calibri" w:eastAsia="Calibri"/>
          <w:color w:val="000000"/>
          <w:sz w:val="24"/>
        </w:rPr>
        <w:t xml:space="preserve">Anlam birimi, ilgili düşünceyi ifade eden cümle veya kısa pasajdır. Bağlam birimi, aynı katılımcının formdaki yanıtlarının bütünüdür (Campbell vd., 2013; Graneheim ve Lundman, 2004). Her yanıt üç bileşene ayrılarak okundu: bildirilen işlem, işlemin dayanağı ve bildirilen karar veya durum. Örneğin metni düzenlemek, o metindeki iddiaları doğrulamakla eş tutulmadı. Bir kod ancak katılımcının kendi ifadesinde açık bir bildirim bulunduğunda atandı. Bir uygulamanın anılmaması, o uygulamanın yapılmadığı biçiminde yorumlanmadı. Sorunlu kullanıma ve denetimli kullanıma işaret eden kodlar aynı eşikle kodlandı. Koşullu ifadeler (“çekinebilirim”, “yaşarsam paniklerim”) gerçekleşmiş olay olarak kodlanmadı.</w:t>
      </w:r>
    </w:p>
    <w:p>
      <w:pPr>
        <w:pStyle w:val="BodyText"/>
        <w:spacing w:line="240" w:lineRule="auto" w:before="120" w:after="120"/>
        <w:ind w:firstLine="567"/>
        <w:jc w:val="both"/>
      </w:pPr>
      <w:r>
        <w:rPr>
          <w:rFonts w:ascii="Calibri" w:hAnsi="Calibri" w:cs="Calibri" w:eastAsia="Calibri"/>
          <w:color w:val="000000"/>
          <w:sz w:val="24"/>
        </w:rPr>
        <w:t xml:space="preserve">Evet veya hayır yanıtı gerektiren iki soruda (S10, S12) katılımcının bildirimi üç durumda sınıflandı: açık kabul, açık ret ve deneyimi kesinleştirmeyen bildirim. Kayıt içeren olumsuz ifadeler (“genelde sorgularım”) ret sayılmadı, çünkü olayın hiç yaşanmadığını göstermez. Kayıt içeren olumlu ifadeler (“genelde doğrudan kullanıyorum”) ise kabul sayıldı, çünkü en az bir olayı içerir. Çıktıyı düzenleme veya olduğu gibi kullanmama bildirimleri doğrulama işlemi olarak kodlanmadı. Doğrulama kodları yalnız bir kontrol yolu adlandırıldığında atandı. Sorguladığını belirtip kontrol yolunu formun bütününde açıklamayan katılımcılar ayrı bir kodla gösterildi. Bu kod, kontrol yapılmadığını değil, açıklamanın ayrıntı düzeyini gösterir. Aracın ürettiği payı belirtmeyen ifadeler (“ödevleri araçla yapıyorum”) ödevin tamamını araca yaptırma olarak yorumlanmadı.</w:t>
      </w:r>
    </w:p>
    <w:p>
      <w:pPr>
        <w:pStyle w:val="BodyText"/>
        <w:spacing w:line="240" w:lineRule="auto" w:before="120" w:after="120"/>
        <w:ind w:firstLine="567"/>
        <w:jc w:val="both"/>
      </w:pPr>
      <w:r>
        <w:rPr>
          <w:rFonts w:ascii="Calibri" w:hAnsi="Calibri" w:cs="Calibri" w:eastAsia="Calibri"/>
          <w:color w:val="000000"/>
          <w:sz w:val="24"/>
        </w:rPr>
        <w:t xml:space="preserve">Kodlama üç turda yürütüldü. İlk turda araştırma soruları her tema için başlangıç tarama alanlarını belirledi ve kodlar bu alanlar içinde veriden türetildi. İkinci turda, bağımsız bir inceleme sonrasında yukarıdaki karar kuralları yazıldı ve ilgili bütün yanıtlara aynı biçimde uygulandı. Üçüncü turda iki yüksek lisans öğrencisinin formları aynı kurallarla kodlandı. Bu turda frekansı 1 olan kodlar, aynı alt tema ve aynı işlem türü içinde anlamca en yakın kodla birleştirildi. Birleşik kodların adları bileşenlerini “veya” bağlacıyla gösterir. Böylece üç tema, 12 alt tema ve 76 koddan oluşan son kod kitabına ulaşıldı. Bu çalışmada tema terimi, açık içeriği düzenleyen betimsel temaları (kategori) adlandırır. Temalar gizil bir anlamın yorumu olarak ileri sürülmemektedir (Graneheim vd., 2017). Kod tanımları, kodlama kuralları ve çapa örnekler, kategorilere atamanın tutarlılığını ve izlenebilirliğini artırır (Assarroudi vd., 2018; Elo vd., 2014; Mayring, 2014). Kod kitabı, karar kuralları, birleştirme eşlemesi ve her kod atamasının dayanağı çevrim içi ek olarak sunuldu (Ek 2).</w:t>
      </w:r>
    </w:p>
    <w:p>
      <w:pPr>
        <w:pStyle w:val="BodyText"/>
        <w:spacing w:line="240" w:lineRule="auto" w:before="120" w:after="120"/>
        <w:ind w:firstLine="567"/>
        <w:jc w:val="both"/>
      </w:pPr>
      <w:r>
        <w:rPr>
          <w:rFonts w:ascii="Calibri" w:hAnsi="Calibri" w:cs="Calibri" w:eastAsia="Calibri"/>
          <w:color w:val="000000"/>
          <w:sz w:val="24"/>
        </w:rPr>
        <w:t xml:space="preserve">Frekansların sayım birimi katılımcıdır. Bir katılımcı bir kod için bir kez sayıldı, farklı içerikler bildirdiğinde ise birden fazla kod alabildi. Bu nedenle kod frekansları toplanarak katılımcı sayısı elde edilmez. Frekanslar yalnız çalışma grubundaki bildirimlerin dağılımını betimlemek için kullanıldı ve yaygınlık veya genelleme iddiası taşımaz (Maxwell, 2010; Neale vd., 2014; Sandelowski, 2001). Frekans raporlaması, bütün katılımcılara aynı soruların aynı biçimde sorulduğu durumlarda anlamlıdır (Neale vd., 2014). Sayma, neyin ve nasıl sayılacağına ilişkin yargılar içerdiğinden sayım birimi ve karar kuralları açıkça tanımlandı (Hannah ve Lautsch, 2011; Sandelowski vd., 2009; Vaismoradi vd., 2013). Sayıların kullanılması tek başına çalışmayı karma yöntemli yapmaz (Maxwell, 2010; Sandelowski vd., 2009).</w:t>
      </w:r>
    </w:p>
    <w:p>
      <w:pPr>
        <w:pStyle w:val="Heading2"/>
      </w:pPr>
      <w:r>
        <w:rPr>
          <w:rFonts w:ascii="Calibri" w:hAnsi="Calibri" w:cs="Calibri" w:eastAsia="Calibri"/>
          <w:b/>
          <w:i w:val="0"/>
          <w:color w:val="000000"/>
          <w:sz w:val="24"/>
        </w:rPr>
        <w:t xml:space="preserve">İnandırıcılık</w:t>
      </w:r>
    </w:p>
    <w:p>
      <w:pPr>
        <w:pStyle w:val="FirstParagraph"/>
        <w:spacing w:line="240" w:lineRule="auto" w:before="120" w:after="120"/>
        <w:ind w:firstLine="567"/>
        <w:jc w:val="both"/>
      </w:pPr>
      <w:r>
        <w:rPr>
          <w:rFonts w:ascii="Calibri" w:hAnsi="Calibri" w:cs="Calibri" w:eastAsia="Calibri"/>
          <w:color w:val="000000"/>
          <w:sz w:val="24"/>
        </w:rPr>
        <w:t xml:space="preserve">Araştırmanın inandırıcılığı inanılırlık, aktarılabilirlik, tutarlılık ve teyit edilebilirlik ölçütleri çerçevesinde ele alındı (Korstjens ve Moser, 2018; Lincoln ve Guba, 1985; Shenton, 2004). Her kod ataması için katılımcı, soru ve ham yanıttan birebir alınan dayanak ifadesi bir denetim tablosuna kaydedildi. Analiz kararlarının kayıt altına alınması ve sürecin ayrıntılı açıklanması, okurun bulguların inanılırlığını değerlendirmesine olanak verir (Elo vd., 2014; Nowell vd., 2017). Aktarılabilirliği desteklemek için katılımcı özellikleri ve veri toplama koşulları ayrıntılı betimlendi (Shenton, 2004). Bulgular örüntü, bu örüntüyü açıklayan doğrudan alıntılar ve karşıt örneklerle birlikte sunuldu. Doğrudan alıntılar (Kxx, Syy) etiketiyle, dolaylı aktarımlar ise katılımcı kodunun ardından soru koduyla gösterildi. Alıntılarda sözcükler, yazım ve dilsel özellikler korundu.</w:t>
      </w:r>
    </w:p>
    <w:p>
      <w:pPr>
        <w:pStyle w:val="BodyText"/>
        <w:spacing w:line="240" w:lineRule="auto" w:before="120" w:after="120"/>
        <w:ind w:firstLine="567"/>
        <w:jc w:val="both"/>
      </w:pPr>
      <w:r>
        <w:rPr>
          <w:rFonts w:ascii="Calibri" w:hAnsi="Calibri" w:cs="Calibri" w:eastAsia="Calibri"/>
          <w:color w:val="000000"/>
          <w:sz w:val="24"/>
        </w:rPr>
        <w:t xml:space="preserve">Kodlayıcılar arası uyuşma değerlendirmesi kodlamanın sistematikliğini ve şeffaflığını artırabilir, ancak nitel araştırmadaki yeri tartışmalıdır (Cofie vd., 2022; MacPhail vd., 2016; O’Connor ve Joffe, 2020). </w:t>
      </w:r>
      <w:r>
        <w:rPr>
          <w:iCs/>
          <w:rFonts w:ascii="Calibri" w:hAnsi="Calibri" w:cs="Calibri" w:eastAsia="Calibri"/>
          <w:i/>
          <w:color w:val="000000"/>
          <w:sz w:val="24"/>
          <w:highlight w:val="yellow"/>
        </w:rPr>
        <w:t xml:space="preserve">[YAZAR ONAYI GEREKLİ: Aşağıdaki üç cümle, iki araştırmacının bağımsız kodlaması tamamlandıktan sonra geçerlidir.]</w:t>
      </w:r>
      <w:r>
        <w:rPr>
          <w:rFonts w:ascii="Calibri" w:hAnsi="Calibri" w:cs="Calibri" w:eastAsia="Calibri"/>
          <w:color w:val="000000"/>
          <w:sz w:val="24"/>
        </w:rPr>
        <w:t xml:space="preserve"> İki araştırmacı veri kümesinin tamamını birbirinden bağımsız olarak kodladı. Kodlayıcılar arası uyuşma, şans eseri uyuşmayı hesaba katan Cohen kappa katsayısıyla ve yüzde uyuşmayla değerlendirildi (Cohen, 1960; Hallgren, 2012; McHugh, 2012). Ayrışan kararlar, katılımcı yanıtları ve kod tanımları üzerinden görüşülerek uzlaşıya bağlandı. </w:t>
      </w:r>
      <w:r>
        <w:rPr>
          <w:iCs/>
          <w:rFonts w:ascii="Calibri" w:hAnsi="Calibri" w:cs="Calibri" w:eastAsia="Calibri"/>
          <w:i/>
          <w:color w:val="000000"/>
          <w:sz w:val="24"/>
          <w:highlight w:val="yellow"/>
        </w:rPr>
        <w:t xml:space="preserve">[YAZAR BİLGİSİ GEREKLİ: Kappa değeri, yüzde uyuşma, hesaplama birimi ve karar sayısı.]</w:t>
      </w:r>
      <w:r>
        <w:rPr>
          <w:rFonts w:ascii="Calibri" w:hAnsi="Calibri" w:cs="Calibri" w:eastAsia="Calibri"/>
          <w:color w:val="000000"/>
          <w:sz w:val="24"/>
        </w:rPr>
        <w:t xml:space="preserve"> Ayrıca karar kurallarının açıklığını sınamak için, birinci kodlayıcının kararlarını görmeden yalnız kural metni ve ham yanıtlarla çalışan model tabanlı ikinci bir kodlama yapıldı. Bu kodlama ikinci turda 41 formdaki 164 kararı, üçüncü turda ise K40 ve K41’nin bütün kodlarını kapsadı. Ayrışan kararlar kural metni üzerinden gözden geçirildi ve uzlaşı kararları gerekçeleriyle kaydedildi (Ek 2). Büyük dil modellerinin kodlama önerilerinin insan kodlamasıyla uyuşması kategoriye göre belirgin biçimde değişebilmekte ve bu öneriler dikkatli bir insan incelemesi gerektirmektedir (Bijker vd., 2024; Morgan, 2023; Wachinger vd., 2025). Bu nedenle model tabanlı kodlama insan doğrulamasının yerine konmadı ve kappa olarak raporlanmadı.</w:t>
      </w:r>
    </w:p>
    <w:p>
      <w:pPr>
        <w:pStyle w:val="BodyText"/>
        <w:spacing w:line="240" w:lineRule="auto" w:before="120" w:after="120"/>
        <w:ind w:firstLine="567"/>
        <w:jc w:val="both"/>
      </w:pPr>
      <w:r>
        <w:rPr>
          <w:rFonts w:ascii="Calibri" w:hAnsi="Calibri" w:cs="Calibri" w:eastAsia="Calibri"/>
          <w:color w:val="000000"/>
          <w:sz w:val="24"/>
        </w:rPr>
        <w:t xml:space="preserve">Doygunluk farklı biçimlerde tanımlandığı ve her analiz yaklaşımıyla uyumlu olmadığı için bu çalışmada doygunluk iddiasında bulunulmadı (Braun ve Clarke, 2021; Saunders vd., 2018). Örneklem yeterliği, çalışmanın dar amacı, katılımcıların hedef deneyimi doğrudan taşıması ve bütün katılımcılara aynı soruların sorulması bakımından bilgi gücü kavramıyla değerlendirilebilir (Malterud vd., 2016). Bu kavram görüşme çalışmaları için geliştirildiğinden yazılı forma uyarlanması bir çıkarımdır. Katılımcı teyidi yapılmadı. Bu tekniğin yorumlayıcı araştırmadaki işlevi de tartışmalıdır (Birt vd., 2016). Raporlama, nitel araştırmalar için geliştirilen standartlar gözetilerek yapılandırıldı (Levitt vd., 2018; O’Brien vd., 2014).</w:t>
      </w:r>
    </w:p>
    <w:p>
      <w:pPr>
        <w:pStyle w:val="Heading2"/>
      </w:pPr>
      <w:r>
        <w:rPr>
          <w:rFonts w:ascii="Calibri" w:hAnsi="Calibri" w:cs="Calibri" w:eastAsia="Calibri"/>
          <w:b/>
          <w:i w:val="0"/>
          <w:color w:val="000000"/>
          <w:sz w:val="24"/>
        </w:rPr>
        <w:t xml:space="preserve">Etik Bilgiler</w:t>
      </w:r>
    </w:p>
    <w:p>
      <w:pPr>
        <w:pStyle w:val="FirstParagraph"/>
        <w:spacing w:line="240" w:lineRule="auto" w:before="120" w:after="120"/>
        <w:ind w:firstLine="567"/>
        <w:jc w:val="both"/>
      </w:pPr>
      <w:r>
        <w:rPr>
          <w:rFonts w:ascii="Calibri" w:hAnsi="Calibri" w:cs="Calibri" w:eastAsia="Calibri"/>
          <w:color w:val="000000"/>
          <w:sz w:val="24"/>
        </w:rPr>
        <w:t xml:space="preserve">Katılımcılar metinde K kodlarıyla, form soruları S kodlarıyla gösterildi. Alıntılarda katılımcıların adlarına yer verilmedi. Bir katılımcının yanıtında geçen öğretim elemanı adı alıntılanmadı. </w:t>
      </w:r>
      <w:r>
        <w:rPr>
          <w:iCs/>
          <w:rFonts w:ascii="Calibri" w:hAnsi="Calibri" w:cs="Calibri" w:eastAsia="Calibri"/>
          <w:i/>
          <w:color w:val="000000"/>
          <w:sz w:val="24"/>
          <w:highlight w:val="yellow"/>
        </w:rPr>
        <w:t xml:space="preserve">[YAZAR BİLGİSİ GEREKLİ: Etik kurulun adı, onay tarihi ve karar sayısı.]</w:t>
      </w:r>
    </w:p>
    <w:p>
      <w:pPr>
        <w:pStyle w:val="Heading1"/>
      </w:pPr>
      <w:r>
        <w:rPr>
          <w:rFonts w:ascii="Calibri" w:hAnsi="Calibri" w:cs="Calibri" w:eastAsia="Calibri"/>
          <w:b/>
          <w:i w:val="0"/>
          <w:color w:val="000000"/>
          <w:sz w:val="24"/>
        </w:rPr>
        <w:t xml:space="preserve">Bulgular</w:t>
      </w:r>
    </w:p>
    <w:p>
      <w:pPr>
        <w:pStyle w:val="FirstParagraph"/>
        <w:spacing w:line="240" w:lineRule="auto" w:before="120" w:after="120"/>
        <w:ind w:firstLine="567"/>
        <w:jc w:val="both"/>
      </w:pPr>
      <w:r>
        <w:rPr>
          <w:rFonts w:ascii="Calibri" w:hAnsi="Calibri" w:cs="Calibri" w:eastAsia="Calibri"/>
          <w:color w:val="000000"/>
          <w:sz w:val="24"/>
        </w:rPr>
        <w:t xml:space="preserve">Bulgular, üç alt probleme karşılık gelen üç tema altında sunuldu. Tablo 2 temaları, alt temaları, her alt temada kod alan katılımcı sayısını ve kodların dayanak aldığı soruları göstermektedir. Her temanın alt temaları, kodları ve frekansları ise tema başında bir tabloda verildi (Tablo 3-5). Metin her alt temanın temel örüntüsünü, bu örüntüyü açıklayan alıntıları ve karşıt örnekleri öne çıkarır. Frekanslar katılımcı sayısını gösterir (n = 43). Bir katılımcı aynı alt temada birden fazla kod alabildiğinden bir alt temadaki frekanslar toplanarak katılımcı sayısı elde edilmez. Her atamanın dayanağı çevrim içi ekteki denetim tablosunda yer alır.</w:t>
      </w:r>
    </w:p>
    <w:p>
      <w:pPr>
        <w:pStyle w:val="BodyText"/>
        <w:keepNext/>
        <w:spacing w:line="240" w:lineRule="auto" w:before="240" w:after="0"/>
        <w:ind w:firstLine="0"/>
        <w:jc w:val="left"/>
      </w:pPr>
      <w:r>
        <w:rPr>
          <w:bCs/>
          <w:rFonts w:ascii="Calibri" w:hAnsi="Calibri" w:cs="Calibri" w:eastAsia="Calibri"/>
          <w:b/>
          <w:color w:val="000000"/>
          <w:sz w:val="24"/>
        </w:rPr>
        <w:t xml:space="preserve">Tablo 2</w:t>
      </w:r>
    </w:p>
    <w:p>
      <w:pPr>
        <w:pStyle w:val="BodyText"/>
        <w:keepNext/>
        <w:spacing w:line="240" w:lineRule="auto" w:before="0" w:after="120"/>
        <w:ind w:firstLine="0"/>
        <w:jc w:val="left"/>
      </w:pPr>
      <w:r>
        <w:rPr>
          <w:iCs/>
          <w:rFonts w:ascii="Calibri" w:hAnsi="Calibri" w:cs="Calibri" w:eastAsia="Calibri"/>
          <w:i/>
          <w:color w:val="000000"/>
          <w:sz w:val="24"/>
        </w:rPr>
        <w:t xml:space="preserve">Temalar, Alt Temalar ve Alt Temalarda Kod Alan Katılımcı Sayıları</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376"/>
        <w:gridCol w:w="2851"/>
        <w:gridCol w:w="475"/>
        <w:gridCol w:w="2217"/>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n</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Kaynak sorular</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 Yardım kaynağı tercihleri ve aracın akademik çalışmadaki rolü</w:t>
            </w:r>
          </w:p>
        </w:tc>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30</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S7, S8,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S5, S7, S8, S10, S12, S13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w:t>
            </w:r>
          </w:p>
        </w:tc>
        <w:tc>
          <w:tcPr/>
          <w:p>
            <w:pPr>
              <w:pStyle w:val="Compact"/>
              <w:spacing w:before="20" w:after="20" w:line="240" w:lineRule="auto"/>
              <w:ind w:firstLine="0"/>
              <w:jc w:val="left"/>
            </w:pPr>
            <w:r>
              <w:rPr>
                <w:rFonts w:ascii="Calibri" w:hAnsi="Calibri" w:cs="Calibri" w:eastAsia="Calibri"/>
                <w:b w:val="0"/>
                <w:color w:val="000000"/>
                <w:sz w:val="20"/>
              </w:rPr>
              <w:t xml:space="preserve">40</w:t>
            </w:r>
          </w:p>
        </w:tc>
        <w:tc>
          <w:tcPr/>
          <w:p>
            <w:pPr>
              <w:pStyle w:val="Compact"/>
              <w:spacing w:before="20" w:after="20" w:line="240" w:lineRule="auto"/>
              <w:ind w:firstLine="0"/>
              <w:jc w:val="left"/>
            </w:pPr>
            <w:r>
              <w:rPr>
                <w:rFonts w:ascii="Calibri" w:hAnsi="Calibri" w:cs="Calibri" w:eastAsia="Calibri"/>
                <w:b w:val="0"/>
                <w:color w:val="000000"/>
                <w:sz w:val="20"/>
              </w:rPr>
              <w:t xml:space="preserve">S1, S2, S7, S8</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 Çıktıların kullanımı ve değerlendirilmesi</w:t>
            </w:r>
          </w:p>
        </w:tc>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c>
          <w:tcPr/>
          <w:p>
            <w:pPr>
              <w:pStyle w:val="Compact"/>
              <w:spacing w:before="20" w:after="20" w:line="240" w:lineRule="auto"/>
              <w:ind w:firstLine="0"/>
              <w:jc w:val="left"/>
            </w:pPr>
            <w:r>
              <w:rPr>
                <w:rFonts w:ascii="Calibri" w:hAnsi="Calibri" w:cs="Calibri" w:eastAsia="Calibri"/>
                <w:b w:val="0"/>
                <w:color w:val="000000"/>
                <w:sz w:val="20"/>
              </w:rPr>
              <w:t xml:space="preserve">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c>
          <w:tcPr/>
          <w:p>
            <w:pPr>
              <w:pStyle w:val="Compact"/>
              <w:spacing w:before="20" w:after="20" w:line="240" w:lineRule="auto"/>
              <w:ind w:firstLine="0"/>
              <w:jc w:val="left"/>
            </w:pPr>
            <w:r>
              <w:rPr>
                <w:rFonts w:ascii="Calibri" w:hAnsi="Calibri" w:cs="Calibri" w:eastAsia="Calibri"/>
                <w:b w:val="0"/>
                <w:color w:val="000000"/>
                <w:sz w:val="20"/>
              </w:rPr>
              <w:t xml:space="preserve">S2, S7, S10, S12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c>
          <w:tcPr/>
          <w:p>
            <w:pPr>
              <w:pStyle w:val="Compact"/>
              <w:spacing w:before="20" w:after="20" w:line="240" w:lineRule="auto"/>
              <w:ind w:firstLine="0"/>
              <w:jc w:val="left"/>
            </w:pPr>
            <w:r>
              <w:rPr>
                <w:rFonts w:ascii="Calibri" w:hAnsi="Calibri" w:cs="Calibri" w:eastAsia="Calibri"/>
                <w:b w:val="0"/>
                <w:color w:val="000000"/>
                <w:sz w:val="20"/>
              </w:rPr>
              <w:t xml:space="preserve">S4, S9, S10, S12</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 Araçsız çalışma ve kullanımın düzenlenmesi</w:t>
            </w:r>
          </w:p>
        </w:tc>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S8,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S1, S2, S3, S4, S7, S8, S9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w:t>
            </w:r>
          </w:p>
        </w:tc>
        <w:tc>
          <w:tcPr/>
          <w:p>
            <w:pPr>
              <w:pStyle w:val="Compact"/>
              <w:spacing w:before="20" w:after="20" w:line="240" w:lineRule="auto"/>
              <w:ind w:firstLine="0"/>
              <w:jc w:val="left"/>
            </w:pPr>
            <w:r>
              <w:rPr>
                <w:rFonts w:ascii="Calibri" w:hAnsi="Calibri" w:cs="Calibri" w:eastAsia="Calibri"/>
                <w:b w:val="0"/>
                <w:color w:val="000000"/>
                <w:sz w:val="20"/>
              </w:rPr>
              <w:t xml:space="preserve">42</w:t>
            </w:r>
          </w:p>
        </w:tc>
        <w:tc>
          <w:tcPr/>
          <w:p>
            <w:pPr>
              <w:pStyle w:val="Compact"/>
              <w:spacing w:before="20" w:after="20" w:line="240" w:lineRule="auto"/>
              <w:ind w:firstLine="0"/>
              <w:jc w:val="left"/>
            </w:pPr>
            <w:r>
              <w:rPr>
                <w:rFonts w:ascii="Calibri" w:hAnsi="Calibri" w:cs="Calibri" w:eastAsia="Calibri"/>
                <w:b w:val="0"/>
                <w:color w:val="000000"/>
                <w:sz w:val="20"/>
              </w:rPr>
              <w:t xml:space="preserve">S4, S5, S10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w:t>
            </w:r>
          </w:p>
        </w:tc>
        <w:tc>
          <w:tcPr/>
          <w:p>
            <w:pPr>
              <w:pStyle w:val="Compact"/>
              <w:spacing w:before="20" w:after="20" w:line="240" w:lineRule="auto"/>
              <w:ind w:firstLine="0"/>
              <w:jc w:val="left"/>
            </w:pPr>
            <w:r>
              <w:rPr>
                <w:rFonts w:ascii="Calibri" w:hAnsi="Calibri" w:cs="Calibri" w:eastAsia="Calibri"/>
                <w:b w:val="0"/>
                <w:color w:val="000000"/>
                <w:sz w:val="20"/>
              </w:rPr>
              <w:t xml:space="preserve">43</w:t>
            </w:r>
          </w:p>
        </w:tc>
        <w:tc>
          <w:tcPr/>
          <w:p>
            <w:pPr>
              <w:pStyle w:val="Compact"/>
              <w:spacing w:before="20" w:after="20" w:line="240" w:lineRule="auto"/>
              <w:ind w:firstLine="0"/>
              <w:jc w:val="left"/>
            </w:pPr>
            <w:r>
              <w:rPr>
                <w:rFonts w:ascii="Calibri" w:hAnsi="Calibri" w:cs="Calibri" w:eastAsia="Calibri"/>
                <w:b w:val="0"/>
                <w:color w:val="000000"/>
                <w:sz w:val="20"/>
              </w:rPr>
              <w:t xml:space="preserve">S4, S5, S9, S10, S13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n = alt temada en az bir kod alan katılımcı sayısı (toplam 43). Temalar alt problemlerden, alt temalar ve kodlar yanıtlardan türetildi. Kaynak sorular, alt temadaki kodların fiilen dayanak aldığı soruları gösterir. S6 ve S11 kodlanmadı.</w:t>
      </w:r>
    </w:p>
    <w:p>
      <w:pPr>
        <w:pStyle w:val="Heading2"/>
      </w:pPr>
      <w:r>
        <w:rPr>
          <w:rFonts w:ascii="Calibri" w:hAnsi="Calibri" w:cs="Calibri" w:eastAsia="Calibri"/>
          <w:b/>
          <w:i w:val="0"/>
          <w:color w:val="000000"/>
          <w:sz w:val="24"/>
        </w:rPr>
        <w:t xml:space="preserve">Tema 1: Yardım Kaynağı Tercihleri ve Aracın Akademik Çalışmadaki Rolü</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zorlandıklarında hangi kaynağa yöneldiklerini, bu tercihi nasıl gerekçelendirdiklerini, araca hangi işleri devrettiklerini ve aracın rolünü nasıl tanımladıklarını kapsar. Alt temalara ilişkin kodlar ve frekanslar Tablo 3’te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3</w:t>
      </w:r>
    </w:p>
    <w:p>
      <w:pPr>
        <w:pStyle w:val="BodyText"/>
        <w:keepNext/>
        <w:spacing w:line="240" w:lineRule="auto" w:before="0" w:after="120"/>
        <w:ind w:firstLine="0"/>
        <w:jc w:val="left"/>
      </w:pPr>
      <w:r>
        <w:rPr>
          <w:iCs/>
          <w:rFonts w:ascii="Calibri" w:hAnsi="Calibri" w:cs="Calibri" w:eastAsia="Calibri"/>
          <w:i/>
          <w:color w:val="000000"/>
          <w:sz w:val="24"/>
        </w:rPr>
        <w:t xml:space="preserve">Yardım Kaynağı Tercihleri ve Aracın Akademik Çalışmadaki Rolü: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1.1 Yardım kaynağı tercihi ve tercihteki değişim (n = 43)</w:t>
            </w:r>
          </w:p>
        </w:tc>
        <w:tc>
          <w:tcPr/>
          <w:p>
            <w:pPr>
              <w:pStyle w:val="Compact"/>
              <w:spacing w:before="20" w:after="20" w:line="240" w:lineRule="auto"/>
              <w:ind w:firstLine="0"/>
              <w:jc w:val="left"/>
            </w:pPr>
            <w:r>
              <w:rPr>
                <w:rFonts w:ascii="Calibri" w:hAnsi="Calibri" w:cs="Calibri" w:eastAsia="Calibri"/>
                <w:b w:val="0"/>
                <w:color w:val="000000"/>
                <w:sz w:val="20"/>
              </w:rPr>
              <w:t xml:space="preserve">1.1.1 ÜYZ’ye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1.1.2 İnsan desteğine öncelik verme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1.1.3 İki kaynağı birlikte veya koşula göre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1.1.4 İnsan desteğinden ÜYZ’ye kayma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1.1.5 Tercihte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1.2 Yardım kaynağı tercihinin gerekçeleri (n = 30)</w:t>
            </w:r>
          </w:p>
        </w:tc>
        <w:tc>
          <w:tcPr/>
          <w:p>
            <w:pPr>
              <w:pStyle w:val="Compact"/>
              <w:spacing w:before="20" w:after="20" w:line="240" w:lineRule="auto"/>
              <w:ind w:firstLine="0"/>
              <w:jc w:val="left"/>
            </w:pPr>
            <w:r>
              <w:rPr>
                <w:rFonts w:ascii="Calibri" w:hAnsi="Calibri" w:cs="Calibri" w:eastAsia="Calibri"/>
                <w:b w:val="0"/>
                <w:color w:val="000000"/>
                <w:sz w:val="20"/>
              </w:rPr>
              <w:t xml:space="preserve">1.2.1 Hız, kolaylık ve zaman kazanma</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1.2.2 Öğretim elemanına ilişkin gerekçeler</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1.2.3 Diğer kaynaklarda bulamama veya bilgi dağınıklığı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1.2.4 İnsanlarla iletişimden kaçınma</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1.2.5 Kaynakların bilgi niteliğine ilişkin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1.3 Araca devredilen işler ve kişinin sürdürdüğü katkı (n = 42)</w:t>
            </w:r>
          </w:p>
        </w:tc>
        <w:tc>
          <w:tcPr/>
          <w:p>
            <w:pPr>
              <w:pStyle w:val="Compact"/>
              <w:spacing w:before="20" w:after="20" w:line="240" w:lineRule="auto"/>
              <w:ind w:firstLine="0"/>
              <w:jc w:val="left"/>
            </w:pPr>
            <w:r>
              <w:rPr>
                <w:rFonts w:ascii="Calibri" w:hAnsi="Calibri" w:cs="Calibri" w:eastAsia="Calibri"/>
                <w:b w:val="0"/>
                <w:color w:val="000000"/>
                <w:sz w:val="20"/>
              </w:rPr>
              <w:t xml:space="preserve">1.3.1 Bilgi arama, konu araştırma ve özetleme</w:t>
            </w:r>
          </w:p>
        </w:tc>
        <w:tc>
          <w:tcPr/>
          <w:p>
            <w:pPr>
              <w:pStyle w:val="Compact"/>
              <w:spacing w:before="20" w:after="20" w:line="240" w:lineRule="auto"/>
              <w:ind w:firstLine="0"/>
              <w:jc w:val="left"/>
            </w:pPr>
            <w:r>
              <w:rPr>
                <w:rFonts w:ascii="Calibri" w:hAnsi="Calibri" w:cs="Calibri" w:eastAsia="Calibri"/>
                <w:b w:val="0"/>
                <w:color w:val="000000"/>
                <w:sz w:val="20"/>
              </w:rPr>
              <w:t xml:space="preserve">29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1.3.2 Fikir üretme ve etkinlik veya materyal tasarlama</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1.3.3 Taslak, planlama ve çalışmanın yönünü belirleme</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1.3.4 Metin düzenleme, akademik dil ve çeviri</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1.3.5 Kendi çalışmasını araca kontrol ettirme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1.3.6 Sınav hazırlığı ve soru üretme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1.3.7 Ödevleri araçla yapma bildirimi (aracın ürettiği pay belirtilmemiş)</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1.3.8 Yardımı belirli noktalarla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1.3.9 Kendi katkısını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1.3.10 Öğretim elemanı beklentisi veya not kaygısıyla kullanımı sınırlama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r>
              <w:rPr>
                <w:rFonts w:ascii="Calibri" w:hAnsi="Calibri" w:cs="Calibri" w:eastAsia="Calibri"/>
                <w:b w:val="0"/>
                <w:color w:val="000000"/>
                <w:sz w:val="20"/>
              </w:rPr>
              <w:t xml:space="preserve">1.4 Aracın rolüne ilişkin tanımlamalar (n = 40)</w:t>
            </w:r>
          </w:p>
        </w:tc>
        <w:tc>
          <w:tcPr/>
          <w:p>
            <w:pPr>
              <w:pStyle w:val="Compact"/>
              <w:spacing w:before="20" w:after="20" w:line="240" w:lineRule="auto"/>
              <w:ind w:firstLine="0"/>
              <w:jc w:val="left"/>
            </w:pPr>
            <w:r>
              <w:rPr>
                <w:rFonts w:ascii="Calibri" w:hAnsi="Calibri" w:cs="Calibri" w:eastAsia="Calibri"/>
                <w:b w:val="0"/>
                <w:color w:val="000000"/>
                <w:sz w:val="20"/>
              </w:rPr>
              <w:t xml:space="preserve">1.4.1 Yardımcı araç veya tamamlayıcı</w:t>
            </w:r>
          </w:p>
        </w:tc>
        <w:tc>
          <w:tcPr/>
          <w:p>
            <w:pPr>
              <w:pStyle w:val="Compact"/>
              <w:spacing w:before="20" w:after="20" w:line="240" w:lineRule="auto"/>
              <w:ind w:firstLine="0"/>
              <w:jc w:val="left"/>
            </w:pPr>
            <w:r>
              <w:rPr>
                <w:rFonts w:ascii="Calibri" w:hAnsi="Calibri" w:cs="Calibri" w:eastAsia="Calibri"/>
                <w:b w:val="0"/>
                <w:color w:val="000000"/>
                <w:sz w:val="20"/>
              </w:rPr>
              <w:t xml:space="preserve">15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1.4.2 Bilgi kaynağı</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1.4.3 Rehber veya yol gösterici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1.4.4 Beden ve benlik metaforları</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1.4.5 Kişileştirilmiş ilişki tanımları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1.4.6 Sınırlı yer veya vazgeçilebilirlik</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Kodlar örtüşebilir. 1.1’deki iki öncelik kodu aynı katılımcıda bulunmaz. 1.2.5 her iki yöndeki karşılaştırmayı kapsar (üç katılımcı ÜYZ lehine, bir katılımcı insan kaynakları lehine).</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 ve tercihteki değişim.</w:t>
      </w:r>
      <w:r>
        <w:rPr>
          <w:rFonts w:ascii="Calibri" w:hAnsi="Calibri" w:cs="Calibri" w:eastAsia="Calibri"/>
          <w:color w:val="000000"/>
          <w:sz w:val="24"/>
        </w:rPr>
        <w:t xml:space="preserve"> Katılımcıların tamamı S7’de bir tercih bildirdi. Zorlandığında ilk veya başlıca kaynak olarak ÜYZ’ye yönelmek, veri kümesindeki baskın örüntüdür (f = 26). Ancak bu tercih her açıklamada insan desteğini dışlamaz. ÜYZ’ye öncelik veren 26 katılımcının sekizi insan desteğini de sırayla veya duruma göre kullandığını belirtti. Bu sıra genellikle önce araç, çözüm bulunamazsa arkadaş veya öğretim elemanı biçimindedir. K41 bu sırayı şöyle anlattı:</w:t>
      </w:r>
    </w:p>
    <w:p>
      <w:pPr>
        <w:pStyle w:val="BlockText"/>
        <w:spacing w:line="240" w:lineRule="auto" w:before="120" w:after="120"/>
        <w:ind w:left="567" w:right="0" w:firstLine="0"/>
        <w:jc w:val="both"/>
      </w:pPr>
      <w:r>
        <w:rPr>
          <w:rFonts w:ascii="Calibri" w:hAnsi="Calibri" w:cs="Calibri" w:eastAsia="Calibri"/>
          <w:color w:val="000000"/>
          <w:sz w:val="24"/>
        </w:rPr>
        <w:t xml:space="preserve">“Direkt yapay zekaya yöneliyorum, eğer onun verdiği cevaplar beni tatmin etmezse hocalarıma ya da çevreme danışıyorum.” (K41, S7)</w:t>
      </w:r>
    </w:p>
    <w:p>
      <w:pPr>
        <w:pStyle w:val="FirstParagraph"/>
        <w:spacing w:line="240" w:lineRule="auto" w:before="120" w:after="120"/>
        <w:ind w:firstLine="567"/>
        <w:jc w:val="both"/>
      </w:pPr>
      <w:r>
        <w:rPr>
          <w:rFonts w:ascii="Calibri" w:hAnsi="Calibri" w:cs="Calibri" w:eastAsia="Calibri"/>
          <w:color w:val="000000"/>
          <w:sz w:val="24"/>
        </w:rPr>
        <w:t xml:space="preserve">K40 ise ilk aşamada araca yönelmesini “Kendim yaptığım zaman daha geliştirici olduğu için.” (K40, S7) sözleriyle açıkladı ve çıkmaza girdiğinde insanlardan yardım aldığını belirtti. Bu açıklamada araca yönelmek, insanlardan yardım istemenin karşıtı olarak değil, kişinin kendi çalışmasının bir parçası olarak sunulmuştur. Aynı sıranın tersi de veri kümesinde yer alır. Dokuz katılımcı önce arkadaşlarına veya öğretim elemanına danıştığını, ÜYZ’yi ikinci kaynak olarak kullandığını belirtti. K01 bu sırayı kısa biçimde anlattı: “Önce arkadaşlarıma danışırım. Eğer onların da bilmediği bir konu ise YZ’ya başvururum.” (K01, S7). Sekiz katılımcı ise bir öncelik bildirmeden iki kaynağı aynı görev içinde veya koşula göre birlikte kullandığını anlattı. K08 “Hem hocalara soruyorum hem de YZ’dan bana taslak oluşturmasını istiyorum.” (K08, S7) ifadesini kullandı. K37 tercihini öğretim elemanının tutumuna bağladı: “Hoca tutumuna bağlı olarak ya yöneliyorum YZ’ya ya da yönelmiyorum.” (K37, S7).</w:t>
      </w:r>
    </w:p>
    <w:p>
      <w:pPr>
        <w:pStyle w:val="BodyText"/>
        <w:spacing w:line="240" w:lineRule="auto" w:before="120" w:after="120"/>
        <w:ind w:firstLine="567"/>
        <w:jc w:val="both"/>
      </w:pPr>
      <w:r>
        <w:rPr>
          <w:rFonts w:ascii="Calibri" w:hAnsi="Calibri" w:cs="Calibri" w:eastAsia="Calibri"/>
          <w:color w:val="000000"/>
          <w:sz w:val="24"/>
        </w:rPr>
        <w:t xml:space="preserve">On dört katılımcı tercihinin zaman içinde insan desteğinden ÜYZ’ye kaydığını belirtti. Bu kaymanın kapsamı katılımcılar arasında belirgin biçimde farklıdır. Yalnız iki katılımcı insan desteğinin bütünüyle bırakıldığını açıkça anlattı. K16 “YZ’yı kullanmaya başladığımdan beri çevremden yardım almayı bıraktım.” (K16, S7) derken K22 “yerini tamamen YZ araçları aldı” (K22, S7) ifadesini kullandı. K05 de arkadaşlar arasındaki fikir alışverişinin yerini doğrudan araca sormanın aldığını belirtti (S7). Diğer açıklamalarda kayma, aracın payının artması veya başvuru sırasının değişmesi biçimindedir. Kayma bildiren üç katılımcı (K15, K18, K21) hâlâ önce insan desteğine başvurduğunu belirtti. K21 bu değişimi öğretim elemanlarına ulaşmanın zorluğuna bağladı (S7). K43 ise öğretim elemanlarına artık pek danışmadığını, arkadaşlarına danışmayı ise sürdürdüğünü anlattı (S7). Buna karşılık yedi katılımcı tercihinin değişmediğini belirtti ve bunların altısı ÜYZ’ye öncelik vermektedir. K03 bu durumu “Zaman içinde değişim olmadı. Olmaz da.” (K03, S7) sözleriyle anlattı. Dolayısıyla aracın ilk kaynak olması, bazı katılımcılar için bir değişimin sonucu, bazıları için baştan beri süren bir tercihtir.</w:t>
      </w:r>
    </w:p>
    <w:p>
      <w:pPr>
        <w:pStyle w:val="BodyText"/>
        <w:spacing w:line="240" w:lineRule="auto" w:before="120" w:after="120"/>
        <w:ind w:firstLine="567"/>
        <w:jc w:val="both"/>
      </w:pPr>
      <w:r>
        <w:rPr>
          <w:iCs/>
          <w:rFonts w:ascii="Calibri" w:hAnsi="Calibri" w:cs="Calibri" w:eastAsia="Calibri"/>
          <w:i/>
          <w:color w:val="000000"/>
          <w:sz w:val="24"/>
        </w:rPr>
        <w:t xml:space="preserve">Yardım kaynağı tercihinin gerekçeleri.</w:t>
      </w:r>
      <w:r>
        <w:rPr>
          <w:rFonts w:ascii="Calibri" w:hAnsi="Calibri" w:cs="Calibri" w:eastAsia="Calibri"/>
          <w:color w:val="000000"/>
          <w:sz w:val="24"/>
        </w:rPr>
        <w:t xml:space="preserve"> Gerekçeler S7’nin yanı sıra formun diğer sorularındaki açıklamalardan kodlandı. On üç katılımcı formun bütününde tercihine ilişkin bir gerekçe belirtmedi. En sık bildirilen gerekçe hız, kolaylık ve zaman kazanmadır (f = 20). K17 “daha kolay ve daha hızlı ulaşım sağlayabiliyorum. Cevaplarını da hemen alabiliyorum.” (K17, S7) ifadesini kullandı. Yüksek lisans öğrencisi K41 ise aracı birden fazla makale veya tez okuması gereken zamanlarda “daha hızlı okumak adına” (K41, S1) kullandığını belirtti. Bilgiyi arama motorunda veya diğer kaynaklarda bulamama ve bilginin dağınıklığı yedi katılımcının gerekçesidir. K03 bunu şöyle anlattı: “Tek tek bütün sitelere bakmak zorunda kalıyoruz. Ama YZ bir sürü siteden bilgiler toplayıp tek bir yerden veriyor.” (K03, S10).</w:t>
      </w:r>
    </w:p>
    <w:p>
      <w:pPr>
        <w:pStyle w:val="BodyText"/>
        <w:spacing w:line="240" w:lineRule="auto" w:before="120" w:after="120"/>
        <w:ind w:firstLine="567"/>
        <w:jc w:val="both"/>
      </w:pPr>
      <w:r>
        <w:rPr>
          <w:rFonts w:ascii="Calibri" w:hAnsi="Calibri" w:cs="Calibri" w:eastAsia="Calibri"/>
          <w:color w:val="000000"/>
          <w:sz w:val="24"/>
        </w:rPr>
        <w:t xml:space="preserve">Yedi katılımcının gerekçeleri arasında araca değil, öğretim elemanına ilişkin koşullar yer aldı. Bu gerekçeler ulaşamama, algılanan isteksizlik, yüksek beklenti ve anlatım eksikliğini kapsar. K10 tercihini algıladığı destek ortamıyla ilişkilendirdi: “Hocaların tahammül seviyesi ve sorular sorduğumuzda isteksiz tavırları YZ araçlarına yönelmemizde daha etkili olduğunu düşünüyorum.” (K10, S7). K43 ise ulaşma koşulunu öne çıkardı: “hocalara her an ya da istediğimiz an ulaşamadığımızda YZ yardıma koşuyor” (K43, S7). Bu açıklamalar öğretim elemanlarının davranışına ilişkin bağımsız kanıt sağlamaz, katılımcıların tercihlerini hangi algılanan koşullara bağladığını gösterir. İki katılımcı araca sormanın insanlarla iletişim kurmaktan daha kolay geldiğini belirtti. K14 bunu “Bir eksikliğimi araçlara ifade etmek bana daha kolay geliyor. Çok insanlarla iletişime girmeyi seven biri değilim.” (K14, S7) sözleriyle anlattı. Dört katılımcı ise tercihini kaynakların bilgi niteliğini karşılaştırarak açıkladı. Bunların üçü aracı öğretim elemanlarından, kendi arama motoru araştırmasından veya kendi yanıtlarından daha iyi buldu. K03 “Hocalardan daha iyi bilgi veriyor.” (K03, S7) dedi. Karşıt yönde K33, arkadaşlarının ve öğretim elemanlarının bilgi ve deneyimine daha çok güvendiğini belirtti (S7).</w:t>
      </w:r>
    </w:p>
    <w:p>
      <w:pPr>
        <w:pStyle w:val="BodyText"/>
        <w:spacing w:line="240" w:lineRule="auto" w:before="120" w:after="120"/>
        <w:ind w:firstLine="567"/>
        <w:jc w:val="both"/>
      </w:pPr>
      <w:r>
        <w:rPr>
          <w:iCs/>
          <w:rFonts w:ascii="Calibri" w:hAnsi="Calibri" w:cs="Calibri" w:eastAsia="Calibri"/>
          <w:i/>
          <w:color w:val="000000"/>
          <w:sz w:val="24"/>
        </w:rPr>
        <w:t xml:space="preserve">Araca devredilen işler ve kişinin sürdürdüğü katkı.</w:t>
      </w:r>
      <w:r>
        <w:rPr>
          <w:rFonts w:ascii="Calibri" w:hAnsi="Calibri" w:cs="Calibri" w:eastAsia="Calibri"/>
          <w:color w:val="000000"/>
          <w:sz w:val="24"/>
        </w:rPr>
        <w:t xml:space="preserve"> Araca en sık devredilen iş bilgi arama, konu araştırma ve özetlemedir (f = 29). K07 özetleme işlevini “uzun PDF dosyalarının istediğim bölümlerini özetlememde de yardımcı oluyor” (K07, S1) sözleriyle anlattı. K40 aynı işlevi akademik okuma bağlamında belirtti: “Akademik çalışmalarda makale, vb. okuması uzun şeyleri güzel özetliyor bu da işimi kolaylaştırıyor.” (K40, S2). Fikir üretme ile etkinlik veya materyal tasarlama ikinci sırada gelir (f = 17). K25 bu kullanımı “yaratıcı ve farklı etkinlikler bulmak adına kullanıyorum” (K25, S1) biçiminde açıkladı. Bu iki iş türü, çıktının bir başlangıç noktası olarak kullanıldığı açıklamalarda yer alır.</w:t>
      </w:r>
    </w:p>
    <w:p>
      <w:pPr>
        <w:pStyle w:val="BodyText"/>
        <w:spacing w:line="240" w:lineRule="auto" w:before="120" w:after="120"/>
        <w:ind w:firstLine="567"/>
        <w:jc w:val="both"/>
      </w:pPr>
      <w:r>
        <w:rPr>
          <w:rFonts w:ascii="Calibri" w:hAnsi="Calibri" w:cs="Calibri" w:eastAsia="Calibri"/>
          <w:color w:val="000000"/>
          <w:sz w:val="24"/>
        </w:rPr>
        <w:t xml:space="preserve">Devredilen işin kapsamı katılımcılar arasında değişmektedir. Dokuz katılımcı taslak oluşturma, planlama veya çalışmanın yönünü belirleme işini araca bıraktığını anlattı. K16 bu devri açık biçimde ifade etti:</w:t>
      </w:r>
    </w:p>
    <w:p>
      <w:pPr>
        <w:pStyle w:val="BlockText"/>
        <w:spacing w:line="240" w:lineRule="auto" w:before="120" w:after="120"/>
        <w:ind w:left="567" w:right="0" w:firstLine="0"/>
        <w:jc w:val="both"/>
      </w:pPr>
      <w:r>
        <w:rPr>
          <w:rFonts w:ascii="Calibri" w:hAnsi="Calibri" w:cs="Calibri" w:eastAsia="Calibri"/>
          <w:color w:val="000000"/>
          <w:sz w:val="24"/>
        </w:rPr>
        <w:t xml:space="preserve">“Bir ödev verildiğinde ödev yönergesini YZ’ya atıyorum ve onun yönlendirmesiyle ödevi yapıyorum.” (K16, S10)</w:t>
      </w:r>
    </w:p>
    <w:p>
      <w:pPr>
        <w:pStyle w:val="FirstParagraph"/>
        <w:spacing w:line="240" w:lineRule="auto" w:before="120" w:after="120"/>
        <w:ind w:firstLine="567"/>
        <w:jc w:val="both"/>
      </w:pPr>
      <w:r>
        <w:rPr>
          <w:rFonts w:ascii="Calibri" w:hAnsi="Calibri" w:cs="Calibri" w:eastAsia="Calibri"/>
          <w:color w:val="000000"/>
          <w:sz w:val="24"/>
        </w:rPr>
        <w:t xml:space="preserve">Bu açıklamada planlama işi araca devredilmiştir, ödev içeriğini kimin ürettiği ise belirtilmemiştir. İki katılımcı ödevlerini araçla yaptığını belirtti. K22 “Tüm ödevlerimde ChatGPT kullanıyorum. Ödevdeki soruların çoğu için kullanıyorum.” (K22, S1) ifadesini kullandı. K13 ise ilgisini çekmeyen derslerin ödevlerini araçla yaptığını anlattı (S10). Bu iki ifade yardımın ödev içindeki yaygınlığını gösterir, ödevin ne kadarının araç tarafından üretildiğini ise açıklamaz. Ödevin tamamını araca yaptırdığını açıkça belirten katılımcı yoktur.</w:t>
      </w:r>
    </w:p>
    <w:p>
      <w:pPr>
        <w:pStyle w:val="BodyText"/>
        <w:spacing w:line="240" w:lineRule="auto" w:before="120" w:after="120"/>
        <w:ind w:firstLine="567"/>
        <w:jc w:val="both"/>
      </w:pPr>
      <w:r>
        <w:rPr>
          <w:rFonts w:ascii="Calibri" w:hAnsi="Calibri" w:cs="Calibri" w:eastAsia="Calibri"/>
          <w:color w:val="000000"/>
          <w:sz w:val="24"/>
        </w:rPr>
        <w:t xml:space="preserve">Karşıt yöndeki açıklamalar yardımın sınırını ve kişinin kendi payını tanımlar. On üç katılımcı yardımı belirli noktalarla sınırladığını, aracın verdiğini kendi düşüncesiyle geliştirdiğini veya kullanımını öğretim elemanı beklentisine göre sınırladığını belirtti. Bunların sekizi ÜYZ’ye öncelik veren katılımcılardır. K01 “Ödevimin tamamını YZ’ya hiçbir zaman yaptırmam. Sadece eksik gördüğüm noktalarda yardım alırım.” (K01, S10) ifadesini kullandı. K41 yardımı “anlamadığım yerde fikir danışmak adına” (K41, S1) aldığını belirtti. K42 ise gerekli bilgileri aldıktan sonra gerisini kendisinin hallettiğini açıkladı (S13). İki katılımcı kendi hazırladığı çalışmayı araca kontrol ettirdiğini belirtti. K29 “Genelde yaptığım ödevleri YZ’ya burada bir yanlış var mı diye soruyorum.” (K29, S10) ifadesini kullandı. Bu açıklamada kontrol edilen ürün katılımcının kendi çalışmasıdır. Üç katılımcı ise kullanımını öğretim elemanının beklentisine, not veya intihal kaygısına göre sınırladığını anlattı. K39 “bazen hocalar YZ araçlarını kullanmamamızı istiyor o anlarda sadece konu hakkında fikir alıyorum” (K39, S2) dedi.</w:t>
      </w:r>
    </w:p>
    <w:p>
      <w:pPr>
        <w:pStyle w:val="BodyText"/>
        <w:spacing w:line="240" w:lineRule="auto" w:before="120" w:after="120"/>
        <w:ind w:firstLine="567"/>
        <w:jc w:val="both"/>
      </w:pPr>
      <w:r>
        <w:rPr>
          <w:iCs/>
          <w:rFonts w:ascii="Calibri" w:hAnsi="Calibri" w:cs="Calibri" w:eastAsia="Calibri"/>
          <w:i/>
          <w:color w:val="000000"/>
          <w:sz w:val="24"/>
        </w:rPr>
        <w:t xml:space="preserve">Aracın rolüne ilişkin tanımlamalar.</w:t>
      </w:r>
      <w:r>
        <w:rPr>
          <w:rFonts w:ascii="Calibri" w:hAnsi="Calibri" w:cs="Calibri" w:eastAsia="Calibri"/>
          <w:color w:val="000000"/>
          <w:sz w:val="24"/>
        </w:rPr>
        <w:t xml:space="preserve"> Tanımlamalar ağırlıklı olarak S8’den kodlandı. Üç katılımcı (K18, K19, K32) bir rol tanımı yapmadı. En sık tanım aracı yardımcı, tamamlayıcı veya kolaylaştırıcı bir araç olarak konumlandırır (f = 15). Bilgi kaynağı tanımı bunu izler (f = 9). K17 bu tanımı kitapla karşılaştırdı: “Bir kitap gibi bir rolü var. Ne hakkında bilgi sorsam cevabını alıyorum. Kitaptan tek farkı ben arayıp cevabı bulmuyorum o kadar.” (K17, S8). Bir grup tanım aracı kişinin bedenine veya benliğine yaklaştırır. K07 aracı “sağ kolum” (K07, S8), K13 “Bir diğer beynim” (K13, S8), K03 ise “Kendimden bir parça” (K03, S2) olarak tanımladı. K42 metaforu kapsamıyla birlikte anlattı: “Şu an benim elim kolum her şeyim oldu. Aklıma takılan her şeyi direkt artık ona soruyorum. Sadece duygusal iç dünyamı ona açmıyorum.” (K42, S8).</w:t>
      </w:r>
    </w:p>
    <w:p>
      <w:pPr>
        <w:pStyle w:val="BodyText"/>
        <w:spacing w:line="240" w:lineRule="auto" w:before="120" w:after="120"/>
        <w:ind w:firstLine="567"/>
        <w:jc w:val="both"/>
      </w:pPr>
      <w:r>
        <w:rPr>
          <w:rFonts w:ascii="Calibri" w:hAnsi="Calibri" w:cs="Calibri" w:eastAsia="Calibri"/>
          <w:color w:val="000000"/>
          <w:sz w:val="24"/>
        </w:rPr>
        <w:t xml:space="preserve">Kişileştirilmiş ilişki tanımları on katılımcıda yer aldı. Bunlar arasında “ödev arkadaşım” (K10, S8), “Okul arkadaşım” (K36, S8), “bir hoca gibi” (K25, S8) ve “yaşam koçum” (K42, S8) bulunmaktadır. K40 aracı “Eğitici ve öğretici bir mentor” (K40, S8) olarak niteledi. K41’nin tanımı ise ilişkide denetimin kimde olduğunu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“Ben araba sürerken yanımda bana eşlik eden birisi diyebilirim. Kontrol bende fakat bazen ona da danışma ihtiyacı duyuyorum.” (K41, S8)</w:t>
      </w:r>
    </w:p>
    <w:p>
      <w:pPr>
        <w:pStyle w:val="FirstParagraph"/>
        <w:spacing w:line="240" w:lineRule="auto" w:before="120" w:after="120"/>
        <w:ind w:firstLine="567"/>
        <w:jc w:val="both"/>
      </w:pPr>
      <w:r>
        <w:rPr>
          <w:rFonts w:ascii="Calibri" w:hAnsi="Calibri" w:cs="Calibri" w:eastAsia="Calibri"/>
          <w:color w:val="000000"/>
          <w:sz w:val="24"/>
        </w:rPr>
        <w:t xml:space="preserve">Aynı türden tanımlar bir hizmet ilişkisini de anlatabilir: “bir asistan gibi ya da bir tür hizmet görevlisi” (K29, S8), “Müşteri hizmetleri” (K35, S8). Karşıt uçta sekiz katılımcı aracın hayatında sınırlı bir yer tuttuğunu veya onsuz da olabileceğini belirtti. K39 “Sadece bana arada sırada yardımı olan bir YZ aracı çok bir önemli boyutu yok hayatımda. Olmasa da olur.” (K39, S8) diye belirtti. Rol tanımları devredilen işin kapsamını her zaman göstermez. Beden ve benlik metaforu kullanan K42 yardımı sınırladığını da belirtti (S13). K39 ise aynı formda hem beden ve benlik metaforu (S2) hem de vazgeçilebilirlik (S8) bildirdi. K18 ise S8’de bir rol tanımı yapmak yerine aracın kendi gelişimine etkisini değerlendirdi: “Etkileşimim iyi ama o olmasaydı kendimi daha fazla geliştirebileceğimi düşünüyorum. Şu anda o olmazsa çok zorlanırım gibi hissediyorum.” (K18, S8). Bu açıklama, rol tanımlarının yeterlik değerlendirmeleriyle iç içe geçebildiğini gösterir.</w:t>
      </w:r>
    </w:p>
    <w:p>
      <w:pPr>
        <w:pStyle w:val="Heading2"/>
      </w:pPr>
      <w:r>
        <w:rPr>
          <w:rFonts w:ascii="Calibri" w:hAnsi="Calibri" w:cs="Calibri" w:eastAsia="Calibri"/>
          <w:b/>
          <w:i w:val="0"/>
          <w:color w:val="000000"/>
          <w:sz w:val="24"/>
        </w:rPr>
        <w:t xml:space="preserve">Tema 2: Çıktıların Kullanımı ve Değerlendirilmesi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bir çıktıyı sorgulamadan kullanıp kullanmadıklarını, kabul kararlarını neye dayandırdıklarını, hangi değerlendirme ve kullanım işlemlerini bildirdiklerini ve kullanım sonrasında neler yaşadıklarını kapsar. Bildirilen işlem, işlemin dayanağı ve kullanım kararı ayrı ayrı kodlandı. Alt temalara ilişkin kodlar ve frekanslar Tablo 4’te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4</w:t>
      </w:r>
    </w:p>
    <w:p>
      <w:pPr>
        <w:pStyle w:val="BodyText"/>
        <w:keepNext/>
        <w:spacing w:line="240" w:lineRule="auto" w:before="0" w:after="120"/>
        <w:ind w:firstLine="0"/>
        <w:jc w:val="left"/>
      </w:pPr>
      <w:r>
        <w:rPr>
          <w:iCs/>
          <w:rFonts w:ascii="Calibri" w:hAnsi="Calibri" w:cs="Calibri" w:eastAsia="Calibri"/>
          <w:i/>
          <w:color w:val="000000"/>
          <w:sz w:val="24"/>
        </w:rPr>
        <w:t xml:space="preserve">Çıktıların Kullanımı ve Değerlendirilmesi: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138"/>
        <w:gridCol w:w="3722"/>
        <w:gridCol w:w="1425"/>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İşlem türü</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2.1 Sorgulamadan kullanım bildirimi (n = 43)</w:t>
            </w:r>
          </w:p>
        </w:tc>
        <w:tc>
          <w:tcPr/>
          <w:p>
            <w:pPr>
              <w:pStyle w:val="Compact"/>
              <w:spacing w:before="20" w:after="20" w:line="240" w:lineRule="auto"/>
              <w:ind w:firstLine="0"/>
              <w:jc w:val="left"/>
            </w:pPr>
            <w:r>
              <w:rPr>
                <w:rFonts w:ascii="Calibri" w:hAnsi="Calibri" w:cs="Calibri" w:eastAsia="Calibri"/>
                <w:b w:val="0"/>
                <w:color w:val="000000"/>
                <w:sz w:val="20"/>
              </w:rPr>
              <w:t xml:space="preserve">2.1.1 Sorgulamadan kullanım deneyimi bildirme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2.1.2 Sorgulamadan kullanım deneyimini reddetme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2.1.3 Deneyimi kesinleştirmeyen bildirim</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2.2 Kabul kararının gerekçeleri (n = 15)</w:t>
            </w:r>
          </w:p>
        </w:tc>
        <w:tc>
          <w:tcPr/>
          <w:p>
            <w:pPr>
              <w:pStyle w:val="Compact"/>
              <w:spacing w:before="20" w:after="20" w:line="240" w:lineRule="auto"/>
              <w:ind w:firstLine="0"/>
              <w:jc w:val="left"/>
            </w:pPr>
            <w:r>
              <w:rPr>
                <w:rFonts w:ascii="Calibri" w:hAnsi="Calibri" w:cs="Calibri" w:eastAsia="Calibri"/>
                <w:b w:val="0"/>
                <w:color w:val="000000"/>
                <w:sz w:val="20"/>
              </w:rPr>
              <w:t xml:space="preserve">2.2.1 Çıktıyı güvenilir, doğru, mantıklı veya düzgün bulma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2.2.2 Görev ve değerlendirme koşulları</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2.2.3 Seçenek yokluğu, alışkanlık veya kuşkuya rağmen kabul</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2.3 Bildirilen değerlendirme ve kullanım işlemleri (n = 25)</w:t>
            </w:r>
          </w:p>
        </w:tc>
        <w:tc>
          <w:tcPr/>
          <w:p>
            <w:pPr>
              <w:pStyle w:val="Compact"/>
              <w:spacing w:before="20" w:after="20" w:line="240" w:lineRule="auto"/>
              <w:ind w:firstLine="0"/>
              <w:jc w:val="left"/>
            </w:pPr>
            <w:r>
              <w:rPr>
                <w:rFonts w:ascii="Calibri" w:hAnsi="Calibri" w:cs="Calibri" w:eastAsia="Calibri"/>
                <w:b w:val="0"/>
                <w:color w:val="000000"/>
                <w:sz w:val="20"/>
              </w:rPr>
              <w:t xml:space="preserve">2.3.1 İnternet, arama motoru veya özgün kaynakla kontrol etme</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2.3.2 Başka ÜYZ aracı veya uygulamayla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2.3.3 Aynı araca yeniden sorma veya kendi yanıtıyla karşılaştırma</w:t>
            </w:r>
          </w:p>
        </w:tc>
        <w:tc>
          <w:tcPr/>
          <w:p>
            <w:pPr>
              <w:pStyle w:val="Compact"/>
              <w:spacing w:before="20" w:after="20" w:line="240" w:lineRule="auto"/>
              <w:ind w:firstLine="0"/>
              <w:jc w:val="left"/>
            </w:pPr>
            <w:r>
              <w:rPr>
                <w:rFonts w:ascii="Calibri" w:hAnsi="Calibri" w:cs="Calibri" w:eastAsia="Calibri"/>
                <w:b w:val="0"/>
                <w:color w:val="000000"/>
                <w:sz w:val="20"/>
              </w:rPr>
              <w:t xml:space="preserve">doğrulama</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2.3.4 Çıktıyı düzenleme, ekleme-çıkarma veya yorumlama</w:t>
            </w:r>
          </w:p>
        </w:tc>
        <w:tc>
          <w:tcPr/>
          <w:p>
            <w:pPr>
              <w:pStyle w:val="Compact"/>
              <w:spacing w:before="20" w:after="20" w:line="240" w:lineRule="auto"/>
              <w:ind w:firstLine="0"/>
              <w:jc w:val="left"/>
            </w:pPr>
            <w:r>
              <w:rPr>
                <w:rFonts w:ascii="Calibri" w:hAnsi="Calibri" w:cs="Calibri" w:eastAsia="Calibri"/>
                <w:b w:val="0"/>
                <w:color w:val="000000"/>
                <w:sz w:val="20"/>
              </w:rPr>
              <w:t xml:space="preserve">dönüştürme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2.3.5 Çıktıyı olduğu gibi kullanmama, fikir veya kaynak önerisi olarak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2.3.6 Çalışmayı makale, kitap veya başka kaynaklara dayandırma</w:t>
            </w:r>
          </w:p>
        </w:tc>
        <w:tc>
          <w:tcPr/>
          <w:p>
            <w:pPr>
              <w:pStyle w:val="Compact"/>
              <w:spacing w:before="20" w:after="20" w:line="240" w:lineRule="auto"/>
              <w:ind w:firstLine="0"/>
              <w:jc w:val="left"/>
            </w:pPr>
            <w:r>
              <w:rPr>
                <w:rFonts w:ascii="Calibri" w:hAnsi="Calibri" w:cs="Calibri" w:eastAsia="Calibri"/>
                <w:b w:val="0"/>
                <w:color w:val="000000"/>
                <w:sz w:val="20"/>
              </w:rPr>
              <w:t xml:space="preserve">kullanım tercihi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2.3.7 Sorgulama bildirip kontrol yolunu açıklamama</w:t>
            </w:r>
          </w:p>
        </w:tc>
        <w:tc>
          <w:tcPr/>
          <w:p>
            <w:pPr>
              <w:pStyle w:val="Compact"/>
              <w:spacing w:before="20" w:after="20" w:line="240" w:lineRule="auto"/>
              <w:ind w:firstLine="0"/>
              <w:jc w:val="left"/>
            </w:pPr>
            <w:r>
              <w:rPr>
                <w:rFonts w:ascii="Calibri" w:hAnsi="Calibri" w:cs="Calibri" w:eastAsia="Calibri"/>
                <w:b w:val="0"/>
                <w:color w:val="000000"/>
                <w:sz w:val="20"/>
              </w:rPr>
              <w:t xml:space="preserve">açıklama ayrıntısı</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r>
              <w:rPr>
                <w:rFonts w:ascii="Calibri" w:hAnsi="Calibri" w:cs="Calibri" w:eastAsia="Calibri"/>
                <w:b w:val="0"/>
                <w:color w:val="000000"/>
                <w:sz w:val="20"/>
              </w:rPr>
              <w:t xml:space="preserve">2.4 Kullanım sonrası bildirilen sonuçlar ve değişim (n = 20)</w:t>
            </w:r>
          </w:p>
        </w:tc>
        <w:tc>
          <w:tcPr/>
          <w:p>
            <w:pPr>
              <w:pStyle w:val="Compact"/>
              <w:spacing w:before="20" w:after="20" w:line="240" w:lineRule="auto"/>
              <w:ind w:firstLine="0"/>
              <w:jc w:val="left"/>
            </w:pPr>
            <w:r>
              <w:rPr>
                <w:rFonts w:ascii="Calibri" w:hAnsi="Calibri" w:cs="Calibri" w:eastAsia="Calibri"/>
                <w:b w:val="0"/>
                <w:color w:val="000000"/>
                <w:sz w:val="20"/>
              </w:rPr>
              <w:t xml:space="preserve">2.4.1 Yanlış, eksik veya uydurma bilgiyle karşılaşma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2.4.2 Yanlış bilginin maliyeti</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2.4.3 Güvenin azalması veya daha sorgulayıcı olma</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2.4.4 Sorgulamamayı olumsuz değerlendirme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2.4.5 Güvenin artması veya doğrudan kullanımı olumsuz değerlendirmeme</w:t>
            </w:r>
          </w:p>
        </w:tc>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2.1’deki üç kod birbirini dışlar ve toplamı 43’tür. İşlem türü yalnız 2.3 için verildi. Açıklama ayrıntısı kodu bir işlem sıklığı değildir, bildirimin ayrıntı düzeyini gösterir. Kodlar kontrolün başarısını göstermez.</w:t>
      </w:r>
    </w:p>
    <w:p>
      <w:pPr>
        <w:pStyle w:val="BodyText"/>
        <w:spacing w:line="240" w:lineRule="auto" w:before="120" w:after="120"/>
        <w:ind w:firstLine="567"/>
        <w:jc w:val="both"/>
      </w:pPr>
      <w:r>
        <w:rPr>
          <w:iCs/>
          <w:rFonts w:ascii="Calibri" w:hAnsi="Calibri" w:cs="Calibri" w:eastAsia="Calibri"/>
          <w:i/>
          <w:color w:val="000000"/>
          <w:sz w:val="24"/>
        </w:rPr>
        <w:t xml:space="preserve">Sorgulamadan kullanım bildirimi.</w:t>
      </w:r>
      <w:r>
        <w:rPr>
          <w:rFonts w:ascii="Calibri" w:hAnsi="Calibri" w:cs="Calibri" w:eastAsia="Calibri"/>
          <w:color w:val="000000"/>
          <w:sz w:val="24"/>
        </w:rPr>
        <w:t xml:space="preserve"> Sorgulamadan kullanım deneyimi bildiren (f = 19) ve bunu reddeden (f = 20) katılımcılar neredeyse eşit sayıdadır. Kabul bildirimleri belirli bir olaydan (“Zamanında kullandım.”, K43, S12) genel bir alışkanlığa (“Genelde hep doğrudan kullanıyorum.”, K10, S12) uzanır. K17’in “İllaki olmuştur.” (K17, S12) ifadesi, belirli bir olay hatırlamadan deneyimi kabul eder. K40 deneyimi geçmişe yerleştirdi: “İlk başlarda yapıyordum ancak kullandıkça bazı bildiğim şeyler konusunda yanlış yönlendirmeler yaptığını gördüm.” (K40, S12). Ret bildirimleri de çeşitlidir. Bir bölümü kısa bir olumsuzlamadan oluşur (“Hayır olmadı.”, K33, S12). Bir bölümü ise reddi bir gerekçeyle birleştirir: “Hayır olmadı çünkü bazen bariz bir şekilde yanlış cevaplar veriyor.” (K02, S12).</w:t>
      </w:r>
    </w:p>
    <w:p>
      <w:pPr>
        <w:pStyle w:val="BodyText"/>
        <w:spacing w:line="240" w:lineRule="auto" w:before="120" w:after="120"/>
        <w:ind w:firstLine="567"/>
        <w:jc w:val="both"/>
      </w:pPr>
      <w:r>
        <w:rPr>
          <w:rFonts w:ascii="Calibri" w:hAnsi="Calibri" w:cs="Calibri" w:eastAsia="Calibri"/>
          <w:color w:val="000000"/>
          <w:sz w:val="24"/>
        </w:rPr>
        <w:t xml:space="preserve">Dört katılımcının yanıtı soruya evet veya hayır bilgisi vermez. K08 “Doğrudan kullanmıyorum genellikle.” (K08, S12), K35 “Genelde sorguluyorum” (K35, S12) ifadelerini kullandı. K16 ve K20 ise çıktıyı olduğu gibi almadıklarını anlattı. Bu yanıtlar bir alışkanlığı veya çıktının nasıl işlendiğini bildirir, böyle bir olayın hiç yaşanıp yaşanmadığını göstermez. K11’nin yanıtı ise ret ile kabulün sınırını gösterir. K11 sorgulamadan kullanmadığını belirtti, ancak “Sorgulasam dahi doğruluğuna inandığım anlar oldu.” (K11, S12) diye ekledi. Bu açıklamada sorgulama işlemi ile kabul kararı aynı yanıtta bulunur.</w:t>
      </w:r>
    </w:p>
    <w:p>
      <w:pPr>
        <w:pStyle w:val="BodyText"/>
        <w:spacing w:line="240" w:lineRule="auto" w:before="120" w:after="120"/>
        <w:ind w:firstLine="567"/>
        <w:jc w:val="both"/>
      </w:pPr>
      <w:r>
        <w:rPr>
          <w:iCs/>
          <w:rFonts w:ascii="Calibri" w:hAnsi="Calibri" w:cs="Calibri" w:eastAsia="Calibri"/>
          <w:i/>
          <w:color w:val="000000"/>
          <w:sz w:val="24"/>
        </w:rPr>
        <w:t xml:space="preserve">Kabul kararının gerekçeleri.</w:t>
      </w:r>
      <w:r>
        <w:rPr>
          <w:rFonts w:ascii="Calibri" w:hAnsi="Calibri" w:cs="Calibri" w:eastAsia="Calibri"/>
          <w:color w:val="000000"/>
          <w:sz w:val="24"/>
        </w:rPr>
        <w:t xml:space="preserve"> Gerekçeler, sorgulamadan kullanım bildiren katılımcılar ile sorguladığı hâlde çıktıyı doğru kabul ettiğini belirten K11’nin açıklamalarından kodlandı. Kabul bildiren 19 katılımcının beşi kararına ilişkin bir gerekçe belirtmedi. En sık gerekçe çıktıyı güvenilir, doğru, mantıklı veya düzgün bulmaktır (f = 9). Bu güven bazen genel bir tutumdur: “Evet oldu ama bunun üzerine düşünmedim. ChatGPT’ye güveniyorum.” (K29, S12). Bazen aracın geçmiş performansına dayanır: “Bu kararı vermemde etkili olan şey, YZ’nın genellikle mantıklı, tutarlı doğru yanıtlar vermesi.” (K30, S12). K40 güvenini aracın bilgiyi edinme biçimine bağladı: “Sonuçta internet üzerinden bilgi çekiyor olmayan şeyi yazmayacağını düşünmüştüm.” (K40, S12). K21’nin gerekçesi ise içeriğe değil anlatıma ilişkindir:</w:t>
      </w:r>
    </w:p>
    <w:p>
      <w:pPr>
        <w:pStyle w:val="BlockText"/>
        <w:spacing w:line="240" w:lineRule="auto" w:before="120" w:after="120"/>
        <w:ind w:left="567" w:right="0" w:firstLine="0"/>
        <w:jc w:val="both"/>
      </w:pPr>
      <w:r>
        <w:rPr>
          <w:rFonts w:ascii="Calibri" w:hAnsi="Calibri" w:cs="Calibri" w:eastAsia="Calibri"/>
          <w:color w:val="000000"/>
          <w:sz w:val="24"/>
        </w:rPr>
        <w:t xml:space="preserve">“Evet oldu. Bu durum bende şüphe uyandırdı. Hemen fark edemedim ama bazı bilgilerin yanlış olduğunu anladım. Bu kararı vermemin sebebi cümlelerin çok düzgün kurulmuş olmasıydı.” (K21, S12)</w:t>
      </w:r>
    </w:p>
    <w:p>
      <w:pPr>
        <w:pStyle w:val="FirstParagraph"/>
        <w:spacing w:line="240" w:lineRule="auto" w:before="120" w:after="120"/>
        <w:ind w:firstLine="567"/>
        <w:jc w:val="both"/>
      </w:pPr>
      <w:r>
        <w:rPr>
          <w:rFonts w:ascii="Calibri" w:hAnsi="Calibri" w:cs="Calibri" w:eastAsia="Calibri"/>
          <w:color w:val="000000"/>
          <w:sz w:val="24"/>
        </w:rPr>
        <w:t xml:space="preserve">K10 ise çıktıyı kendi yanıtıyla karşılaştırarak üstün buldu: “Kendi cevaplarımla kıyasladığımda o daha akademik doğru cevaplar sunuyor.” (K10, S12). Bu karşılaştırma bir değerlendirme işlemidir, ancak burada kabul kararının dayanağı olarak işlev görmüştür.</w:t>
      </w:r>
    </w:p>
    <w:p>
      <w:pPr>
        <w:pStyle w:val="BodyText"/>
        <w:spacing w:line="240" w:lineRule="auto" w:before="120" w:after="120"/>
        <w:ind w:firstLine="567"/>
        <w:jc w:val="both"/>
      </w:pPr>
      <w:r>
        <w:rPr>
          <w:rFonts w:ascii="Calibri" w:hAnsi="Calibri" w:cs="Calibri" w:eastAsia="Calibri"/>
          <w:color w:val="000000"/>
          <w:sz w:val="24"/>
        </w:rPr>
        <w:t xml:space="preserve">Kabul her zaman güveni yansıtmaz. Dört katılımcı başka kaynak veya çare bulamadığını, kuşkusuna rağmen çıktıyı kullandığını ya da sık kullanımla çıktıyı doğru kabul etmeye alıştığını belirtti. K03 bunu açık biçimde ifade etti: “Yalan değil, doğruluğundan şüphe ettim ama yine de kullandım. Çünkü bazen başka çarem kalmıyor.” (K03, S12). K23 hiçbir yerde bulamadığı bilgileri sunmasını doğruluk işareti olarak yorumladığını anlattı (S12). K34 alışkanlığı ve kontrol gereğini aynı yanıtta dile getirdi:</w:t>
      </w:r>
    </w:p>
    <w:p>
      <w:pPr>
        <w:pStyle w:val="BlockText"/>
        <w:spacing w:line="240" w:lineRule="auto" w:before="120" w:after="120"/>
        <w:ind w:left="567" w:right="0" w:firstLine="0"/>
        <w:jc w:val="both"/>
      </w:pPr>
      <w:r>
        <w:rPr>
          <w:rFonts w:ascii="Calibri" w:hAnsi="Calibri" w:cs="Calibri" w:eastAsia="Calibri"/>
          <w:color w:val="000000"/>
          <w:sz w:val="24"/>
        </w:rPr>
        <w:t xml:space="preserve">“Açıkçası bu durum biraz yanlış aslında bilginin doğruluğunu teyit etmem gerekirdi ama zamanla sık sık sürekli kullandığımda bu duruma alıştım ve her şeyi doğru olarak görüp ilerledim.” (K34, S12)</w:t>
      </w:r>
    </w:p>
    <w:p>
      <w:pPr>
        <w:pStyle w:val="FirstParagraph"/>
        <w:spacing w:line="240" w:lineRule="auto" w:before="120" w:after="120"/>
        <w:ind w:firstLine="567"/>
        <w:jc w:val="both"/>
      </w:pPr>
      <w:r>
        <w:rPr>
          <w:rFonts w:ascii="Calibri" w:hAnsi="Calibri" w:cs="Calibri" w:eastAsia="Calibri"/>
          <w:color w:val="000000"/>
          <w:sz w:val="24"/>
        </w:rPr>
        <w:t xml:space="preserve">Üç katılımcı kabulü görevin koşullarına bağladı. K22 belirli bir gündeki acelesini gerekçe gösterdi (S12). K12 zaman ve emek tasarrufunu kullanımın genel amacı olarak belirtti: “Evet çoğunlukla sorgulamıyorum. Çünkü YZ kullanma amacım zamandan ve emekten tasarruf etmek.” (K12, S12). K43 ise kararını ödev puanlama koşullarıyla ilişkilendirdi. K43’ya göre ödeve günlerini harcayan kişi ile ödevini araca yaptıran kişi aynı puanı almaktadır. K43 bu eşitliği fark ettikten sonra aracı kullanmaya başladığını belirtti (S12).</w:t>
      </w:r>
    </w:p>
    <w:p>
      <w:pPr>
        <w:pStyle w:val="BodyText"/>
        <w:spacing w:line="240" w:lineRule="auto" w:before="120" w:after="120"/>
        <w:ind w:firstLine="567"/>
        <w:jc w:val="both"/>
      </w:pPr>
      <w:r>
        <w:rPr>
          <w:iCs/>
          <w:rFonts w:ascii="Calibri" w:hAnsi="Calibri" w:cs="Calibri" w:eastAsia="Calibri"/>
          <w:i/>
          <w:color w:val="000000"/>
          <w:sz w:val="24"/>
        </w:rPr>
        <w:t xml:space="preserve">Bildirilen değerlendirme ve kullanım işlemleri.</w:t>
      </w:r>
      <w:r>
        <w:rPr>
          <w:rFonts w:ascii="Calibri" w:hAnsi="Calibri" w:cs="Calibri" w:eastAsia="Calibri"/>
          <w:color w:val="000000"/>
          <w:sz w:val="24"/>
        </w:rPr>
        <w:t xml:space="preserve"> Bu alt temada kodlar işlem türüne göre ayrılmıştır (Tablo 4). Doğrulama kodları bir kontrol yolu adlandıran bildirimleri kapsar. Dönüştürme ve kullanım tercihi kodları çıktının nasıl işlendiğini veya hangi amaçla kullanıldığını anlatır ve içeriğin doğruluğunu sorgulama anlamına gelmez. Bu alt temada kod alan 25 katılımcının 17’si belirli bir işlem tanımladı. Bir kontrol yolu adlandıran katılımcı sayısı dokuzdur. On katılımcı ise sorguladığını belirtti, ancak kontrolün nasıl yapıldığını formun bütününde açıklamadı. Bunların ikisi (K01, K42) sorgulama bildirimini bir dönüştürme işlemiyle birleştirdi.</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 üç türdedir. Dört katılımcı çıktıyı internetten, arama motorundan veya bilginin alındığı özgün kaynaktan kontrol ettiğini belirtti. K39 aldığı bilgileri “tekrar internette sorgulattığım oluyor” (K39, S12) ifadesiyle anlattı. K41’nin açıklaması ise kontrol yolunu kaynakla çalışma alışkanlığı içinde tanımlar:</w:t>
      </w:r>
    </w:p>
    <w:p>
      <w:pPr>
        <w:pStyle w:val="BlockText"/>
        <w:spacing w:line="240" w:lineRule="auto" w:before="120" w:after="120"/>
        <w:ind w:left="567" w:right="0" w:firstLine="0"/>
        <w:jc w:val="both"/>
      </w:pPr>
      <w:r>
        <w:rPr>
          <w:rFonts w:ascii="Calibri" w:hAnsi="Calibri" w:cs="Calibri" w:eastAsia="Calibri"/>
          <w:color w:val="000000"/>
          <w:sz w:val="24"/>
        </w:rPr>
        <w:t xml:space="preserve">“Ve ben genelde kaynakla beraber çalışıyorum. Yani ya kaynak yükleyip onun üzerinden soru sorup “bu bilgiyi hangi kaynaktan aldığını göster” komutu veriyorum ya da kaynak yüklemediğimde “bu bilgiye nereden ulaştın” diye sorup kaynağına gitmeye çalışıyorum.” (K41, S12)</w:t>
      </w:r>
    </w:p>
    <w:p>
      <w:pPr>
        <w:pStyle w:val="FirstParagraph"/>
        <w:spacing w:line="240" w:lineRule="auto" w:before="120" w:after="120"/>
        <w:ind w:firstLine="567"/>
        <w:jc w:val="both"/>
      </w:pPr>
      <w:r>
        <w:rPr>
          <w:rFonts w:ascii="Calibri" w:hAnsi="Calibri" w:cs="Calibri" w:eastAsia="Calibri"/>
          <w:color w:val="000000"/>
          <w:sz w:val="24"/>
        </w:rPr>
        <w:t xml:space="preserve">Bu açıklamayı yapan K41’nin eğitimde ölçme ve değerlendirme alanında yüksek lisans öğrencisi olduğu not edilmelidir. Üç katılımcı çıktıyı başka bir ÜYZ aracı veya uygulamayla karşılaştırdığını belirtti. K06 bu işlemi bir yanlış çıktı deneyimine bağladı: “yanlış cevap verdiğini fark ettiğimden beri verilen yanıtları başka YZ’larla da teyit etmeye çalışıyorum” (K06, S12). K29 ise aynı ödevi arkadaşlarının ÜYZ çıktılarıyla farklı bakış açıları bulmak için karşılaştırdığını anlattı (S7). Üç katılımcı aynı araca yeniden sorduğunu veya çıktıyı kendi yanıtıyla karşılaştırdığını belirtti. K27 mantıklı bir çıktı alana kadar sormayı sürdürdüğünü anlattı: “sonunda mantıklı ve makul cevap verene kadar sorgularım. Eğer vermezse cevabını kullanmam.” (K27, S12). K28 aynı araca yeniden sormayı ve arama motorunu birlikte anlattı (S12). Adlandırılan yolların hiçbirinde hangi kaynağa bakıldığı ve kontrolün sonucu ayrıntılandırılmadı. Başka bir ÜYZ aracına veya aynı araca yeniden sormak ise ÜYZ dışı bir dayanak içermez.</w:t>
      </w:r>
    </w:p>
    <w:p>
      <w:pPr>
        <w:pStyle w:val="BodyText"/>
        <w:spacing w:line="240" w:lineRule="auto" w:before="120" w:after="120"/>
        <w:ind w:firstLine="567"/>
        <w:jc w:val="both"/>
      </w:pPr>
      <w:r>
        <w:rPr>
          <w:rFonts w:ascii="Calibri" w:hAnsi="Calibri" w:cs="Calibri" w:eastAsia="Calibri"/>
          <w:color w:val="000000"/>
          <w:sz w:val="24"/>
        </w:rPr>
        <w:t xml:space="preserve">On katılımcı çıktıyı dönüştürdüğünü veya belirli bir amaçla kullandığını belirtti. K20 “Genelde bilgileri ya da fikirleri aynen almam. Ekleme çıkarma yaparım.” (K20, S12) diye belirtti. K42 doğruluk araştırması ile düzenlemeyi birleştirdi, ancak araştırma yolunu açıklamadı: “Onun doğruluğunu araştırırım. Oradaki bilgileri kendi belirlediğim şekle göre düzenlerim.” (K42, S12). K05 çıktıyı yalnız fikir üretmek için kullandığını belirtti: “Zaten YZ’nın vermiş olduğu cevabı doğrudan kullanmıyorum. Sadece fikir üretmemi sağlıyor.” (K05, S12). K33 ödevini sağlam kaynaklarla kendisinin hazırladığını, aracı yalnız kaynak önermesi için kullandığını belirtti (S10). Bu açıklamalar çalışmanın nasıl kurulduğunu gösterir, belirli bir çıktı iddiasının kontrolünü ise ayrıntılandırmaz. Sorgulama bildirip yolunu açıklamayan katılımcılardan K24 “Bu yüzden kullanmadan önce sorgularım.” (K24, S12), K36 “Hayır sorgulayarak kullanırım.” (K36, S12) ifadelerini kullandı. Bu bildirimler kontrol yapılmadığını göstermez. Yazılı formun takip sorusu içermemesi işlemin ayrıntılandırılmasını sınırladı.</w:t>
      </w:r>
    </w:p>
    <w:p>
      <w:pPr>
        <w:pStyle w:val="BodyText"/>
        <w:spacing w:line="240" w:lineRule="auto" w:before="120" w:after="120"/>
        <w:ind w:firstLine="567"/>
        <w:jc w:val="both"/>
      </w:pPr>
      <w:r>
        <w:rPr>
          <w:rFonts w:ascii="Calibri" w:hAnsi="Calibri" w:cs="Calibri" w:eastAsia="Calibri"/>
          <w:color w:val="000000"/>
          <w:sz w:val="24"/>
        </w:rPr>
        <w:t xml:space="preserve">Sorgulamadan kullanım bildirimi ile bir kontrol yolu dört katılımcıda (K29, K10, K06, K28) birlikte bulunmaktadır. K29 çıktıya güvendiğini ve üzerine düşünmediğini belirtti (S12). Aynı katılımcı başka sorularda ödevini arkadaşlarının ÜYZ çıktılarıyla karşılaştırdığını (S7) ve kendi hazırladığı ödevi araca kontrol ettirdiğini (S10) anlattı. K06 yanlış çıktı deneyiminden sonra başka araçlara başvurmaya başladığını belirtti. K28 ise genelde sorguladığını, bazı durumlarda sorgulamadığını anlattı. Buna karşılık ret bildiren 20 katılımcının dördü bir kontrol yolu adlandırdı. Yedisi yalnız yolunu açıklamadığı bir sorgulama bildirdi, üçü ise bu alt temada hiçbir işlem bildirmedi. Bu örnekler, sorgulamadan kabul ile değerlendirme işleminin aynı katılımcının farklı görevlerine veya farklı dönemlerine ilişkin olabileceğini düşündürür.</w:t>
      </w:r>
    </w:p>
    <w:p>
      <w:pPr>
        <w:pStyle w:val="BodyText"/>
        <w:spacing w:line="240" w:lineRule="auto" w:before="120" w:after="120"/>
        <w:ind w:firstLine="567"/>
        <w:jc w:val="both"/>
      </w:pPr>
      <w:r>
        <w:rPr>
          <w:iCs/>
          <w:rFonts w:ascii="Calibri" w:hAnsi="Calibri" w:cs="Calibri" w:eastAsia="Calibri"/>
          <w:i/>
          <w:color w:val="000000"/>
          <w:sz w:val="24"/>
        </w:rPr>
        <w:t xml:space="preserve">Kullanım sonrası bildirilen sonuçlar ve değişim.</w:t>
      </w:r>
      <w:r>
        <w:rPr>
          <w:rFonts w:ascii="Calibri" w:hAnsi="Calibri" w:cs="Calibri" w:eastAsia="Calibri"/>
          <w:color w:val="000000"/>
          <w:sz w:val="24"/>
        </w:rPr>
        <w:t xml:space="preserve"> Yanlış, eksik veya uydurma bilgiyle karşılaşma deneyimi 14 katılımcının açıklamasında yer aldı. Bu deneyim sorgulamadan kullanım bildiren ve reddeden katılımcılarda benzer sayıdadır (sırasıyla altı ve yedi katılımcı). Bir katılımcının S12 yanıtı ise kesinleştirilemedi. K23 bir ödevinde aracın “yanlış, sahte bilgi sundu” (K23, S4) ifadesini kullandı ve bu olaydan sonra araca güveninin düştüğünü belirtti. K41 ise aracın yanılabilirliğini sorgulamadan kullanımı reddetmesinin gerekçesi yaptı: “Dediğim gibi yapay zeka yanılıyor.” (K41, S12). Yanlış bilginin maliyetini iki katılımcı anlattı. K18 sorgulamadan kullandığı bilgiyi düzeltmenin beklediğinden çok uzun sürdüğünü belirtti:</w:t>
      </w:r>
    </w:p>
    <w:p>
      <w:pPr>
        <w:pStyle w:val="BlockText"/>
        <w:spacing w:line="240" w:lineRule="auto" w:before="120" w:after="120"/>
        <w:ind w:left="567" w:right="0" w:firstLine="0"/>
        <w:jc w:val="both"/>
      </w:pPr>
      <w:r>
        <w:rPr>
          <w:rFonts w:ascii="Calibri" w:hAnsi="Calibri" w:cs="Calibri" w:eastAsia="Calibri"/>
          <w:color w:val="000000"/>
          <w:sz w:val="24"/>
        </w:rPr>
        <w:t xml:space="preserve">“Oldu maalesef. Pişman oldum bu olaydan sonra. Araştıracağım bilgi1 saatimi alacaktı ama böyle olunca haftalarımı aldı bunu düzeltmek ve bundan sonra daha sorgulayıcı davranmam gerektiğini anladım.” (K18, S12)</w:t>
      </w:r>
    </w:p>
    <w:p>
      <w:pPr>
        <w:pStyle w:val="FirstParagraph"/>
        <w:spacing w:line="240" w:lineRule="auto" w:before="120" w:after="120"/>
        <w:ind w:firstLine="567"/>
        <w:jc w:val="both"/>
      </w:pPr>
      <w:r>
        <w:rPr>
          <w:rFonts w:ascii="Calibri" w:hAnsi="Calibri" w:cs="Calibri" w:eastAsia="Calibri"/>
          <w:color w:val="000000"/>
          <w:sz w:val="24"/>
        </w:rPr>
        <w:t xml:space="preserve">K19 ise yanlış bilgilerin ödevinin yanlış ilerlemesine ve sonuçlanmasına yol açtığını anlattı (S10). Hata deneyimi bildiren 14 katılımcının altısı güveninin azaldığını veya daha sorgulayıcı olduğunu da belirtti. K18’un açıklaması sonraki davranışa ilişkin bir niyettir. K06’nın açıklaması ise bir uygulama değişikliğini bildirir: K06 yanlış çıktı deneyiminden sonra başka araçlarla kontrol etmeye başladığını ve kullanımını azalttığını belirtti (S9, S12). K40 ise doğrudan kullanımı “İlk başlarda yapıyordum” diyerek geçmişe yerleştirdi ve aracın bildiği konularda yanlış yönlendirmeler yaptığını gördüğünü belirtti (S12).</w:t>
      </w:r>
    </w:p>
    <w:p>
      <w:pPr>
        <w:pStyle w:val="BodyText"/>
        <w:spacing w:line="240" w:lineRule="auto" w:before="120" w:after="120"/>
        <w:ind w:firstLine="567"/>
        <w:jc w:val="both"/>
      </w:pPr>
      <w:r>
        <w:rPr>
          <w:rFonts w:ascii="Calibri" w:hAnsi="Calibri" w:cs="Calibri" w:eastAsia="Calibri"/>
          <w:color w:val="000000"/>
          <w:sz w:val="24"/>
        </w:rPr>
        <w:t xml:space="preserve">Karşıt yönde üç bildirim vardır. K04 son zamanlarda araca güveninin arttığını belirtti (S9). K22 acele nedeniyle doğrudan kullandığı çıktının kendisine kötü hissettirmediğini açıkladı (S12). K40 ise o dönemde bir şey hissetmediğini, çünkü aracı önemli bir iş için kullanmadığını belirtti ve “ancak şu anda olsa beni utandırabilir” (K40, S12) diye ekledi. Bu açıklama, doğrudan kullanıma ilişkin değerlendirmenin görevin önemine göre değişebildiğini gösterir. Üç katılımcı ise sorgulamadan kullanımı olumsuz değerlendirdi. K43 doğrudan kullanım sırasında “Biraz da olsa zekamdan şüphe ettim.” (K43, S12) dedi. K34 bu durumu “biraz yanlış” (K34, S12) olarak niteledi. K28 “Bazı durumlarda sorgulamayınca kendimi yetersiz ve robotlaşmış hissediyorum.” (K28, S12) ifadesini kullandı. Bu değerlendirmeler, kabul kararının her zaman rahatlıkla verilmediğini gösterir.</w:t>
      </w:r>
    </w:p>
    <w:p>
      <w:pPr>
        <w:pStyle w:val="Heading2"/>
      </w:pPr>
      <w:r>
        <w:rPr>
          <w:rFonts w:ascii="Calibri" w:hAnsi="Calibri" w:cs="Calibri" w:eastAsia="Calibri"/>
          <w:b/>
          <w:i w:val="0"/>
          <w:color w:val="000000"/>
          <w:sz w:val="24"/>
        </w:rPr>
        <w:t xml:space="preserve">Tema 3: Araçsız Çalışma ve Kullanımın Düzenlenmesi</w:t>
      </w:r>
    </w:p>
    <w:p>
      <w:pPr>
        <w:pStyle w:val="FirstParagraph"/>
        <w:spacing w:line="240" w:lineRule="auto" w:before="120" w:after="120"/>
        <w:ind w:firstLine="567"/>
        <w:jc w:val="both"/>
      </w:pPr>
      <w:r>
        <w:rPr>
          <w:rFonts w:ascii="Calibri" w:hAnsi="Calibri" w:cs="Calibri" w:eastAsia="Calibri"/>
          <w:color w:val="000000"/>
          <w:sz w:val="24"/>
        </w:rPr>
        <w:t xml:space="preserve">Bu tema, katılımcıların araç olmadan çalışmaya ilişkin değerlendirmelerini, kullanım süresi ve sıklığındaki değişimi, erişim kesintisine ilişkin tepkilerini ve kullanımlarını nasıl adlandırıp çevreleriyle nasıl paylaştıklarını kapsar. Alt temalara ilişkin kodlar ve frekanslar Tablo 5’te sunulmuştur.</w:t>
      </w:r>
    </w:p>
    <w:p>
      <w:pPr>
        <w:pStyle w:val="BodyText"/>
        <w:keepNext/>
        <w:spacing w:line="240" w:lineRule="auto" w:before="240" w:after="0"/>
        <w:ind w:firstLine="0"/>
        <w:jc w:val="left"/>
      </w:pPr>
      <w:r>
        <w:rPr>
          <w:bCs/>
          <w:rFonts w:ascii="Calibri" w:hAnsi="Calibri" w:cs="Calibri" w:eastAsia="Calibri"/>
          <w:b/>
          <w:color w:val="000000"/>
          <w:sz w:val="24"/>
        </w:rPr>
        <w:t xml:space="preserve">Tablo 5</w:t>
      </w:r>
    </w:p>
    <w:p>
      <w:pPr>
        <w:pStyle w:val="BodyText"/>
        <w:keepNext/>
        <w:spacing w:line="240" w:lineRule="auto" w:before="0" w:after="120"/>
        <w:ind w:firstLine="0"/>
        <w:jc w:val="left"/>
      </w:pPr>
      <w:r>
        <w:rPr>
          <w:iCs/>
          <w:rFonts w:ascii="Calibri" w:hAnsi="Calibri" w:cs="Calibri" w:eastAsia="Calibri"/>
          <w:i/>
          <w:color w:val="000000"/>
          <w:sz w:val="24"/>
        </w:rPr>
        <w:t xml:space="preserve">Araçsız Çalışma ve Kullanımın Düzenlenmesi: Alt Temalar, Kodlar ve Frekanslar</w:t>
      </w:r>
    </w:p>
    <w:tbl>
      <w:tblPr>
        <w:tblStyle w:val="Table"/>
        <w:tblW w:type="pct" w:w="5000"/>
        <w:tblLook w:firstRow="1" w:lastRow="0" w:firstColumn="0" w:lastColumn="0" w:noHBand="0" w:noVBand="0" w:val="0020"/>
        <w:jc w:val="start"/>
        <w:tblBorders>
          <w:top w:val="single" w:sz="8" w:space="0" w:color="000000"/>
          <w:bottom w:val="single" w:sz="8" w:space="0" w:color="000000"/>
          <w:left w:val="nil"/>
          <w:right w:val="nil"/>
          <w:insideH w:val="nil"/>
          <w:insideV w:val="nil"/>
        </w:tblBorders>
      </w:tblPr>
      <w:tblGrid>
        <w:gridCol w:w="2692"/>
        <w:gridCol w:w="4593"/>
        <w:gridCol w:w="633"/>
      </w:tblGrid>
      <w:tr>
        <w:trPr>
          <w:tblHeader w:val="true"/>
          <w:tblHeader w:val="true"/>
        </w:trPr>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Alt tema</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Kod</w:t>
            </w:r>
          </w:p>
        </w:tc>
        <w:tc>
          <w:tcPr>
            <w:tcBorders>
              <w:bottom w:val="single" w:sz="8" w:space="0" w:color="000000"/>
            </w:tcBorders>
          </w:tcPr>
          <w:p>
            <w:pPr>
              <w:pStyle w:val="Compact"/>
              <w:spacing w:before="20" w:after="20" w:line="240" w:lineRule="auto"/>
              <w:ind w:firstLine="0"/>
              <w:jc w:val="left"/>
            </w:pPr>
            <w:r>
              <w:rPr>
                <w:rFonts w:ascii="Calibri" w:hAnsi="Calibri" w:cs="Calibri" w:eastAsia="Calibri"/>
                <w:b/>
                <w:color w:val="000000"/>
                <w:sz w:val="20"/>
              </w:rPr>
              <w:t xml:space="preserve">f</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3.1 Araçsız çalışmaya ilişkin değerlendirmeler (n = 43)</w:t>
            </w:r>
          </w:p>
        </w:tc>
        <w:tc>
          <w:tcPr/>
          <w:p>
            <w:pPr>
              <w:pStyle w:val="Compact"/>
              <w:spacing w:before="20" w:after="20" w:line="240" w:lineRule="auto"/>
              <w:ind w:firstLine="0"/>
              <w:jc w:val="left"/>
            </w:pPr>
            <w:r>
              <w:rPr>
                <w:rFonts w:ascii="Calibri" w:hAnsi="Calibri" w:cs="Calibri" w:eastAsia="Calibri"/>
                <w:b w:val="0"/>
                <w:color w:val="000000"/>
                <w:sz w:val="20"/>
              </w:rPr>
              <w:t xml:space="preserve">3.1.1 Araçsız tamamlayamayacağını düşündüğü an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21</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3.1.2 Böyle bir an yaşamadığını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3.1.3 Deneyimi kesinleştirmeyen bildirim</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3.1.4 Güçlüğü görev koşuluna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3.1.5 Ek çaba veya süreyle sürdürebilme</w:t>
            </w:r>
          </w:p>
        </w:tc>
        <w:tc>
          <w:tcPr/>
          <w:p>
            <w:pPr>
              <w:pStyle w:val="Compact"/>
              <w:spacing w:before="20" w:after="20" w:line="240" w:lineRule="auto"/>
              <w:ind w:firstLine="0"/>
              <w:jc w:val="left"/>
            </w:pPr>
            <w:r>
              <w:rPr>
                <w:rFonts w:ascii="Calibri" w:hAnsi="Calibri" w:cs="Calibri" w:eastAsia="Calibri"/>
                <w:b w:val="0"/>
                <w:color w:val="000000"/>
                <w:sz w:val="20"/>
              </w:rPr>
              <w:t xml:space="preserve">8</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3.1.6 Araçsız yapabileceğine güven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3.1.7 Alternatif kaynağa yönelerek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3.1.8 Kendini yetersiz görme veya becerilerin körelmesi algısı</w:t>
            </w:r>
          </w:p>
        </w:tc>
        <w:tc>
          <w:tcPr/>
          <w:p>
            <w:pPr>
              <w:pStyle w:val="Compact"/>
              <w:spacing w:before="20" w:after="20" w:line="240" w:lineRule="auto"/>
              <w:ind w:firstLine="0"/>
              <w:jc w:val="left"/>
            </w:pPr>
            <w:r>
              <w:rPr>
                <w:rFonts w:ascii="Calibri" w:hAnsi="Calibri" w:cs="Calibri" w:eastAsia="Calibri"/>
                <w:b w:val="0"/>
                <w:color w:val="000000"/>
                <w:sz w:val="20"/>
              </w:rPr>
              <w:t xml:space="preserve">7</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3.2 Kullanım süresi ve kullanımdaki değişim (n = 42)</w:t>
            </w:r>
          </w:p>
        </w:tc>
        <w:tc>
          <w:tcPr/>
          <w:p>
            <w:pPr>
              <w:pStyle w:val="Compact"/>
              <w:spacing w:before="20" w:after="20" w:line="240" w:lineRule="auto"/>
              <w:ind w:firstLine="0"/>
              <w:jc w:val="left"/>
            </w:pPr>
            <w:r>
              <w:rPr>
                <w:rFonts w:ascii="Calibri" w:hAnsi="Calibri" w:cs="Calibri" w:eastAsia="Calibri"/>
                <w:b w:val="0"/>
                <w:color w:val="000000"/>
                <w:sz w:val="20"/>
              </w:rPr>
              <w:t xml:space="preserve">3.2.1 Planlanan süreyi aştığını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3.2.2 Süreyi aşmadığını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3.2.3 Süre aşımını istenen çıktıyı alamamaya bağlama</w:t>
            </w:r>
          </w:p>
        </w:tc>
        <w:tc>
          <w:tcPr/>
          <w:p>
            <w:pPr>
              <w:pStyle w:val="Compact"/>
              <w:spacing w:before="20" w:after="20" w:line="240" w:lineRule="auto"/>
              <w:ind w:firstLine="0"/>
              <w:jc w:val="left"/>
            </w:pPr>
            <w:r>
              <w:rPr>
                <w:rFonts w:ascii="Calibri" w:hAnsi="Calibri" w:cs="Calibri" w:eastAsia="Calibri"/>
                <w:b w:val="0"/>
                <w:color w:val="000000"/>
                <w:sz w:val="20"/>
              </w:rPr>
              <w:t xml:space="preserve">14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3.2.4 Süreyi fark etmeme veya araca sürekli başvurma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3.2.5 Uzun kullanımda çıktı niteliğinin düşmesi</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3.2.6 Kullanım sıklığında veya kapsamında artış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3.2.7 Kullanımda değişim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3.2.8 Kullanımı azaltma veya sınırlı tutma çabası</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3.2.9 Soru sorma ve komut yazma becerisinin gelişmesi</w:t>
            </w:r>
          </w:p>
        </w:tc>
        <w:tc>
          <w:tcPr/>
          <w:p>
            <w:pPr>
              <w:pStyle w:val="Compact"/>
              <w:spacing w:before="20" w:after="20" w:line="240" w:lineRule="auto"/>
              <w:ind w:firstLine="0"/>
              <w:jc w:val="left"/>
            </w:pPr>
            <w:r>
              <w:rPr>
                <w:rFonts w:ascii="Calibri" w:hAnsi="Calibri" w:cs="Calibri" w:eastAsia="Calibri"/>
                <w:b w:val="0"/>
                <w:color w:val="000000"/>
                <w:sz w:val="20"/>
              </w:rPr>
              <w:t xml:space="preserve">9</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3.3 Erişim kesintisi deneyimi (n = 42)</w:t>
            </w:r>
          </w:p>
        </w:tc>
        <w:tc>
          <w:tcPr/>
          <w:p>
            <w:pPr>
              <w:pStyle w:val="Compact"/>
              <w:spacing w:before="20" w:after="20" w:line="240" w:lineRule="auto"/>
              <w:ind w:firstLine="0"/>
              <w:jc w:val="left"/>
            </w:pPr>
            <w:r>
              <w:rPr>
                <w:rFonts w:ascii="Calibri" w:hAnsi="Calibri" w:cs="Calibri" w:eastAsia="Calibri"/>
                <w:b w:val="0"/>
                <w:color w:val="000000"/>
                <w:sz w:val="20"/>
              </w:rPr>
              <w:t xml:space="preserve">3.3.1 Rutinin etkilenmediğini veya az etkilendiğini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17</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3.3.2 Görevde gecikme veya aksama</w:t>
            </w:r>
          </w:p>
        </w:tc>
        <w:tc>
          <w:tcPr/>
          <w:p>
            <w:pPr>
              <w:pStyle w:val="Compact"/>
              <w:spacing w:before="20" w:after="20" w:line="240" w:lineRule="auto"/>
              <w:ind w:firstLine="0"/>
              <w:jc w:val="left"/>
            </w:pPr>
            <w:r>
              <w:rPr>
                <w:rFonts w:ascii="Calibri" w:hAnsi="Calibri" w:cs="Calibri" w:eastAsia="Calibri"/>
                <w:b w:val="0"/>
                <w:color w:val="000000"/>
                <w:sz w:val="20"/>
              </w:rPr>
              <w:t xml:space="preserve">10</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3.3.3 Olumsuz duygu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3.3.4 Günlük rutinin belirgin biçimde etkilenmesi</w:t>
            </w:r>
          </w:p>
        </w:tc>
        <w:tc>
          <w:tcPr/>
          <w:p>
            <w:pPr>
              <w:pStyle w:val="Compact"/>
              <w:spacing w:before="20" w:after="20" w:line="240" w:lineRule="auto"/>
              <w:ind w:firstLine="0"/>
              <w:jc w:val="left"/>
            </w:pPr>
            <w:r>
              <w:rPr>
                <w:rFonts w:ascii="Calibri" w:hAnsi="Calibri" w:cs="Calibri" w:eastAsia="Calibri"/>
                <w:b w:val="0"/>
                <w:color w:val="000000"/>
                <w:sz w:val="20"/>
              </w:rPr>
              <w:t xml:space="preserve">3</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3.3.5 Kullanım sınırı, kota veya ücretli üyelik</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3.3.6 Kotanın yenilenmesini veya engelin geçmesini bekleme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3.3.7 Kendi başına veya başka kaynakla sürdürme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r>
              <w:rPr>
                <w:rFonts w:ascii="Calibri" w:hAnsi="Calibri" w:cs="Calibri" w:eastAsia="Calibri"/>
                <w:b w:val="0"/>
                <w:color w:val="000000"/>
                <w:sz w:val="20"/>
              </w:rPr>
              <w:t xml:space="preserve">3.4 Kullanımı adlandırma ve çevreyle paylaşma (n = 43)</w:t>
            </w:r>
          </w:p>
        </w:tc>
        <w:tc>
          <w:tcPr/>
          <w:p>
            <w:pPr>
              <w:pStyle w:val="Compact"/>
              <w:spacing w:before="20" w:after="20" w:line="240" w:lineRule="auto"/>
              <w:ind w:firstLine="0"/>
              <w:jc w:val="left"/>
            </w:pPr>
            <w:r>
              <w:rPr>
                <w:rFonts w:ascii="Calibri" w:hAnsi="Calibri" w:cs="Calibri" w:eastAsia="Calibri"/>
                <w:b w:val="0"/>
                <w:color w:val="000000"/>
                <w:sz w:val="20"/>
              </w:rPr>
              <w:t xml:space="preserve">3.4.1 Bağımlılık sözcüğünü kendi kullanımı için kullanma</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3.4.2 Bağlı olmadığını belirtme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3.4.3 Gizleme eğilimi olmadığını bildirme</w:t>
            </w:r>
          </w:p>
        </w:tc>
        <w:tc>
          <w:tcPr/>
          <w:p>
            <w:pPr>
              <w:pStyle w:val="Compact"/>
              <w:spacing w:before="20" w:after="20" w:line="240" w:lineRule="auto"/>
              <w:ind w:firstLine="0"/>
              <w:jc w:val="left"/>
            </w:pPr>
            <w:r>
              <w:rPr>
                <w:rFonts w:ascii="Calibri" w:hAnsi="Calibri" w:cs="Calibri" w:eastAsia="Calibri"/>
                <w:b w:val="0"/>
                <w:color w:val="000000"/>
                <w:sz w:val="20"/>
              </w:rPr>
              <w:t xml:space="preserve">26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3.4.4 Öğretim elemanından veya not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6</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3.4.5 Emek veya yeterlik algısı kaygısıyla gizleme</w:t>
            </w:r>
          </w:p>
        </w:tc>
        <w:tc>
          <w:tcPr/>
          <w:p>
            <w:pPr>
              <w:pStyle w:val="Compact"/>
              <w:spacing w:before="20" w:after="20" w:line="240" w:lineRule="auto"/>
              <w:ind w:firstLine="0"/>
              <w:jc w:val="left"/>
            </w:pPr>
            <w:r>
              <w:rPr>
                <w:rFonts w:ascii="Calibri" w:hAnsi="Calibri" w:cs="Calibri" w:eastAsia="Calibri"/>
                <w:b w:val="0"/>
                <w:color w:val="000000"/>
                <w:sz w:val="20"/>
              </w:rPr>
              <w:t xml:space="preserve">4</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3.4.6 Sosyal tepkiden kaçınma veya nedeni belirsiz gizleme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3.4.7 Gizlemeyi koşullu ifade etme</w:t>
            </w:r>
          </w:p>
        </w:tc>
        <w:tc>
          <w:tcPr/>
          <w:p>
            <w:pPr>
              <w:pStyle w:val="Compact"/>
              <w:spacing w:before="20" w:after="20" w:line="240" w:lineRule="auto"/>
              <w:ind w:firstLine="0"/>
              <w:jc w:val="left"/>
            </w:pPr>
            <w:r>
              <w:rPr>
                <w:rFonts w:ascii="Calibri" w:hAnsi="Calibri" w:cs="Calibri" w:eastAsia="Calibri"/>
                <w:b w:val="0"/>
                <w:color w:val="000000"/>
                <w:sz w:val="20"/>
              </w:rPr>
              <w:t xml:space="preserve">2</w:t>
            </w:r>
          </w:p>
        </w:tc>
      </w:tr>
      <w:tr>
        <w:tc>
          <w:tcPr/>
          <w:p>
            <w:pPr>
              <w:pStyle w:val="Compact"/>
              <w:spacing w:before="20" w:after="20" w:line="240" w:lineRule="auto"/>
              <w:ind w:firstLine="0"/>
              <w:jc w:val="left"/>
            </w:pPr>
          </w:p>
        </w:tc>
        <w:tc>
          <w:tcPr/>
          <w:p>
            <w:pPr>
              <w:pStyle w:val="Compact"/>
              <w:spacing w:before="20" w:after="20" w:line="240" w:lineRule="auto"/>
              <w:ind w:firstLine="0"/>
              <w:jc w:val="left"/>
            </w:pPr>
            <w:r>
              <w:rPr>
                <w:rFonts w:ascii="Calibri" w:hAnsi="Calibri" w:cs="Calibri" w:eastAsia="Calibri"/>
                <w:b w:val="0"/>
                <w:color w:val="000000"/>
                <w:sz w:val="20"/>
              </w:rPr>
              <w:t xml:space="preserve">3.4.8 Duygusal veya özel kullanımı gizleme</w:t>
            </w:r>
          </w:p>
        </w:tc>
        <w:tc>
          <w:tcPr/>
          <w:p>
            <w:pPr>
              <w:pStyle w:val="Compact"/>
              <w:spacing w:before="20" w:after="20" w:line="240" w:lineRule="auto"/>
              <w:ind w:firstLine="0"/>
              <w:jc w:val="left"/>
            </w:pPr>
            <w:r>
              <w:rPr>
                <w:rFonts w:ascii="Calibri" w:hAnsi="Calibri" w:cs="Calibri" w:eastAsia="Calibri"/>
                <w:b w:val="0"/>
                <w:color w:val="000000"/>
                <w:sz w:val="20"/>
              </w:rPr>
              <w:t xml:space="preserve">5</w:t>
            </w:r>
          </w:p>
        </w:tc>
      </w:tr>
    </w:tbl>
    <w:p>
      <w:pPr>
        <w:pStyle w:val="BodyText"/>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f = kodu alan katılımcı sayısı. 3.1’deki ilk üç kod birbirini dışlar ve toplamı 43’tür. Süreyi aşma ve aşmama S4’ten, artış ve değişim olmama S9’dan kodlandı ve bu kod çiftleri birbirini dışlar. Dokuz katılımcının S4 yanıtı ve sekiz katılımcının S9 yanıtı ilgili ayrımı kesinleştirmediğinden bu kodlara alınmadı. 3.4.8 akademik kapsam dışındaki bağlam verisidir.</w:t>
      </w:r>
    </w:p>
    <w:p>
      <w:pPr>
        <w:pStyle w:val="BodyText"/>
        <w:spacing w:line="240" w:lineRule="auto" w:before="120" w:after="120"/>
        <w:ind w:firstLine="567"/>
        <w:jc w:val="both"/>
      </w:pPr>
      <w:r>
        <w:rPr>
          <w:iCs/>
          <w:rFonts w:ascii="Calibri" w:hAnsi="Calibri" w:cs="Calibri" w:eastAsia="Calibri"/>
          <w:i/>
          <w:color w:val="000000"/>
          <w:sz w:val="24"/>
        </w:rPr>
        <w:t xml:space="preserve">Araçsız çalışmaya ilişkin değerlendirmeler.</w:t>
      </w:r>
      <w:r>
        <w:rPr>
          <w:rFonts w:ascii="Calibri" w:hAnsi="Calibri" w:cs="Calibri" w:eastAsia="Calibri"/>
          <w:color w:val="000000"/>
          <w:sz w:val="24"/>
        </w:rPr>
        <w:t xml:space="preserve"> S10’a verilen yanıtlarda 21 katılımcı araç olmadan bir ödevi tamamlayamayacağını düşündüğü bir an bildirdi. On yedi katılımcı böyle bir an yaşamadığını belirtti, beş katılımcının yanıtı ise soruya evet veya hayır bilgisi vermedi. Güçlük bildiren 21 katılımcının onu bu güçlüğü kısa süre, zor veya bilinmeyen konu ya da kapsamlı ödev gibi görev koşullarına bağladı. K02 güçlüğü süre kısıtı ve kendi yeterliğine ilişkin bir değerlendirmeyle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“Evet kesinlikle oldu. Özellikle kısa bir zamanda yapılması istenen ödevlerimi YZ olmadan yapamazdım. Bu şekilde olması beni biraz yetersiz hissettiriyor ama gerçek bu.” (K02, S10)</w:t>
      </w:r>
    </w:p>
    <w:p>
      <w:pPr>
        <w:pStyle w:val="FirstParagraph"/>
        <w:spacing w:line="240" w:lineRule="auto" w:before="120" w:after="120"/>
        <w:ind w:firstLine="567"/>
        <w:jc w:val="both"/>
      </w:pPr>
      <w:r>
        <w:rPr>
          <w:rFonts w:ascii="Calibri" w:hAnsi="Calibri" w:cs="Calibri" w:eastAsia="Calibri"/>
          <w:color w:val="000000"/>
          <w:sz w:val="24"/>
        </w:rPr>
        <w:t xml:space="preserve">K30 güçlüğü konuyla ilişkilendirdi: “Bilmediğim bir konuda, içinden çıkamadığım karmaşık durumlarda YZ’da herhangi bir bilgi sahibi olmadığında o konu bir anda benim için dünyanın en zor konusu haline dönüşüyor.” (K30, S10). Güçlük bildiren beş katılımcı ise bunu bir koşula, ek çabaya, yeterlik algısına veya bir sürdürme yoluna bağlamadı. Güçlük bildiren yedi katılımcı, görevi nasıl sürdürdüğünü veya sürdürebileceğini de anlattı. K26 “Ödev içeriğini tamamlayamayacağımı düşündüm ama kütüphaneye giderek bu sorunu çözdüm.” (K26, S10) diyerek başlangıçtaki güçlük algısı ile görevin sonucunu ayırdı. K43 son güne bıraktığı bir ödev için araçsız yapamayacağını düşündüğünü, ancak sonrasında onsuz da ödev yapabildiğini fark ettiğini anlattı (S10). K18 benzer bir deneyimi şöyle aktardı: “Oldu ama daha sonrasında kendimin yapabileceğini illa o araca gerek duymadığımı anladım. Hatta keşke ilk olarak bu kaynağa başvurmak yerine kendim yapsaydım dedim.” (K18, S10).</w:t>
      </w:r>
    </w:p>
    <w:p>
      <w:pPr>
        <w:pStyle w:val="BodyText"/>
        <w:spacing w:line="240" w:lineRule="auto" w:before="120" w:after="120"/>
        <w:ind w:firstLine="567"/>
        <w:jc w:val="both"/>
      </w:pPr>
      <w:r>
        <w:rPr>
          <w:rFonts w:ascii="Calibri" w:hAnsi="Calibri" w:cs="Calibri" w:eastAsia="Calibri"/>
          <w:color w:val="000000"/>
          <w:sz w:val="24"/>
        </w:rPr>
        <w:t xml:space="preserve">Böyle bir an yaşamadığını bildiren 17 katılımcının bir bölümü bu reddi araçsız çalışmanın maliyetiyle birlikte anlattı. Bunların beşi araçsız çalışmanın daha uzun süreceğini veya daha çok çaba gerektireceğini, ancak yapılabileceğini belirtti. K40’in açıklaması bu ayrımı açık biçimde gösterir:</w:t>
      </w:r>
    </w:p>
    <w:p>
      <w:pPr>
        <w:pStyle w:val="BlockText"/>
        <w:spacing w:line="240" w:lineRule="auto" w:before="120" w:after="120"/>
        <w:ind w:left="567" w:right="0" w:firstLine="0"/>
        <w:jc w:val="both"/>
      </w:pPr>
      <w:r>
        <w:rPr>
          <w:rFonts w:ascii="Calibri" w:hAnsi="Calibri" w:cs="Calibri" w:eastAsia="Calibri"/>
          <w:color w:val="000000"/>
          <w:sz w:val="24"/>
        </w:rPr>
        <w:t xml:space="preserve">“Tamamlayamayacağımı düşünmedim ama zorlanacağımı düşündüm. YZ ile 1 saatte hallediyorsam o olmadan 3 saat sürecek belki.” (K40, S10)</w:t>
      </w:r>
    </w:p>
    <w:p>
      <w:pPr>
        <w:pStyle w:val="FirstParagraph"/>
        <w:spacing w:line="240" w:lineRule="auto" w:before="120" w:after="120"/>
        <w:ind w:firstLine="567"/>
        <w:jc w:val="both"/>
      </w:pPr>
      <w:r>
        <w:rPr>
          <w:rFonts w:ascii="Calibri" w:hAnsi="Calibri" w:cs="Calibri" w:eastAsia="Calibri"/>
          <w:color w:val="000000"/>
          <w:sz w:val="24"/>
        </w:rPr>
        <w:t xml:space="preserve">K21 de benzer bir ayrım yaptı: “Bu araçlar olmadan önce de araştırma yapabiliyordum, hala yapabiliyorum. Benim için bir problem oluşturmaz. Sadece daha çok uğraşmam gerekir.” (K21, S10). Ret bildiren yedi katılımcı ise araçsız yapabileceğine ilişkin güvenini açıkça bildirdi. K39 “Her türlü tamamlayabilirim. Kütüphaneler, hocalar, kitaplar bunlar için var zaten. YZ şart değil.” (K39, S10) diye belirtti. K41 bu güveni aracın katkısını yadsımadan dile getirdi: “O yüzden yapay zeka olmasa da ödevimde ilerlerim tabiki de. Fakat bazı zorlandığım anlarda işleri hızlandırmama yardımcı olduğunu da inkar edemem.” (K41, S10). K15 böyle bir an yaşamadığını belirtti, ancak araçtan yararlanmasa bitiremeyeceği ödevlerin olmuş olabileceğini ekledi (S10). Bu yanıtta reddedilen şey düşüncedir, olasılık ise kabul edilir. Yanıtı kesinleştirilemeyen beş katılımcıdan K20 “YZ hayatıma girmeden önce nasılsa şimdi de aynı şekilde ödevi yapabilirim.” (K20, S10) ifadesini kullandı. Bu yanıt şimdiki yeterliği anlatır, geçmişte böyle bir düşüncenin yaşanıp yaşanmadığını göstermez.</w:t>
      </w:r>
    </w:p>
    <w:p>
      <w:pPr>
        <w:pStyle w:val="BodyText"/>
        <w:spacing w:line="240" w:lineRule="auto" w:before="120" w:after="120"/>
        <w:ind w:firstLine="567"/>
        <w:jc w:val="both"/>
      </w:pPr>
      <w:r>
        <w:rPr>
          <w:rFonts w:ascii="Calibri" w:hAnsi="Calibri" w:cs="Calibri" w:eastAsia="Calibri"/>
          <w:color w:val="000000"/>
          <w:sz w:val="24"/>
        </w:rPr>
        <w:t xml:space="preserve">Kendini yetersiz görme veya becerilerin körelmesi algısı, araçsız tamamlayamama düşüncesinden bağımsız olarak da bildirilebilmektedir. Bu algıyı bildiren yedi katılımcının beşi araçsız tamamlayamayacağını düşündüğü bir an yaşadığını, ikisi ise böyle bir an yaşamadığını belirtti. K36 “Çünkü kendim üretme konusunda kendimi artık yetersiz hissediyorum.” (K36, S10) ifadesini kullandı. K32 uzun kullanım sırasında “Kendi aklımı, fikrimi kullanmadığımı fark ettim.” (K32, S4) dedi. K35 ise araştırma yeteneğinin köreldiğini hissettiği zamanlar olduğunu belirtti (S4). K32 ve K35 araçsız tamamlayamayacağını düşündüğü bir an yaşamadığını bildirdi.</w:t>
      </w:r>
    </w:p>
    <w:p>
      <w:pPr>
        <w:pStyle w:val="BodyText"/>
        <w:spacing w:line="240" w:lineRule="auto" w:before="120" w:after="120"/>
        <w:ind w:firstLine="567"/>
        <w:jc w:val="both"/>
      </w:pPr>
      <w:r>
        <w:rPr>
          <w:iCs/>
          <w:rFonts w:ascii="Calibri" w:hAnsi="Calibri" w:cs="Calibri" w:eastAsia="Calibri"/>
          <w:i/>
          <w:color w:val="000000"/>
          <w:sz w:val="24"/>
        </w:rPr>
        <w:t xml:space="preserve">Kullanım süresi ve kullanımdaki değişim.</w:t>
      </w:r>
      <w:r>
        <w:rPr>
          <w:rFonts w:ascii="Calibri" w:hAnsi="Calibri" w:cs="Calibri" w:eastAsia="Calibri"/>
          <w:color w:val="000000"/>
          <w:sz w:val="24"/>
        </w:rPr>
        <w:t xml:space="preserve"> S4’e verilen yanıtlarda 20 katılımcı planladığından uzun süre kullandığını, 14 katılımcı ise süreyi aşmadığını belirtti. Süre aşımını aracın istenen çıktıyı vermemesine veya yeniden sormaya bağlayan 14 katılımcının 12’si süreyi aştığını da bildirdi. K42 bu süreci ve etkileşimin bitiş koşulunu birlikte anlattı:</w:t>
      </w:r>
    </w:p>
    <w:p>
      <w:pPr>
        <w:pStyle w:val="BlockText"/>
        <w:spacing w:line="240" w:lineRule="auto" w:before="120" w:after="120"/>
        <w:ind w:left="567" w:right="0" w:firstLine="0"/>
        <w:jc w:val="both"/>
      </w:pPr>
      <w:r>
        <w:rPr>
          <w:rFonts w:ascii="Calibri" w:hAnsi="Calibri" w:cs="Calibri" w:eastAsia="Calibri"/>
          <w:color w:val="000000"/>
          <w:sz w:val="24"/>
        </w:rPr>
        <w:t xml:space="preserve">“Çünkü bazen benim anlatmak istediğim bir şeyi anlamıyor başka cevaplar veriyor. Ben de asıl anlatmak istediğimi anlayana kadar uğraşıyorum. Bu yüzden planladığımdan daha uzun süre kullanmak zorunda kalıyorum. Ama istediğim cevapları alınca uygulamayı kapatıyorum.” (K42, S4)</w:t>
      </w:r>
    </w:p>
    <w:p>
      <w:pPr>
        <w:pStyle w:val="FirstParagraph"/>
        <w:spacing w:line="240" w:lineRule="auto" w:before="120" w:after="120"/>
        <w:ind w:firstLine="567"/>
        <w:jc w:val="both"/>
      </w:pPr>
      <w:r>
        <w:rPr>
          <w:rFonts w:ascii="Calibri" w:hAnsi="Calibri" w:cs="Calibri" w:eastAsia="Calibri"/>
          <w:color w:val="000000"/>
          <w:sz w:val="24"/>
        </w:rPr>
        <w:t xml:space="preserve">K40 de benzer bir süreci anlattı ve bu sürecin istem yazma becerisine katkısını vurguladı:</w:t>
      </w:r>
    </w:p>
    <w:p>
      <w:pPr>
        <w:pStyle w:val="BlockText"/>
        <w:spacing w:line="240" w:lineRule="auto" w:before="120" w:after="120"/>
        <w:ind w:left="567" w:right="0" w:firstLine="0"/>
        <w:jc w:val="both"/>
      </w:pPr>
      <w:r>
        <w:rPr>
          <w:rFonts w:ascii="Calibri" w:hAnsi="Calibri" w:cs="Calibri" w:eastAsia="Calibri"/>
          <w:color w:val="000000"/>
          <w:sz w:val="24"/>
        </w:rPr>
        <w:t xml:space="preserve">“Bazen bir şeyi yaptırmak için çok ısrar ettiğim oluyordu. Bir problemim varsa onu farklı yollarla sordum. Tabi bir fark olmadı sürekli aynı cevapları verdiği oluyordu. O zamanlar artık bırakmam gerektiğini fark ediyorum. Ancak bu yaptığım da benim verdiğim promptlarımı çok iyi geliştirdi artık ne istediğimi ve nasıl isteyeceğimi çok daha iyi biliyorum.” (K40, S4)</w:t>
      </w:r>
    </w:p>
    <w:p>
      <w:pPr>
        <w:pStyle w:val="FirstParagraph"/>
        <w:spacing w:line="240" w:lineRule="auto" w:before="120" w:after="120"/>
        <w:ind w:firstLine="567"/>
        <w:jc w:val="both"/>
      </w:pPr>
      <w:r>
        <w:rPr>
          <w:rFonts w:ascii="Calibri" w:hAnsi="Calibri" w:cs="Calibri" w:eastAsia="Calibri"/>
          <w:color w:val="000000"/>
          <w:sz w:val="24"/>
        </w:rPr>
        <w:t xml:space="preserve">İstenen çıktıya ulaşana kadar etkileşimi uzatmak, süreyi fark etmemekle aynı deneyim değildir. Süreyi fark etmemeyi yalnız K07 bildirdi: “Bu durumda saatin farkına varmadan kullandığımı fark ettim.” (K07, S4). Dokuz katılımcı ise en küçük soruyu bile araca sorma, elinin sürekli araca gitmesi veya arama motoru yerine doğrudan araca başvurma biçiminde bir alışkanlık anlattı. K21 bunu bir değişim olarak anlattı: “Önceden hiç başvurmadığım bir yöntemken sonrasında elim sürekli YZ’ya gitmeye başladı.” (K21, S4). K40 de “Artık Googlede arama yapmak yerine yapay zekayı kullanıyorum diyebilirim.” (K40, S2) dedi. Altı katılımcı uzun kullanımda çıktı niteliğinin düştüğünü belirtti. K01 aracın bir noktadan sonra benzer çıktılar vermeye başladığını (S4), K34 ise fazla soru sorunca aracın sürekli kendini yinelediğini (S4) anlattı.</w:t>
      </w:r>
    </w:p>
    <w:p>
      <w:pPr>
        <w:pStyle w:val="BodyText"/>
        <w:spacing w:line="240" w:lineRule="auto" w:before="120" w:after="120"/>
        <w:ind w:firstLine="567"/>
        <w:jc w:val="both"/>
      </w:pPr>
      <w:r>
        <w:rPr>
          <w:rFonts w:ascii="Calibri" w:hAnsi="Calibri" w:cs="Calibri" w:eastAsia="Calibri"/>
          <w:color w:val="000000"/>
          <w:sz w:val="24"/>
        </w:rPr>
        <w:t xml:space="preserve">S9’da kullanım sıklığının veya kapsamının arttığını bildirmek baskın yanıttır (f = 25). Artış bildiren 25 katılımcının 10’u aynı zamanda tercihinin insan desteğinden ÜYZ’ye kaydığını belirtti. Artışın gerekçeleri arasında kolaylık, ödev yükü ve aracın arama motorunun yerini alması yer aldı. K36 artışı “Çok fazla kullanmaya başladım. Çünkü artık arama motoru haline geldi.” (K36, S9) sözleriyle anlattı. K25 ise artışı dönemlik grup ödevlerine bağladı ve kullanımın eski düzenine döneceğini belirtti (S9). Artış bildirimi, kullanımı sınırlama çabasıyla birlikte de bulunabilir. K32 ikisini aynı yanıtta anlattı:</w:t>
      </w:r>
    </w:p>
    <w:p>
      <w:pPr>
        <w:pStyle w:val="BlockText"/>
        <w:spacing w:line="240" w:lineRule="auto" w:before="120" w:after="120"/>
        <w:ind w:left="567" w:right="0" w:firstLine="0"/>
        <w:jc w:val="both"/>
      </w:pPr>
      <w:r>
        <w:rPr>
          <w:rFonts w:ascii="Calibri" w:hAnsi="Calibri" w:cs="Calibri" w:eastAsia="Calibri"/>
          <w:color w:val="000000"/>
          <w:sz w:val="24"/>
        </w:rPr>
        <w:t xml:space="preserve">“Artık her şeyi sorarken kendimi orada buluyorum. Olumsuz hissettirmeye başladı, biraz azaltmaya çalışmaktayım. Hazır cevaba alıştığımı hissediyorum.” (K32, S2)</w:t>
      </w:r>
    </w:p>
    <w:p>
      <w:pPr>
        <w:pStyle w:val="FirstParagraph"/>
        <w:spacing w:line="240" w:lineRule="auto" w:before="120" w:after="120"/>
        <w:ind w:firstLine="567"/>
        <w:jc w:val="both"/>
      </w:pPr>
      <w:r>
        <w:rPr>
          <w:rFonts w:ascii="Calibri" w:hAnsi="Calibri" w:cs="Calibri" w:eastAsia="Calibri"/>
          <w:color w:val="000000"/>
          <w:sz w:val="24"/>
        </w:rPr>
        <w:t xml:space="preserve">Beş katılımcı kullanımını azalttığını, azaltmaya çalıştığını veya sınırlı tutmaya özen gösterdiğini belirtti. K06 sorularına tam olarak doğru çıktı alamadığını fark ettiği için kullanımını azalttığını belirtti (S9). Dokuz katılımcı zamanla daha iyi soru sormayı veya komut yazmayı öğrendiğini belirtti. Bunların altısı süre aşımını veya zaman kaybını istenen çıktıyı alamamaya bağlayan katılımcılardır. K15 “Artık ne şekilde sormam gerektiğini ne yazarsam daha doğru cevap vereceğini biliyorum.” (K15, S9) diye belirtti. K41 bu değişimi zaman ve yorgunluk üzerinden anlattı:</w:t>
      </w:r>
    </w:p>
    <w:p>
      <w:pPr>
        <w:pStyle w:val="BlockText"/>
        <w:spacing w:line="240" w:lineRule="auto" w:before="120" w:after="120"/>
        <w:ind w:left="567" w:right="0" w:firstLine="0"/>
        <w:jc w:val="both"/>
      </w:pPr>
      <w:r>
        <w:rPr>
          <w:rFonts w:ascii="Calibri" w:hAnsi="Calibri" w:cs="Calibri" w:eastAsia="Calibri"/>
          <w:color w:val="000000"/>
          <w:sz w:val="24"/>
        </w:rPr>
        <w:t xml:space="preserve">“Önceden doğru soruyu nasıl soracağımı bilemediğim için belki tek seferde soracağım bir soruyu 3-4 seferde sorardım. Her biri ayrı ayrı yorgunluk ve zaman kaybı olurdu. Artık daha doğru sorup bu yorgunluktan ve zaman kaybından kurtuluyorum.” (K41, S9)</w:t>
      </w:r>
    </w:p>
    <w:p>
      <w:pPr>
        <w:pStyle w:val="FirstParagraph"/>
        <w:spacing w:line="240" w:lineRule="auto" w:before="120" w:after="120"/>
        <w:ind w:firstLine="567"/>
        <w:jc w:val="both"/>
      </w:pPr>
      <w:r>
        <w:rPr>
          <w:rFonts w:ascii="Calibri" w:hAnsi="Calibri" w:cs="Calibri" w:eastAsia="Calibri"/>
          <w:color w:val="000000"/>
          <w:sz w:val="24"/>
        </w:rPr>
        <w:t xml:space="preserve">Bu açıklamalarda kullanımdaki değişim bir beceri kazanımıyla birlikte anlatılmıştır.</w:t>
      </w:r>
    </w:p>
    <w:p>
      <w:pPr>
        <w:pStyle w:val="BodyText"/>
        <w:spacing w:line="240" w:lineRule="auto" w:before="120" w:after="120"/>
        <w:ind w:firstLine="567"/>
        <w:jc w:val="both"/>
      </w:pPr>
      <w:r>
        <w:rPr>
          <w:iCs/>
          <w:rFonts w:ascii="Calibri" w:hAnsi="Calibri" w:cs="Calibri" w:eastAsia="Calibri"/>
          <w:i/>
          <w:color w:val="000000"/>
          <w:sz w:val="24"/>
        </w:rPr>
        <w:t xml:space="preserve">Erişim kesintisi deneyimi.</w:t>
      </w:r>
      <w:r>
        <w:rPr>
          <w:rFonts w:ascii="Calibri" w:hAnsi="Calibri" w:cs="Calibri" w:eastAsia="Calibri"/>
          <w:color w:val="000000"/>
          <w:sz w:val="24"/>
        </w:rPr>
        <w:t xml:space="preserve"> S5 katılımcılara araca erişemediklerinde ne hissettiklerini sorduğundan, bu alt temadaki kodlar belirli bir olayı değil bildirilen tepkileri gösterir. Olumsuz duygu bildirimi (f = 23) ile rutinin etkilenmediği veya az etkilendiği bildirimi (f = 17) en sık iki tepkidir ve üç katılımcıda birlikte bulunur. K11 rahatsızlığın kapsamını sınırladı: “İhtiyaç duyduğum zamanlarda bu tarz durumlar beni rahatsız ediyor. Ancak günlük rutinimi etkileyecek seviyede değil.” (K11, S5). Olumsuz duygular sinirlenme, stres, panik, çaresizlik, boşluk, huzursuzluk ve kötü hissetme sözcükleriyle anlatıldı. On katılımcı görevde gecikme veya aksama bildirdi. K01 günlük rutininin etkilenmediğini, ancak soru soramadığında ödev süresinin uzadığını belirtti (S5). Günlük rutinin belirgin biçimde etkilendiğini üç katılımcı bildirdi. K21 “Yıllardan gelen bir alışkanlık söz konusu olduğu için beni çok zorluyor. Tüm hayatım bunun üzerine kuruluymuş gibi hissediyorum.” (K21, S5) ifadesini kullandı. K40’in yanıtı ise yalnız koşullu ifadeler içerdiğinden (“Uzun vadede kullanamamak problem olabilir.”, K40, S5) bu alt temada kodlanmadı.</w:t>
      </w:r>
    </w:p>
    <w:p>
      <w:pPr>
        <w:pStyle w:val="BodyText"/>
        <w:spacing w:line="240" w:lineRule="auto" w:before="120" w:after="120"/>
        <w:ind w:firstLine="567"/>
        <w:jc w:val="both"/>
      </w:pPr>
      <w:r>
        <w:rPr>
          <w:rFonts w:ascii="Calibri" w:hAnsi="Calibri" w:cs="Calibri" w:eastAsia="Calibri"/>
          <w:color w:val="000000"/>
          <w:sz w:val="24"/>
        </w:rPr>
        <w:t xml:space="preserve">Kullanım sınırı, kota veya ücretli üyelik deneyimi altı katılımcının açıklamasında yer aldı. K42 bu deneyimi ücretli üyelik kararıyla birlikte anlattı: “premium üyelikten önceki erişim sınırı benim panik yapmama sebep oluyordu” (K42, S5). K41 soru sorma sınırının dolduğu zamanlarda “kendimi huzursuz hissediyordum” (K41, S4) dedi. K29 ise hakkı dolduğunda sinirlendiğini ve 24 saatin geçmesini beklediğini anlattı (S5). Kesintiyle baş etme yolları iki türdedir. Dört katılımcı kotanın yenilenmesini veya engelin geçmesini beklediğini, beş katılımcı ise kendi başına veya başka bir kaynakla devam ettiğini belirtti. K05 iki yolu birlikte anlattı: “kota süresi dolana kadar ya bekliyorum ya da kendi başıma halletmeye çalışıyorum” (K05, S5). K26 çaresizlik ve stres hissettiğini, ancak sonrasında kütüphane gibi yerlerden yararlanarak sorununu çözdüğünü belirtti (S5).</w:t>
      </w:r>
    </w:p>
    <w:p>
      <w:pPr>
        <w:pStyle w:val="BodyText"/>
        <w:spacing w:line="240" w:lineRule="auto" w:before="120" w:after="120"/>
        <w:ind w:firstLine="567"/>
        <w:jc w:val="both"/>
      </w:pPr>
      <w:r>
        <w:rPr>
          <w:iCs/>
          <w:rFonts w:ascii="Calibri" w:hAnsi="Calibri" w:cs="Calibri" w:eastAsia="Calibri"/>
          <w:i/>
          <w:color w:val="000000"/>
          <w:sz w:val="24"/>
        </w:rPr>
        <w:t xml:space="preserve">Kullanımı adlandırma ve çevreyle paylaşma.</w:t>
      </w:r>
      <w:r>
        <w:rPr>
          <w:rFonts w:ascii="Calibri" w:hAnsi="Calibri" w:cs="Calibri" w:eastAsia="Calibri"/>
          <w:color w:val="000000"/>
          <w:sz w:val="24"/>
        </w:rPr>
        <w:t xml:space="preserve"> Form soruları bağımlılık sözcüğünü içermemektedir. Sözcük beş katılımcının yanıtında ve farklı anlamlarla yer aldı. K37 ve K39 bu nitelemeyi kendileri için reddetti. K10’in “Bağımlılığım artmadı” (K10, S9) ifadesi düzeyi değil değişimi konu alır. K41 sözcüğü henüz ulaşılmamış bir aşama olarak kullandı: “Henüz bağımlılık aşamasına gelmedi fakat hayatımı kolaylaştırdığı bir gerçek.” (K41, S4). K34 ise iki soruda iki farklı içeriğe gönderme yaptı. Erişim kesintisi sorusunda “O kadar fazla da bağımlı olduğumu düşünmüyorum çünkü.” (K34, S5) diye belirtti. Araçsız çalışma sorusunda ise “Çünkü bağımlılık düzeyi git gide artıyor.” (K34, S10) ifadesini kullandı. Mevcut düzeyi düşük görmekle artış bildirmek mantıksal olarak bağdaşır. Altı katılımcı araca bağlı veya körü körüne bağlı olmadığını belirtti. K04 araçsız tamamlayamayacağını düşündüğü bir an yaşadığını, ancak çaresizliğe düşmediğini belirtti ve “Körü körüne bağlı değilim.” (K04, S10) ifadesini kullandı. K40 de “Olmazsa olmaz gibi bir durumda değilim.” (K40, S5) dedi.</w:t>
      </w:r>
    </w:p>
    <w:p>
      <w:pPr>
        <w:pStyle w:val="BodyText"/>
        <w:spacing w:line="240" w:lineRule="auto" w:before="120" w:after="120"/>
        <w:ind w:firstLine="567"/>
        <w:jc w:val="both"/>
      </w:pPr>
      <w:r>
        <w:rPr>
          <w:rFonts w:ascii="Calibri" w:hAnsi="Calibri" w:cs="Calibri" w:eastAsia="Calibri"/>
          <w:color w:val="000000"/>
          <w:sz w:val="24"/>
        </w:rPr>
        <w:t xml:space="preserve">Kullanımı çevreden gizleme eğilimi olmadığını bildirmek S13’teki baskın yanıttır (f = 26). K37 bunu “YZ yaptıysa da derim, kendim yaptıysam da derim.” (K37, S13) sözleriyle anlattı. K41 kullanımını gizlemek bir yana, yeni güncellemeleri “herkes yararlanabilsin diye mutlaka” (K41, S13) çevresine söylediğini belirtti. On yedi katılımcı ise en az bir gizleme bildirdi. Bu bildirimler kapsam ve kesinlik bakımından farklıdır. Sekiz katılımcı gizlemeyi açıkça ödev, not veya öğretim elemanı bağlamında gerçekleşmiş bir durum olarak anlattı. Üç katılımcının (K14, K18, K19) bildiriminde bağlam belirtilmedi. K43 gizlemeyi ödevle ilgili bir koşula bağladı. Beş katılımcının bildirimi ise özel veya duygusal kullanıma ilişkindir ve bunlardan biri (K34) koşullu bir ifadedir.</w:t>
      </w:r>
    </w:p>
    <w:p>
      <w:pPr>
        <w:pStyle w:val="BodyText"/>
        <w:spacing w:line="240" w:lineRule="auto" w:before="120" w:after="120"/>
        <w:ind w:firstLine="567"/>
        <w:jc w:val="both"/>
      </w:pPr>
      <w:r>
        <w:rPr>
          <w:rFonts w:ascii="Calibri" w:hAnsi="Calibri" w:cs="Calibri" w:eastAsia="Calibri"/>
          <w:color w:val="000000"/>
          <w:sz w:val="24"/>
        </w:rPr>
        <w:t xml:space="preserve">Gizlemenin en sık gerekçesi öğretim elemanı ve not kaygısıdır (f = 6). K03 bu durumu şöyle anlattı: “Hocalardan sakladım. Ama napıyım ya, saklamayınca da bize tuhaf tuhaf bakıyorlar. Bir de puanımızı düşürüyorlar.” (K03, S13). K15 gizlemeyi öğretim elemanlarının tutumuna bağladı: “Çünkü bazı hocalar ödevi kopyala-yapıştır olduğunu düşünüyor. Notlardan dolayı da gizleme ihtiyacı duyuyorum.” (K15, S13). K28 gizleme eğilimi olmadığını belirtti, ancak tutucu bulduğu öğretim elemanlarına söylemekten kaçındığını eklediğinden yanıtı gizleme koduna alındı (S13). İkinci gerekçe, emek vermemiş veya kendi başına yapamaz görünme kaygısıdır (f = 4). K18 “çok fazla emek vermemiş hissi uyandırabileceğini düşündüğüm için paylaşmak istemedim” (K18, S13) diye belirtti. K21 gizlemeyi kendi yeterliğine ilişkin bir duyguyla açıkladı: “Sanki kendi araştırmamı veya ödevimi kendi başıma yapamazmışım gibi hissettiğim için söylememiştim.” (K21, S13). K42 ücretli üyeliğini kimseye söylemediğini belirtti ve gerekçe olarak insanların ödevlerini yalnız araca bağlı kalarak yaptığını düşünebileceğini gösterdi (S13). Aynı yanıtta K42 araca körü körüne bağlı olmadığını ve gerekli bilgileri aldıktan sonra gerisini kendisinin yaptığını açıkladı (S13).</w:t>
      </w:r>
    </w:p>
    <w:p>
      <w:pPr>
        <w:pStyle w:val="BodyText"/>
        <w:spacing w:line="240" w:lineRule="auto" w:before="120" w:after="120"/>
        <w:ind w:firstLine="567"/>
        <w:jc w:val="both"/>
      </w:pPr>
      <w:r>
        <w:rPr>
          <w:rFonts w:ascii="Calibri" w:hAnsi="Calibri" w:cs="Calibri" w:eastAsia="Calibri"/>
          <w:color w:val="000000"/>
          <w:sz w:val="24"/>
        </w:rPr>
        <w:t xml:space="preserve">Özel veya duygusal kullanımı gizleme bildirimleri akademik görevlerle ilgili değildir. K36 “Sohbet ettiğimi söylersem yalnız olup bir robotla sohbet ettiğimi düşünmelerinden çekindim.” (K36, S13) ifadesini kullandı. K40 paylaşmak istemediği şeyin araç kullanımı değil paylaştığı içerik olduğunu vurguladı: “Ancak yapay zeka kullanmaktan dolayı değil tamamen paylaştığım içerikten dolayı.” (K40, S13). Nedeni belirsiz gizleme K19’de yer aldı: “Gizlediğim birkaç konu oldu ama neden böyle yaptığımı anlamıyorum o an öyle gelişiyor.” (K19, S13). Öğretim elemanından gizleme bildiren katılımcıların bir bölümü yardım kaynağı tercihinde de öğretim elemanına ilişkin gerekçeler belirtti. K03 hem öğretim elemanlarının mükemmeliyetçilik aramasını kullanım gerekçesi olarak (S3) hem de puan kaygısını gizleme gerekçesi olarak (S13) anlattı. K04 de kullanımını öğretim elemanlarından gizlediğini ve bazen ödevden ne istendiğini anlamak için araca başvurduğunu belirtti (S13).</w:t>
      </w:r>
    </w:p>
    <w:p>
      <w:pPr>
        <w:pStyle w:val="Heading1"/>
      </w:pPr>
      <w:r>
        <w:rPr>
          <w:rFonts w:ascii="Calibri" w:hAnsi="Calibri" w:cs="Calibri" w:eastAsia="Calibri"/>
          <w:b/>
          <w:i w:val="0"/>
          <w:color w:val="000000"/>
          <w:sz w:val="24"/>
        </w:rPr>
        <w:t xml:space="preserve">Tartışma</w:t>
      </w:r>
    </w:p>
    <w:p>
      <w:pPr>
        <w:pStyle w:val="FirstParagraph"/>
        <w:spacing w:line="240" w:lineRule="auto" w:before="120" w:after="120"/>
        <w:ind w:firstLine="567"/>
        <w:jc w:val="both"/>
      </w:pPr>
      <w:r>
        <w:rPr>
          <w:rFonts w:ascii="Calibri" w:hAnsi="Calibri" w:cs="Calibri" w:eastAsia="Calibri"/>
          <w:color w:val="000000"/>
          <w:sz w:val="24"/>
        </w:rPr>
        <w:t xml:space="preserve">Bu araştırma, eğitim fakültesi öğrencilerinin ÜYZ kullanma deneyimlerini üç tema, 12 alt tema ve 76 kodla betimledi. Bulguların temel katkısı, katılımcıları kullanan ve kullanmayan ya da bağımlı ve bağımlı olmayan biçiminde sınıflandırmak yerine, genel kullanım bildirimlerinin altındaki farklı içerikleri ayrıştırmasıdır. Bu ayrışma veri kümesinin kendisinde görünür. Bir çıktıyı sorgulamadan kullandığını bildiren 19 katılımcının 10’u araçsız tamamlayamayacağını düşündüğü bir an bildirdi. Bunu reddeden 20 katılımcının da 10’u aynı deneyimi anlattı. Dolayısıyla sorgulamadan kabul ile araçsız güçlük, aynı katılımcılarda birlikte bulunmak zorunda olmayan iki içeriktir. Bu örüntü, kullanım yoğunluğunu veya tek bir kullanım biçimini sorunlu kullanımın göstergesi saymayan yaklaşımlarla uyumludur (Billieux vd., 2015; Ciudad-Fernández vd., 2025). Aşağıda bulgular, veri kümesinin desteklediği üç ayrım etrafında tartışılmaktadır. Bunlar yardım kaynağı seçimi ile insan desteğinin bütünüyle ikamesi, çıktının kabulü ile değerlendirilmesi ve araçsız güçlük algısı ile çalışmayı sürdürebilmedir.</w:t>
      </w:r>
    </w:p>
    <w:p>
      <w:pPr>
        <w:pStyle w:val="BodyText"/>
        <w:spacing w:line="240" w:lineRule="auto" w:before="120" w:after="120"/>
        <w:ind w:firstLine="567"/>
        <w:jc w:val="both"/>
      </w:pPr>
      <w:r>
        <w:rPr>
          <w:rFonts w:ascii="Calibri" w:hAnsi="Calibri" w:cs="Calibri" w:eastAsia="Calibri"/>
          <w:color w:val="000000"/>
          <w:sz w:val="24"/>
        </w:rPr>
        <w:t xml:space="preserve">Birinci ayrım yardım kaynağı seçimine ilişkindir. Zorlandığında ilk veya başlıca kaynak olarak ÜYZ’ye yönelmek veri kümesindeki baskın örüntüdür. Ancak ÜYZ’ye öncelik verenlerin bir bölümü sıralı bir kullanım anlatır ve araçtan çözüm bulamadığında arkadaşlarına veya öğretim elemanına döner. Tercihin insan desteğinden ÜYZ’ye kaydığını bildiren 14 katılımcıdan yalnız ikisi insan desteğinin bütünüyle bırakıldığını açıkça anlattı. Diğerleri aracın payının arttığını veya başvuru sırasının değiştiğini belirtti. Bu örüntü, ÜYZ’nin geleneksel yardım kaynaklarının yerini tümüyle almadığını ve kaynak seçiminin göreve göre değiştiğini gösteren çalışmalarla uyumludur (Hou vd., 2024; Penney vd., 2025; Viberg vd., 2026; Wang vd., 2026). PISA 2025 verilerinde sohbet robotu kullanımı ile yardım arama arasındaki ilişki kullanım amacına göre değişmektedir. Okul çalışmaları için sohbet robotlarını kullanmayan öğrenciler, kullananlara göre daha fazla yardım arama davranışı bildirmiştir (OECD, 2026b). Araçları öğrenmelerine yardımcı olması amacıyla haftalık kullananlar ise bu amaçla kullanmayan veya seyrek kullananlara göre daha fazla yardım isteme davranışı bildirmiştir (OECD, 2026b; Özberk, 2026). Bu ilişkiler kesitseldir ve nedensellik göstermez. Buna karşılık K16 ve K22’ün açıklamaları ile K05’in akran fikir alışverişine ilişkin anlatımı, yardım isteklerinin ÜYZ aracılığıyla yürütülmesinin akran etkileşimini zayıflatabileceğine ilişkin bulgularla örtüşür (Hou vd., 2025). Öğrencilerin ChatGPT’nin sosyal yalıtılmışlığı artırabileceğine ilişkin kaygıları da bu yöndedir (Ravšelj vd., 2025). Dolayısıyla aracın ilk kaynak olması, her katılımcı için insan desteğinden vazgeçmek anlamına gelmez. Ancak bazı katılımcılar için bu vazgeçiş gerçekleşmiştir.</w:t>
      </w:r>
    </w:p>
    <w:p>
      <w:pPr>
        <w:pStyle w:val="BodyText"/>
        <w:spacing w:line="240" w:lineRule="auto" w:before="120" w:after="120"/>
        <w:ind w:firstLine="567"/>
        <w:jc w:val="both"/>
      </w:pPr>
      <w:r>
        <w:rPr>
          <w:rFonts w:ascii="Calibri" w:hAnsi="Calibri" w:cs="Calibri" w:eastAsia="Calibri"/>
          <w:color w:val="000000"/>
          <w:sz w:val="24"/>
        </w:rPr>
        <w:t xml:space="preserve">Yardım kaynağı seçimi, yardım aramanın niteliğinden de ayrı ele alınmalıdır. Alanyazın, anlamayı destekleyen araçsal yardım arama ile yanıtı edinerek görevi bitirmeye yönelen yürütücü yardım aramayı ayırır ve bu ayrım ÜYZ bağlamına da taşınmaktadır (Fong vd., 2023; Karabenick, 2004; Nelson-Le Gall, 1981; Sung ve Thomas, 2025). Bu araştırmanın yazılı verileri, bir katılımcının yardım aramasının hangi türde olduğunu belirlemeye yetmez. Yine de ödev yönergesini araca verip onun yönlendirmesiyle çalışmak (K16) ile yalnız anlaşılmayan noktada fikir danışmak (K01, K41) farklı yönelimlere işaret eder. ChatGPT’den yardım alan öğrencilerin daha çok doğrudan yanıt istediğini ve değerlendirme aşamasını daha sık atladığını gösteren süreç bulguları da bu ayrımın önemini destekler (Bastani vd., 2025; Chen vd., 2025). K40’in S7’de araca yönelmeyi kendi yaptığı bir çalışma olarak sunması ise dikkat çekicidir. Bu açıklama, araçla çalışmanın bazı öğrencilerce yardım istemek olarak değil, bağımsız çalışmanın bir parçası olarak algılanabildiğini düşündürür. Kişisel görünürlüğün azaldığı kaynaklarda yardım istemenin kolaylaştığını gösteren bulgular bu algıyla uyumludur (Karabenick ve Knapp, 1988; Wang vd., 2026).</w:t>
      </w:r>
    </w:p>
    <w:p>
      <w:pPr>
        <w:pStyle w:val="BodyText"/>
        <w:spacing w:line="240" w:lineRule="auto" w:before="120" w:after="120"/>
        <w:ind w:firstLine="567"/>
        <w:jc w:val="both"/>
      </w:pPr>
      <w:r>
        <w:rPr>
          <w:rFonts w:ascii="Calibri" w:hAnsi="Calibri" w:cs="Calibri" w:eastAsia="Calibri"/>
          <w:color w:val="000000"/>
          <w:sz w:val="24"/>
        </w:rPr>
        <w:t xml:space="preserve">Tercihin gerekçeleri de bu ayrımı besler. Hız, erişilebilirlik ve kolaylık, uluslararası ve Türkiye alanyazınında sık bildirilen gerekçeler arasındadır (Aruğaslan, 2025; Ersöz, 2025; Holland ve Ciachir, 2025; Penney vd., 2025). Bu çalışmada da en sık gerekçe hız, kolaylık ve zaman kazanmadır. Bazı katılımcılar ise gerekçe olarak aracın niteliğini değil, öğretim elemanına ulaşma güçlüğünü, algılanan isteksizliği veya yüksek beklentiyi gösterdi. Aynı sosyal bağlam, kullanımı öğretim elemanından gizleme bildirimlerinde yeniden görünür (K03, K04). Katılımcı açıklamaları öğretim elemanlarının davranışını kanıtlamaz. Ancak ÜYZ kullanımını yalnız bireysel tercih üzerinden açıklamak, öğrencilerin yardım aradıkları öğretim ortamını gözden kaçırır. Yardım aramaktan kaçınmanın algılanan tehdit ve yetersiz görünme kaygısıyla ilişkili olduğu bilinmektedir (Butler, 1998; Ryan ve Pintrich, 1997; Ryan vd., 2001). Bu nedenle yardım kaynağı seçimi, öğretim ortamının sunduğu seçeneklerle birlikte okunmalıdır.</w:t>
      </w:r>
    </w:p>
    <w:p>
      <w:pPr>
        <w:pStyle w:val="BodyText"/>
        <w:spacing w:line="240" w:lineRule="auto" w:before="120" w:after="120"/>
        <w:ind w:firstLine="567"/>
        <w:jc w:val="both"/>
      </w:pPr>
      <w:r>
        <w:rPr>
          <w:rFonts w:ascii="Calibri" w:hAnsi="Calibri" w:cs="Calibri" w:eastAsia="Calibri"/>
          <w:color w:val="000000"/>
          <w:sz w:val="24"/>
        </w:rPr>
        <w:t xml:space="preserve">Araca devredilen işin kapsamı da aynı ayrımın bir yüzüdür. Bilgi arama, konu araştırma ve özetleme en sık devredilen iştir. Bu bulgu, bilgi edinme, özetleme ve kavram açıklatmanın öne çıktığı uluslararası araştırmalarla tutarlıdır (Pew Research Center, 2026; Ravšelj vd., 2025; von Garrel ve Mayer, 2023). PISA 2025 verilerine göre Türkiye’deki öğrenciler de yeni bir konuda ön araştırma için sohbet robotlarını OECD ortalamasından daha sık kullanmaktadır (OECD, 2026a). Ödev yönergesini araca verip onun yönlendirmesiyle çalışmak ise planlama işlevinin devredilmesidir. Bu örnek, öz-düzenleme süreçlerinin araca devri ve üstbilişsel tembellik tartışmalarıyla ilişkilidir (Darvishi vd., 2024; Fan vd., 2025; Risko ve Gilbert, 2016; Tankelevitch vd., 2024). Buna karşılık ödevleri araçla yaptığını belirten iki katılımcı, aracın ürettiği payı açıklamamıştır. Bu ifadeleri ödevin tamamını araca yaptırma olarak okumak, verinin desteklemediği bir çıkarım olur. Öğrencilerin dil bilgisi desteği almak ile metnin tamamını yazdırmak arasında ayrım yaptığı da bilinmektedir (Johnston vd., 2024). Türkiye’de öğretmen adaylarıyla yapılan bir çalışmada aracın kişinin yerine iş yapmasına ilişkin kodlar yardımcı kullanıma ilişkin kodlardan çok daha sık bulunmuştur (Yeniçeri ve Kenan, 2025). Bu çalışmada ise 13 katılımcı yardımı sınırladığını veya kendi katkısını sürdürdüğünü anlattı ve bunların sekizi ÜYZ’ye öncelik veren katılımcılardır. Öncelik ile devredilen işin kapsamı bu nedenle birbirinden ayrı içeriklerdir.</w:t>
      </w:r>
    </w:p>
    <w:p>
      <w:pPr>
        <w:pStyle w:val="BodyText"/>
        <w:spacing w:line="240" w:lineRule="auto" w:before="120" w:after="120"/>
        <w:ind w:firstLine="567"/>
        <w:jc w:val="both"/>
      </w:pPr>
      <w:r>
        <w:rPr>
          <w:rFonts w:ascii="Calibri" w:hAnsi="Calibri" w:cs="Calibri" w:eastAsia="Calibri"/>
          <w:color w:val="000000"/>
          <w:sz w:val="24"/>
        </w:rPr>
        <w:t xml:space="preserve">Aracın rolüne ilişkin tanımlamalar da devredilen işin kapsamını her zaman açıklamaz. Beden ve benlik metaforları ile vazgeçilebilirlik bildirimleri aynı veri kümesinde, bazen aynı katılımcıda yer aldı. Türkiye’de öğretmen adaylarının metaforları da aracı çoğunlukla bilgi kaynağı, yardımcı ve rehber olarak konumlandırmaktadır (Eriçok vd., 2024; Ölmez ve Özçakır Sümen, 2026; Varlı vd., 2026). Uluslararası bir çalışmada öğrenciler aracı hem akademik destek kaynağı hem sohbet eşi olarak tanımlamıştır (Durgungoz ve Kharrufa, 2026). Öğrenenler ile ÜYZ arasındaki ilişkinin tek bir metaforla açıklanamayacağı da ileri sürülmektedir (Lodge vd., 2023). K41’nin S8’de “Kontrol bende” diyerek aracı yanında giden bir eşlikçiye benzetmesi, rol tanımlarının kişinin kendi failliğine ilişkin bir iddia da taşıyabildiğini gösterir. Bir metafor ise kullanımın yoğunluğunu veya kişinin sürdürdüğü payı ölçmez.</w:t>
      </w:r>
    </w:p>
    <w:p>
      <w:pPr>
        <w:pStyle w:val="BodyText"/>
        <w:spacing w:line="240" w:lineRule="auto" w:before="120" w:after="120"/>
        <w:ind w:firstLine="567"/>
        <w:jc w:val="both"/>
      </w:pPr>
      <w:r>
        <w:rPr>
          <w:rFonts w:ascii="Calibri" w:hAnsi="Calibri" w:cs="Calibri" w:eastAsia="Calibri"/>
          <w:color w:val="000000"/>
          <w:sz w:val="24"/>
        </w:rPr>
        <w:t xml:space="preserve">İkinci ayrım, çıktının kabulü ile değerlendirilmesi arasındadır. Sorgulamadan kullanım bildiren katılımcıların en sık gerekçesi, çıktıyı güvenilir, doğru veya mantıklı bulmaktır. Bu bulgu, güveni bir tutum, dayanmayı ise ayrı bir davranış olarak ele alan otomasyon alanyazınıyla uyumludur (Hoff ve Bashir, 2015; Lee ve See, 2004; Schemmer vd., 2023). ÜYZ’nin yeterliğine duyulan güven arttıkça eleştirel düşünme bildiriminin azaldığını, kişinin kendine duyduğu güven arttıkça ise arttığını gösteren bulgular da bu yöndedir (Lee vd., 2025). Ancak kabul her zaman güveni yansıtmaz. Başka kaynak bulamama, alışkanlık, acele ve puanlama koşulları da kabul gerekçesi olarak yer aldı. İki katılımcı kuşkularına rağmen çıktıyı kullandığını, biri ise kontrol gereğini bildiği hâlde alışkanlıkla ilerlediğini anlattı. Zaman baskısının ve doğrulama maliyetinin aşırı dayanmayı etkileyebildiğini gösteren bulgular bu açıklamalarla örtüşür (Goddard vd., 2012; Hu vd., 2026; Parasuraman ve Manzey, 2010; Vasconcelos vd., 2023). Alışkanlığın kullanım niyetinin güçlü bir yordayıcısı olduğunu gösteren bulgular da kabulün her zaman bir değerlendirme sonucunda verilmediğini düşündürür (Strzelecki, 2024). K21’nin düzgün kurulmuş cümlelere dayanan kabulü ise işleme kolaylığının doğruluk yargısında ipucu olarak kullanılmasına ilişkin açıklamalarla örtüşür (Alter ve Oppenheimer, 2009; Brashier ve Marsh, 2020; Reber ve Schwarz, 1999). ÜYZ bağlamında sohbet biçiminde sunumun ve uzun açıklamaların güveni doğruluğun ötesinde artırabildiğini gösteren deneysel bulgular da aynı yönü göstermektedir (Anderl vd., 2024; Steyvers vd., 2025).</w:t>
      </w:r>
    </w:p>
    <w:p>
      <w:pPr>
        <w:pStyle w:val="BodyText"/>
        <w:spacing w:line="240" w:lineRule="auto" w:before="120" w:after="120"/>
        <w:ind w:firstLine="567"/>
        <w:jc w:val="both"/>
      </w:pPr>
      <w:r>
        <w:rPr>
          <w:rFonts w:ascii="Calibri" w:hAnsi="Calibri" w:cs="Calibri" w:eastAsia="Calibri"/>
          <w:color w:val="000000"/>
          <w:sz w:val="24"/>
        </w:rPr>
        <w:t xml:space="preserve">Karşılaştırma işlemi farklı kararlara dayanak olabilmektedir. K10 kendi yanıtıyla karşılaştırmayı kabul gerekçesi yaparken K06 yanlış çıktı deneyiminden sonra çıktıları başka araçlarla karşılaştırmaya başladı. Değerlendirici yargı yaklaşımında bir ölçütü bilmek ile bu ölçütü belirli bir ürün hakkında karar verirken kullanmak ayrı önem taşır (Bearman vd., 2024; Tai vd., 2018). Değerlendirme açıklamalarındaki ayrıntı farkı ise bu ayrımın en belirgin sınırıdır. Yalnız dokuz katılımcı bir kontrol yolu adlandırdı, on katılımcı ise sorguladığını belirtip kontrolün nasıl yapıldığını açıklamadı. Bu fark üç biçimde açıklanabilir. Birincisi soru biçimidir, çünkü S12 kabulün gerekçesini doğrudan sormakta, kontrolün nasıl yapıldığını aynı açıklıkta sormamaktadır. İkincisi veri toplama biçimidir, çünkü yazılı form takip sorusuna izin vermediğinden kısa yanıtlar ayrıntılandırılamamıştır (LaDonna vd., 2018; O’Cathain ve Thomas, 2004). Üçüncüsü işlemin kendisine ilişkindir: belirli bir iddiayı dış bilgiyle karşılaştırma katılımcılar arasında gerçekten seyrek olabilir. Mevcut veri bu açıklamalar arasında seçim yapmaya elverişli değildir.</w:t>
      </w:r>
    </w:p>
    <w:p>
      <w:pPr>
        <w:pStyle w:val="BodyText"/>
        <w:spacing w:line="240" w:lineRule="auto" w:before="120" w:after="120"/>
        <w:ind w:firstLine="567"/>
        <w:jc w:val="both"/>
      </w:pPr>
      <w:r>
        <w:rPr>
          <w:rFonts w:ascii="Calibri" w:hAnsi="Calibri" w:cs="Calibri" w:eastAsia="Calibri"/>
          <w:color w:val="000000"/>
          <w:sz w:val="24"/>
        </w:rPr>
        <w:t xml:space="preserve">Bununla birlikte genel bir sorgulama bildirimi, doğrulama yeterliğinin kanıtı olarak okunmamalıdır. Sözel olarak dile getirilen izleme ile eyleme dökülen denetim farklı izler bırakabilmektedir (Li ve Liu, 2026). Doğrulamayı başlatma, doğrulamanın niteliği ve doğrulama başarısı da ayrı ölçme hedefleri olarak ele alınmaktadır (Wei ve Shang, 2026). Gençler yanlış bilgiyi fark etme yeteneklerini olduğundan yüksek görebilmektedir (Kops vd., 2025). ÜYZ ile çalışanlar da performanslarını olduğundan yüksek tahmin edebilmektedir (Fernandes vd., 2026; Prather vd., 2024). Türkiye’de matematik öğretmeni adaylarıyla yapılan bir çalışmada sözel sorulara verilen yanıtların doğruluğunun sorgulanmadığı gözlenmiştir (Kaplan, 2024). Öğretmen adaylarının YZ’nin işleyiş mekanizmalarını anlama düzeyinde belirgin eksiklikler olduğu da bildirilmiştir (Pei vd., 2025). PISA 2025’te Türkiye’deki öğrencilerin %68’i derslerinde YZ çıktısının niteliğini değerlendirme görevi aldığını bildirmiştir (OECD, 2026b). Bu gösterge değerlendirme becerisini değil, böyle bir öğrenme fırsatının varlığını gösterir.</w:t>
      </w:r>
    </w:p>
    <w:p>
      <w:pPr>
        <w:pStyle w:val="BodyText"/>
        <w:spacing w:line="240" w:lineRule="auto" w:before="120" w:after="120"/>
        <w:ind w:firstLine="567"/>
        <w:jc w:val="both"/>
      </w:pPr>
      <w:r>
        <w:rPr>
          <w:rFonts w:ascii="Calibri" w:hAnsi="Calibri" w:cs="Calibri" w:eastAsia="Calibri"/>
          <w:color w:val="000000"/>
          <w:sz w:val="24"/>
        </w:rPr>
        <w:t xml:space="preserve">Adlandırılan kontrol yollarının niteliği de farklıdır. Çıktıyı başka bir ÜYZ aracının çıktısıyla karşılaştırmak bir değerlendirme işlemidir. Ancak farklı modellerin hataları belirgin biçimde örtüşebildiğinden bu işlem, iddiayı araçtan bağımsız bir kaynakla karşılaştırmaya eşdeğer olmayabilir (Goel vd., 2025; Kim vd., 2025). Tek bir modelin açıklamalarına dayanmak da açıklama yanlış olduğunda aşırı dayanmaya yol açabilmektedir (Si vd., 2024). Yanal okuma yaklaşımı ise değerlendirmenin sayfadan çıkıp bağımsız kaynaklara başvurarak yapılmasını temel alır (Breakstone vd., 2021; McGrew, 2024; Wineburg ve McGrew, 2019). Bu çerçevede K41’nin çıktının kaynağını sorup özgün kaynağa gitmeye çalışması, bağımsız doğrulamaya en yakın açıklamadır. K41’nin eğitimde ölçme ve değerlendirme alanında yüksek lisans öğrencisi olması, bu yaklaşımın araştırma eğitimiyle ilişkili olabileceğini düşündürür. Ancak tek bir örnekten böyle bir ilişki çıkarılamaz. Araca sorarak yapılan kontrol ile dış kaynağa başvurarak yapılan kontrol bu nedenle ayrı raporlanmalıdır.</w:t>
      </w:r>
    </w:p>
    <w:p>
      <w:pPr>
        <w:pStyle w:val="BodyText"/>
        <w:spacing w:line="240" w:lineRule="auto" w:before="120" w:after="120"/>
        <w:ind w:firstLine="567"/>
        <w:jc w:val="both"/>
      </w:pPr>
      <w:r>
        <w:rPr>
          <w:rFonts w:ascii="Calibri" w:hAnsi="Calibri" w:cs="Calibri" w:eastAsia="Calibri"/>
          <w:color w:val="000000"/>
          <w:sz w:val="24"/>
        </w:rPr>
        <w:t xml:space="preserve">Hata deneyimi bu ayrımı zaman boyutuna taşır. Yanlış, eksik veya uydurma bilgiyle karşılaşma, sorgulamadan kullanım bildiren ve reddeden katılımcılarda benzer sayıda yer aldı. Bu bulgu, hata deneyiminin kabul kararını kendiliğinden değiştirmediğini düşündürür. Hata deneyimi bildiren katılımcılardan bazıları sonrasında uygulamasını değiştirdiğini (K06), bazıları daha sorgulayıcı olma niyetini (K18) belirtti. Otomasyon alanyazınında da hata gören kullanıcıların sisteme güveninin ve ona dayanmasının azalabildiği gösterilmiştir (Dietvorst vd., 2015; Dzindolet vd., 2003; Madhavan vd., 2006). Buna karşın halüsinasyonları fark eden bazı öğrencilerin araca dayanmayı sürdürdüğü de bildirilmiştir (Yeung vd., 2026). K40’in o dönemde bir şey hissetmediğini, ancak bugün aynı durumun kendisini utandırabileceğini söylemesi, kabul kararının görevin önemine göre değişebildiğini gösterir. Fen bilimleri öğretmen adaylarının kanıt standartlarını duruma göre ayarladığını gösteren bulgu da bu yorumu destekler (Hu vd., 2026). Aracın hata örüntüsü sürüme ve döneme göre değiştiği için (Aydın vd., 2026; Chelli vd., 2024; Walters ve Wilder, 2023), katılımcıların bildirdiği hata deneyimleri kullandıkları araca ve döneme bağlı deneyimler olarak okunmalıdır.</w:t>
      </w:r>
    </w:p>
    <w:p>
      <w:pPr>
        <w:pStyle w:val="BodyText"/>
        <w:spacing w:line="240" w:lineRule="auto" w:before="120" w:after="120"/>
        <w:ind w:firstLine="567"/>
        <w:jc w:val="both"/>
      </w:pPr>
      <w:r>
        <w:rPr>
          <w:rFonts w:ascii="Calibri" w:hAnsi="Calibri" w:cs="Calibri" w:eastAsia="Calibri"/>
          <w:color w:val="000000"/>
          <w:sz w:val="24"/>
        </w:rPr>
        <w:t xml:space="preserve">Üçüncü ayrım, araçsız güçlük algısı ile çalışmayı sürdürebilme arasındadır. Yirmi bir katılımcı araçsız tamamlayamayacağını düşündüğü bir an bildirdi. Bu bildirimlerin önemli bir bölümü görevin koşullarına bağlıdır ve bir bölümünde görev başka bir yolla sürdürülmüştür. K26 kütüphaneye giderek ilerledi, K43 ve K18 sonradan aracı gerekli görmediklerini anlattı. Böyle bir an yaşamadığını belirten katılımcıların bir bölümü ise araçsız çalışmanın maliyetini açıkça tanımladı. K40’in bir saatlik işin araçsız üç saat sürebileceğine ilişkin tahmini bu ayrımı açıkça gösterir: güçlük beklentisi, yapamama beklentisiyle aynı şey değildir. Yetersizlik veya körelme algısı da araçsız güçlük düşüncesinden bağımsız olarak bildirildi. Bu bulgular, yeterlik algısını becerinin korunmasından ayrı ele alan görüşlerle uyumludur (Macnamara vd., 2024). Deneysel çalışmalar, araç desteği kaldırıldığında performansın düşebildiğini ve araçla çalışmanın zihinsel çabayı azaltırken akıl yürütmenin derinliğini zayıflatabildiğini göstermektedir (Bastani vd., 2025; Darvishi vd., 2024; Stadler vd., 2024). YZ araçlarına ilişkin kesitsel bir araştırma da sık kullanım ile eleştirel düşünme arasındaki olumsuz ilişkiye bilişsel dışsallaştırmanın aracılık ettiğini bildirmiştir (Gerlich, 2025). Öte yandan bir meta-analizde bazı çalışmaların son testinde araç kullanımına izin verildiği, önemli bir bölümünde ise bu durumun belirtilmediği görülmüştür (Deng vd., 2025). Bu durum ürün niteliği ile öğrenmenin ayırt edilmesini güçleştirir. Bu nedenle performans kazancı ile öğrenmenin ayrı değerlendirilmesi önerilmektedir (Bauer vd., 2025; Soderstrom ve Bjork, 2015; Yan vd., 2025).</w:t>
      </w:r>
    </w:p>
    <w:p>
      <w:pPr>
        <w:pStyle w:val="BodyText"/>
        <w:spacing w:line="240" w:lineRule="auto" w:before="120" w:after="120"/>
        <w:ind w:firstLine="567"/>
        <w:jc w:val="both"/>
      </w:pPr>
      <w:r>
        <w:rPr>
          <w:rFonts w:ascii="Calibri" w:hAnsi="Calibri" w:cs="Calibri" w:eastAsia="Calibri"/>
          <w:color w:val="000000"/>
          <w:sz w:val="24"/>
        </w:rPr>
        <w:t xml:space="preserve">Bu araştırmadaki öznel açıklamalar, söz konusu etkileri doğrulamak veya çürütmek için kullanılamaz. Açıklamaların gösterdiği şey, geçmişte yaşanan bir güçlük anının, şimdiki yeterlik değerlendirmesinin ve varsayımsal bir güçlüğün aynı sorunun yanıtında iç içe geçebildiğidir. Türkiye’de öğretmen adaylarının çoğunun aracı kullanamadığında yetersizlik hissettiğini bildiren bulgu (Çelik, 2025) ile lisansüstü öğrencilerin yazma becerisinde gerileme kaygısı (Kayhan ve Eyüp, 2025) da bu çerçevede okunabilir. Bu üç içeriğin ayrı kodlanması, araçsız güçlüğü yetersizlikle eşitleyen okumaları önler.</w:t>
      </w:r>
    </w:p>
    <w:p>
      <w:pPr>
        <w:pStyle w:val="BodyText"/>
        <w:spacing w:line="240" w:lineRule="auto" w:before="120" w:after="120"/>
        <w:ind w:firstLine="567"/>
        <w:jc w:val="both"/>
      </w:pPr>
      <w:r>
        <w:rPr>
          <w:rFonts w:ascii="Calibri" w:hAnsi="Calibri" w:cs="Calibri" w:eastAsia="Calibri"/>
          <w:color w:val="000000"/>
          <w:sz w:val="24"/>
        </w:rPr>
        <w:t xml:space="preserve">Kullanımın düzenlenmesine ilişkin bulgular da aynı ayrımı destekler. Planlanan süreyi aşma çoğunlukla aracın istenen çıktıyı vermemesiyle açıklandı. Süreyi fark etmemeyi ise yalnız bir katılımcı bildirdi. ÜYZ ile çalışmada kullanıcının rolünün üretimden değerlendirmeye kaydığını ve bunun verimlilik kaybına yol açabildiğini gösteren tartışmalar bu örüntüyle örtüşür (Simkute vd., 2024; Tankelevitch vd., 2024). Süreyi aşan katılımcıların bir bölümünün daha iyi soru sormayı öğrendiğini belirtmesi de ÜYZ ile yardım aramanın geliştirilmesi gereken bir beceri olduğuna ilişkin bulgularla uyumludur (Hou vd., 2024; Tankelevitch vd., 2024; Tapan Broutin, 2024). İstenen çıktıya ulaşmak için etkileşimi uzatmak, kullanımı düzenleyememekle aynı deneyim değildir (Caplan, 2010). Buna karşılık en küçük soruyu bile araca sorma ve arama motoru yerine doğrudan araca başvurma alışkanlığı, kullanımın kapsamının genişlediğini gösterir. İnternete başvurmanın sonraki başvuruları artırabildiğini gösteren deneysel bulgular bu genişlemeyi anlamaya yardımcı olabilir (Storm vd., 2017).</w:t>
      </w:r>
    </w:p>
    <w:p>
      <w:pPr>
        <w:pStyle w:val="BodyText"/>
        <w:spacing w:line="240" w:lineRule="auto" w:before="120" w:after="120"/>
        <w:ind w:firstLine="567"/>
        <w:jc w:val="both"/>
      </w:pPr>
      <w:r>
        <w:rPr>
          <w:rFonts w:ascii="Calibri" w:hAnsi="Calibri" w:cs="Calibri" w:eastAsia="Calibri"/>
          <w:color w:val="000000"/>
          <w:sz w:val="24"/>
        </w:rPr>
        <w:t xml:space="preserve">Erişim kesintisine ilişkin tepkiler de kademelidir. Olumsuz duygu bildirimi yaygın olmakla birlikte katılımcıların önemli bir bölümü rutininin etkilenmediğini belirtti ve günlük yaşamın belirgin biçimde etkilendiğini bildirenler azınlıkta kaldı. Kota ve ücretli üyelik deneyimleri de erişimin ekonomik bir boyutunun olduğunu gösterir. Türkiye’de bazı öğretmen adaylarının ücretlendirme sorununu ücretsiz kullanım sınırlarını dikkatle yöneterek aşmaya çalıştığını bildiren bulgu bu deneyimle örtüşür (Özaydın Aydoğdu ve Aydoğdu, 2025). Kesintideki rahatsızlığı bağımlılığın kanıtı saymak ise olağan davranışları patolojik olarak yorumlama riski taşır (Billieux vd., 2015; Ciudad-Fernández vd., 2025). Türkiye’de son yıllarda çok sayıda YZ ve sohbet robotu bağımlılığı ölçeği uyarlanmış veya geliştirilmiştir (Alkan vd., 2026; Çakmak vd., 2026; Savaş, 2024; Seki vd., 2026; Totan vd., 2026). Kısa bir bağımlılık ölçeğinin akademik amaçla kullananlarda daha yüksek puan vermesi ise bu riskin bir örneğidir (Akbulut Zencirci, 2026). Bu çalışmada bağımlılık sözcüğü yalnız beş katılımcının yanıtında ve farklı anlamlarla yer aldı. K41’nin S4’te “henüz” sözcüğüyle kurduğu anlatım, bağımlılığı bir düzey olarak değil ulaşılmamış bir aşama olarak ele alır. Bu bulgu, araştırmacının verdiği adın katılımcının verdiği addan ayrı tutulması gerektiğini gösterir. Bu ayrımlar, ÜYZ kullanımına ilişkin ölçme araçları için de önemlidir. Bu araçlarda kullanım sıklığı ile işlevsel bağlılık, kabul ile değerlendirme ve güçlük algısı ile sürdürebilme ayrı içerikler olarak temsil edilmelidir (Sireci ve Faulkner-Bond, 2014).</w:t>
      </w:r>
    </w:p>
    <w:p>
      <w:pPr>
        <w:pStyle w:val="BodyText"/>
        <w:spacing w:line="240" w:lineRule="auto" w:before="120" w:after="120"/>
        <w:ind w:firstLine="567"/>
        <w:jc w:val="both"/>
      </w:pPr>
      <w:r>
        <w:rPr>
          <w:rFonts w:ascii="Calibri" w:hAnsi="Calibri" w:cs="Calibri" w:eastAsia="Calibri"/>
          <w:color w:val="000000"/>
          <w:sz w:val="24"/>
        </w:rPr>
        <w:t xml:space="preserve">Gizleme bildirimleri, kullanımın algılanan değerlendirme koşullarıyla ilişkisine işaret eder. Gizleme bildiren katılımcıların yarıya yakını gizlemeyi açıkça ödev, not veya öğretim elemanı bağlamında anlattı ve en sık gerekçe öğretim elemanı ile not kaygısıdır. Bu gerekçeler, öğrencilerin yaptırım korkusu, belirsiz yönergeler, yargılanma ve damgalanma kaygısıyla ÜYZ kullanımını beyan etmediğini gösteren çalışmalarla örtüşür (Adnin vd., 2025; Chang vd., 2026; Gonsalves, 2025; Kirsanov vd., 2026). Emek vermemiş veya kendi başına yapamaz görünme kaygısı, iş yeri deneylerinin bulgularıyla da uyumludur. Bu deneylerde YZ kullananlar daha tembel ve daha az yetkin algılanmış (Reif vd., 2025), kullanımını açıklayanlara da daha az güvenilmiştir (Schilke ve Reimann, 2025). Yükseköğretim kurumlarının yönergeleri derse özgü kararların önemli bir bölümünü öğretim elemanına bırakmaktadır (An vd., 2025; McDonald vd., 2025; Moorhouse vd., 2023). YÖK’ün etik rehberi de araştırma ve yayın faaliyetlerine odaklanmaktadır (YÖK, 2024). Bu koşullarda öğrencinin neyin kabul edilebilir olduğuna ilişkin belirsizlik yaşaması beklenebilir. Akademik usulsüzlüğün ÜYZ öncesinde de öğretmen adayları arasında bildirildiği hatırlanmalıdır (Özden vd., 2015). K43’nın ödeve günlerini harcayan kişi ile araca yaptıran kişinin aynı puanı aldığı gözlemi ise sorunun yalnız dürüstlük değil, değerlendirmenin geçerliği sorunu olduğunu gösterir (Corbin vd., 2025; Dawson vd., 2024). Dolayısıyla gizleme bildirimleri sorunlu kullanımın değil, kullanımın hangi koşullarda görünür kılındığının göstergesidir. Özel veya duygusal kullanımı gizleme bildirimleri ise bu makalenin akademik kapsamının dışında kalır.</w:t>
      </w:r>
    </w:p>
    <w:p>
      <w:pPr>
        <w:pStyle w:val="BodyText"/>
        <w:spacing w:line="240" w:lineRule="auto" w:before="120" w:after="120"/>
        <w:ind w:firstLine="567"/>
        <w:jc w:val="both"/>
      </w:pPr>
      <w:r>
        <w:rPr>
          <w:rFonts w:ascii="Calibri" w:hAnsi="Calibri" w:cs="Calibri" w:eastAsia="Calibri"/>
          <w:color w:val="000000"/>
          <w:sz w:val="24"/>
        </w:rPr>
        <w:t xml:space="preserve">Bulgular birlikte değerlendirildiğinde, aynı araca başvuran katılımcıların araca farklı işler devrettiği, çıktıyı farklı gerekçelerle kabul ettiği ve araçsız çalışmayı farklı biçimlerde sürdürdüğü görülmektedir. Bu farklılıklar tek bir yoğunluk eksenine kolayca indirgenemez. Risk farkındalığı daha yüksek öğrencilerin daha yüksek öz-yeterlik bildirmesi de temkin ile kullanımın bir arada bulunabildiğini düşündürür (Liu vd., 2026). Ölçme çalışmalarında bu ayrımın nasıl ortaya çıktığı ise henüz açık değildir. Sağlık bilimleri öğrencileriyle geliştirilen bir ölçekte bilişsel dayanma ile duygusal düzensizlik iki faktörde toplanmış, ancak bu faktörler yüksek düzeyde ilişkili bulunmuştur (Oleas vd., 2026). Bu makaledeki alt temalar ve kodlar, söz konusu deneyimlerin birbirinden ayrılan içeriklerini katılımcı ifadelerinden hareketle tanımlamaktadır.</w:t>
      </w:r>
    </w:p>
    <w:p>
      <w:pPr>
        <w:pStyle w:val="Heading1"/>
      </w:pPr>
      <w:r>
        <w:rPr>
          <w:rFonts w:ascii="Calibri" w:hAnsi="Calibri" w:cs="Calibri" w:eastAsia="Calibri"/>
          <w:b/>
          <w:i w:val="0"/>
          <w:color w:val="000000"/>
          <w:sz w:val="24"/>
        </w:rPr>
        <w:t xml:space="preserve">Sınırlılıklar</w:t>
      </w:r>
    </w:p>
    <w:p>
      <w:pPr>
        <w:pStyle w:val="FirstParagraph"/>
        <w:spacing w:line="240" w:lineRule="auto" w:before="120" w:after="120"/>
        <w:ind w:firstLine="567"/>
        <w:jc w:val="both"/>
      </w:pPr>
      <w:r>
        <w:rPr>
          <w:rFonts w:ascii="Calibri" w:hAnsi="Calibri" w:cs="Calibri" w:eastAsia="Calibri"/>
          <w:color w:val="000000"/>
          <w:sz w:val="24"/>
        </w:rPr>
        <w:t xml:space="preserve">Araştırma tek bir eğitim fakültesindeki gönüllülerin açıklamalarıyla sınırlıdır. Programlar eşit temsil edilmedi ve programlar arasında karşılaştırma yapılmadı. Çalışma grubunda lisans öğrencilerinin yanında eğitimde ölçme ve değerlendirme alanında iki yüksek lisans öğrencisi de yer almaktadır. Bu iki katılımcının açıklamaları ayrı bir grup olarak çözümlenmedi, ancak öğrenim düzeyinin önemli olabileceği yerlerde metinde belirtildi. Açıklamalar, katılımcıların hatırladıkları ve paylaşmayı seçtikleri deneyimleri içermektedir. Araştırmacılar ortak bir araç, kullanım dönemi veya görev belirlemedi. Bu koşullar, bulguların başka gruplara ve görevlere aktarımında dikkate alınmalıdır.</w:t>
      </w:r>
    </w:p>
    <w:p>
      <w:pPr>
        <w:pStyle w:val="BodyText"/>
        <w:spacing w:line="240" w:lineRule="auto" w:before="120" w:after="120"/>
        <w:ind w:firstLine="567"/>
        <w:jc w:val="both"/>
      </w:pPr>
      <w:r>
        <w:rPr>
          <w:rFonts w:ascii="Calibri" w:hAnsi="Calibri" w:cs="Calibri" w:eastAsia="Calibri"/>
          <w:color w:val="000000"/>
          <w:sz w:val="24"/>
        </w:rPr>
        <w:t xml:space="preserve">Veriler başka bir amaçla hazırlanmış bir form üzerinden ikincil olarak çözümlendi. Formun kullanım güçlüklerine ağırlık veren soruları, anlatılan deneyimlerin kapsamını etkilemiş olabilir. Düşünme, planlama ve değerlendirme işlerinin öğrenci ile araç arasında nasıl paylaşıldığı doğrudan ve eşit ayrıntıda sorulmamıştır. Yazılı yanıtların kısa olduğu durumlarda anlam takip sorularıyla derinleştirilemedi. Kullanım kayıtları, görev ürünleri ve bağımsız performans ölçümleri bulunmadığından bildirilen uygulamaların gerçekleşmesi ve başarısı değerlendirilemedi. Öğrencilerin kendi öğrenmelerine ilişkin algıları ölçülen performanstan ayrışabildiğinden (Bastani vd., 2025; Fernandes vd., 2026), bildirimler yalnız bildirim düzeyinde yorumlanmalıdır. Aracın hata örüntüsü sürüme ve döneme göre değiştiği için bildirilen deneyimler verinin toplandığı döneme bağlıdır.</w:t>
      </w:r>
    </w:p>
    <w:p>
      <w:pPr>
        <w:pStyle w:val="BodyText"/>
        <w:spacing w:line="240" w:lineRule="auto" w:before="120" w:after="120"/>
        <w:ind w:firstLine="567"/>
        <w:jc w:val="both"/>
      </w:pPr>
      <w:r>
        <w:rPr>
          <w:rFonts w:ascii="Calibri" w:hAnsi="Calibri" w:cs="Calibri" w:eastAsia="Calibri"/>
          <w:color w:val="000000"/>
          <w:sz w:val="24"/>
        </w:rPr>
        <w:t xml:space="preserve">Frekanslar katılımcıların açık bildirimlerine dayanmaktadır. Bir kodun düşük frekansı, ilgili deneyimin seyrek olduğunu değil, bu deneyimin seyrek bildirildiğini gösterir. Sorgulama bildirip kontrol yolunu açıklamayan katılımcıların sayısı bu sınırın en belirgin örneğidir. Kod kitabının yapısı ve kodlama kararları bu makaleye özgüdür. İkinci turdaki karar kuralları ve üçüncü turdaki birleştirmeler bazı frekansları değiştirmiştir. Aynı verinin farklı bir kod yapısıyla çözümlenmesi farklı frekanslar üretebilir. Başlangıçtaki kuramsal yönelim de bazı içeriklerin daha ayrıntılı incelenmesine yol açmış olabilir. Model tabanlı ikinci kodlama yalnız karar kurallarının açıklığını sınamak için kullanıldı ve insan kodlamasının yerine konmadı. Kodlayıcılar arasındaki uyuşma ise katılımcıların bildirdiği uygulamaların doğruluğuna ilişkin bağımsız kanıt sağlamaz.</w:t>
      </w:r>
    </w:p>
    <w:p>
      <w:pPr>
        <w:pStyle w:val="Heading1"/>
      </w:pPr>
      <w:r>
        <w:rPr>
          <w:rFonts w:ascii="Calibri" w:hAnsi="Calibri" w:cs="Calibri" w:eastAsia="Calibri"/>
          <w:b/>
          <w:i w:val="0"/>
          <w:color w:val="000000"/>
          <w:sz w:val="24"/>
        </w:rPr>
        <w:t xml:space="preserve">Sonuç ve Öneriler</w:t>
      </w:r>
    </w:p>
    <w:p>
      <w:pPr>
        <w:pStyle w:val="FirstParagraph"/>
        <w:spacing w:line="240" w:lineRule="auto" w:before="120" w:after="120"/>
        <w:ind w:firstLine="567"/>
        <w:jc w:val="both"/>
      </w:pPr>
      <w:r>
        <w:rPr>
          <w:rFonts w:ascii="Calibri" w:hAnsi="Calibri" w:cs="Calibri" w:eastAsia="Calibri"/>
          <w:color w:val="000000"/>
          <w:sz w:val="24"/>
        </w:rPr>
        <w:t xml:space="preserve">Bu araştırmadaki eğitim fakültesi öğrencilerinin açıklamaları, ÜYZ’den yardım arama ve yardım almanın kaynak seçimi, çıktı değerlendirme ve çalışmayı sürdürme bakımından birbirinden ayrılan deneyimler içerdiğini göstermektedir. Aynı araca başvuran katılımcılar araca farklı işler devretmekte, kendi katkılarını farklı biçimlerde tanımlamakta ve benzer kullanım kararlarını farklı gerekçelere dayandırmaktadır. Araca öncelik vermek, yalnız iki katılımcının açıklamasında insan desteğini bütünüyle bırakma biçiminde anlatılmıştır. Çıktıyı kabul etmek her zaman güvene, sorguladığını söylemek her zaman adlandırılmış bir kontrol yoluna dayanmamaktadır. Araçsız çalışmayı güç bulmak da her zaman yapamamak anlamına gelmemekte, bazı açıklamalarda daha uzun sürecek bir çabanın beklenmesini ifade etmektedir. Sorgulamadan kabul ile değerlendirme işlemi, güçlük algısı ile sürdürebilme ve artış bildirimi ile azaltma çabası aynı katılımcının açıklamalarında birlikte bulunabilmektedir. Bu nedenle ÜYZ kullanımının eğitsel anlamı, kullanımın varlığı veya sıklığı kadar öğrencinin neyi, hangi dayanakla ve hangi koşullarda yaptığına da bakılarak değerlendirilmelidir.</w:t>
      </w:r>
    </w:p>
    <w:p>
      <w:pPr>
        <w:pStyle w:val="BodyText"/>
        <w:spacing w:line="240" w:lineRule="auto" w:before="120" w:after="120"/>
        <w:ind w:firstLine="567"/>
        <w:jc w:val="both"/>
      </w:pPr>
      <w:r>
        <w:rPr>
          <w:rFonts w:ascii="Calibri" w:hAnsi="Calibri" w:cs="Calibri" w:eastAsia="Calibri"/>
          <w:color w:val="000000"/>
          <w:sz w:val="24"/>
        </w:rPr>
        <w:t xml:space="preserve">Bu sonuçlar doğrultusunda öğretmen eğitimi ve sonraki araştırmalar için şu öneriler geliştirilebilir. Öğretmen adaylarından ÜYZ çıktısındaki belirli bir iddiayı araçtan bağımsız bir kaynakla karşılaştırmaları ve kabul, değiştirme veya reddetme kararlarını gerekçelendirmeleri istenebilir. Bu yaklaşım değerlendirici yargının belirli ürünler üzerinde geliştirilmesine ve yanal okumanın öğretimine uygundur (Bearman vd., 2024; Brodsky vd., 2021; Kozyreva vd., 2024; McGrew, 2024; Tai vd., 2018). Ortaöğretim öğrencilerine sağlık iddialarını değerlendirmeyi öğreten bir müdahalenin etkisi bir yıl sonra büyük ölçüde korunmuş, ancak azalmıştır (Chesire vd., 2024). Bu nedenle bu çalışmaların programa yayılan tekrarlarla desteklenmesi yararlı olabilir. Görevler öğrencinin başlangıç düşüncesini ve sonraki değişikliklerini görünür kılacak biçimde de tasarlanabilir. Araca sormadan önce kendi yanıtını yazmak, istem değişikliklerini belgelemek ve öz-izleme listeleri kullanmak bu amaca hizmet edebilir (Buçinca vd., 2021; Darvishi vd., 2024; Tankelevitch vd., 2024). Yanıtı doğrudan vermek yerine ipucu sunan araç tasarımları da öğrenmeyi korumaya yardımcı olabilir (Bastani vd., 2025). Kullanımı gizleme bildirimleri, ders ve ödev düzeyindeki kullanım ve beyan ilkelerinin açık biçimde belirlenmesi ve öğrencilerle tartışılması gerektiğini düşündürmektedir (An vd., 2025; Gonsalves, 2025; Kirsanov vd., 2026). YÖK’ün etik rehberi araştırma ve yayın faaliyetlerine odaklandığından (YÖK, 2024), eğitim fakültelerinin ders ve ödev düzeyinde tamamlayıcı ilkeler geliştirmesi yararlı olabilir. Değerlendirme tasarımı da ürünün yanında süreci görünür kılarak geçerliği güçlendirmelidir (Corbin vd., 2025; Dawson vd., 2024). Öğretim elemanına ve akran desteğine erişim bu sürecin bir parçası olarak ele alınmalıdır. İleri araştırmalarda yazılı açıklamalar görüşmeler, gönüllü olarak paylaşılan etkileşim kayıtları ve araçsız görev ürünleriyle birlikte incelenebilir (Johnston vd., 2025; Li ve Liu, 2026; Wei ve Shang, 2026). Çıktı değerlendirmesini soran veri toplama araçlarında kontrolün nasıl yapıldığı, hangi kaynağa bakıldığı ve kontrolün sonucu ayrı ayrı sorulmalıdır. Sorunlu kullanıma yönelik ölçme çalışmaları da kullanım yoğunluğunun yanında sürdürülemeyen görevleri, değerlendirme güçlüklerini ve kişinin kendi katkısını ayrı içerikler olarak ele almalıdır. Önerilen uygulamaların etkililiği bu araştırmada sınanmamıştır.</w:t>
      </w:r>
    </w:p>
    <w:p>
      <w:pPr>
        <w:pStyle w:val="Heading1"/>
      </w:pPr>
      <w:r>
        <w:rPr>
          <w:rFonts w:ascii="Calibri" w:hAnsi="Calibri" w:cs="Calibri" w:eastAsia="Calibri"/>
          <w:b/>
          <w:i w:val="0"/>
          <w:color w:val="000000"/>
          <w:sz w:val="24"/>
        </w:rPr>
        <w:t xml:space="preserve">Yapay Zekâ ve Yapay Zekâ Destekli Teknolojilerin Kullanım Beyanı</w:t>
      </w:r>
    </w:p>
    <w:p>
      <w:pPr>
        <w:pStyle w:val="FirstParagraph"/>
        <w:spacing w:line="240" w:lineRule="auto" w:before="120" w:after="120"/>
        <w:ind w:firstLine="567"/>
        <w:jc w:val="both"/>
      </w:pPr>
      <w:r>
        <w:rPr>
          <w:rFonts w:ascii="Calibri" w:hAnsi="Calibri" w:cs="Calibri" w:eastAsia="Calibri"/>
          <w:color w:val="000000"/>
          <w:sz w:val="24"/>
        </w:rPr>
        <w:t xml:space="preserve">Yazarlar makalenin hazırlanmasında Claude ve ChatGPT’den yararlandı. Analiz sürecinde bu araçlar, araştırmacıların belirlediği çerçeve içinde aday kod atamaları ve dayanak parçaları üretmek, kod kitabı taslağı ve denetim tablosu oluşturmak için kullanıldı. Karar kurallarının açıklığını sınamak için model tabanlı ikinci bir kodlama da bu araçlarla yapıldı. Yazım sürecinde ise kaynak taraması, künye doğrulama, taslak oluşturma, dil düzenleme ve belge hazırlama amacıyla kullanıldı. Model çıktıları, insan yürütümündeki analitik sürecin içinde kullanılan yardımcı araçlar olarak ele alındı ve bağımsız insan kodlaması yerine konmadı. </w:t>
      </w:r>
      <w:r>
        <w:rPr>
          <w:iCs/>
          <w:rFonts w:ascii="Calibri" w:hAnsi="Calibri" w:cs="Calibri" w:eastAsia="Calibri"/>
          <w:i/>
          <w:color w:val="000000"/>
          <w:sz w:val="24"/>
          <w:highlight w:val="yellow"/>
        </w:rPr>
        <w:t xml:space="preserve">[YAZAR ONAYI GEREKLİ: Yanıtların araçlara kimlik bilgisi içermeyecek biçimde aktarıldığı ve bütün kod atamalarının araştırmacılarca ham yanıtlar üzerinden doğrulandığı bilgisi.]</w:t>
      </w:r>
      <w:r>
        <w:rPr>
          <w:rFonts w:ascii="Calibri" w:hAnsi="Calibri" w:cs="Calibri" w:eastAsia="Calibri"/>
          <w:color w:val="000000"/>
          <w:sz w:val="24"/>
        </w:rPr>
        <w:t xml:space="preserve"> Metnin doğruluğu, yorumların dayanakları ve nihai analitik kararların sorumluluğu yazarlara aittir (Resnik ve Hosseini, 2025).</w:t>
      </w:r>
    </w:p>
    <w:p>
      <w:pPr>
        <w:pStyle w:val="Heading1"/>
      </w:pPr>
      <w:r>
        <w:rPr>
          <w:rFonts w:ascii="Calibri" w:hAnsi="Calibri" w:cs="Calibri" w:eastAsia="Calibri"/>
          <w:b/>
          <w:i w:val="0"/>
          <w:color w:val="000000"/>
          <w:sz w:val="24"/>
        </w:rPr>
        <w:t xml:space="preserve">Beyanlar</w:t>
      </w:r>
    </w:p>
    <w:p>
      <w:pPr>
        <w:pStyle w:val="FirstParagraph"/>
        <w:spacing w:line="240" w:lineRule="auto" w:before="120" w:after="120"/>
        <w:ind w:firstLine="567"/>
        <w:jc w:val="both"/>
      </w:pPr>
      <w:r>
        <w:rPr>
          <w:iCs/>
          <w:rFonts w:ascii="Calibri" w:hAnsi="Calibri" w:cs="Calibri" w:eastAsia="Calibri"/>
          <w:i/>
          <w:color w:val="000000"/>
          <w:sz w:val="24"/>
        </w:rPr>
        <w:t xml:space="preserve">Çıkar çatışması: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Yazar katkıları:</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BodyText"/>
        <w:spacing w:line="240" w:lineRule="auto" w:before="120" w:after="120"/>
        <w:ind w:firstLine="567"/>
        <w:jc w:val="both"/>
      </w:pPr>
      <w:r>
        <w:rPr>
          <w:iCs/>
          <w:rFonts w:ascii="Calibri" w:hAnsi="Calibri" w:cs="Calibri" w:eastAsia="Calibri"/>
          <w:i/>
          <w:color w:val="000000"/>
          <w:sz w:val="24"/>
        </w:rPr>
        <w:t xml:space="preserve">Finansman:</w:t>
      </w:r>
      <w:r>
        <w:rPr>
          <w:rFonts w:ascii="Calibri" w:hAnsi="Calibri" w:cs="Calibri" w:eastAsia="Calibri"/>
          <w:color w:val="000000"/>
          <w:sz w:val="24"/>
        </w:rPr>
        <w:t xml:space="preserve"> </w:t>
      </w:r>
      <w:r>
        <w:rPr>
          <w:rFonts w:ascii="Calibri" w:hAnsi="Calibri" w:cs="Calibri" w:eastAsia="Calibri"/>
          <w:color w:val="000000"/>
          <w:sz w:val="24"/>
          <w:highlight w:val="yellow"/>
        </w:rPr>
        <w:t xml:space="preserve">[YAZAR BİLGİSİ GEREKLİ]</w:t>
      </w:r>
    </w:p>
    <w:p>
      <w:pPr>
        <w:pStyle w:val="Heading1"/>
      </w:pPr>
      <w:r>
        <w:rPr>
          <w:rFonts w:ascii="Calibri" w:hAnsi="Calibri" w:cs="Calibri" w:eastAsia="Calibri"/>
          <w:b/>
          <w:i w:val="0"/>
          <w:color w:val="000000"/>
          <w:sz w:val="24"/>
        </w:rPr>
        <w:t xml:space="preserve">Kaynakça</w:t>
      </w:r>
    </w:p>
    <w:p>
      <w:pPr>
        <w:pStyle w:val="FirstParagraph"/>
        <w:spacing w:line="240" w:lineRule="auto" w:before="0" w:after="120"/>
        <w:ind w:left="567" w:hanging="567"/>
        <w:jc w:val="left"/>
      </w:pPr>
      <w:r>
        <w:rPr>
          <w:rFonts w:ascii="Calibri" w:hAnsi="Calibri" w:cs="Calibri" w:eastAsia="Calibri"/>
          <w:color w:val="000000"/>
          <w:sz w:val="24"/>
        </w:rPr>
        <w:t xml:space="preserve">Abbas, M., Jam, F. A. ve Khan, T. I. (2024). Is it harmful or helpful? Examining the causes and consequences of generative AI usage among university students.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10. https://doi.org/10.1186/s41239-024-00444-7</w:t>
      </w:r>
    </w:p>
    <w:p>
      <w:pPr>
        <w:pStyle w:val="BodyText"/>
        <w:spacing w:line="240" w:lineRule="auto" w:before="0" w:after="120"/>
        <w:ind w:left="567" w:hanging="567"/>
        <w:jc w:val="left"/>
      </w:pPr>
      <w:r>
        <w:rPr>
          <w:rFonts w:ascii="Calibri" w:hAnsi="Calibri" w:cs="Calibri" w:eastAsia="Calibri"/>
          <w:color w:val="000000"/>
          <w:sz w:val="24"/>
        </w:rPr>
        <w:t xml:space="preserve">Adnin, R., Pandkar, A., Yao, B., Wang, D. ve Das, M. (2025). Examining student and teacher perspectives on undisclosed use of generative AI in academic work.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(pp. 1–17). Association for Computing Machinery. https://doi.org/10.1145/3706598.3713393</w:t>
      </w:r>
    </w:p>
    <w:p>
      <w:pPr>
        <w:pStyle w:val="BodyText"/>
        <w:spacing w:line="240" w:lineRule="auto" w:before="0" w:after="120"/>
        <w:ind w:left="567" w:hanging="567"/>
        <w:jc w:val="left"/>
      </w:pPr>
      <w:r>
        <w:rPr>
          <w:rFonts w:ascii="Calibri" w:hAnsi="Calibri" w:cs="Calibri" w:eastAsia="Calibri"/>
          <w:color w:val="000000"/>
          <w:sz w:val="24"/>
        </w:rPr>
        <w:t xml:space="preserve">Akbulut Zencirci, S. (2026). Assessment of dependence on artificial intelligence and associated factors among medical students. </w:t>
      </w:r>
      <w:r>
        <w:rPr>
          <w:iCs/>
          <w:rFonts w:ascii="Calibri" w:hAnsi="Calibri" w:cs="Calibri" w:eastAsia="Calibri"/>
          <w:i/>
          <w:color w:val="000000"/>
          <w:sz w:val="24"/>
        </w:rPr>
        <w:t xml:space="preserve">ESTÜDAM Halk Sağlığı Dergisi, 11</w:t>
      </w:r>
      <w:r>
        <w:rPr>
          <w:rFonts w:ascii="Calibri" w:hAnsi="Calibri" w:cs="Calibri" w:eastAsia="Calibri"/>
          <w:color w:val="000000"/>
          <w:sz w:val="24"/>
        </w:rPr>
        <w:t xml:space="preserve">(2), 131–140. https://doi.org/10.35232/estudamhsd.1915530</w:t>
      </w:r>
    </w:p>
    <w:p>
      <w:pPr>
        <w:pStyle w:val="BodyText"/>
        <w:spacing w:line="240" w:lineRule="auto" w:before="0" w:after="120"/>
        <w:ind w:left="567" w:hanging="567"/>
        <w:jc w:val="left"/>
      </w:pPr>
      <w:r>
        <w:rPr>
          <w:rFonts w:ascii="Calibri" w:hAnsi="Calibri" w:cs="Calibri" w:eastAsia="Calibri"/>
          <w:color w:val="000000"/>
          <w:sz w:val="24"/>
        </w:rPr>
        <w:t xml:space="preserve">Aksoy, D. A. ve Akyel, A. K. (2026). Acceptance and usage patterns of generative artificial intelligence among higher education students. </w:t>
      </w:r>
      <w:r>
        <w:rPr>
          <w:iCs/>
          <w:rFonts w:ascii="Calibri" w:hAnsi="Calibri" w:cs="Calibri" w:eastAsia="Calibri"/>
          <w:i/>
          <w:color w:val="000000"/>
          <w:sz w:val="24"/>
        </w:rPr>
        <w:t xml:space="preserve">Educational Academic Research</w:t>
      </w:r>
      <w:r>
        <w:rPr>
          <w:rFonts w:ascii="Calibri" w:hAnsi="Calibri" w:cs="Calibri" w:eastAsia="Calibri"/>
          <w:color w:val="000000"/>
          <w:sz w:val="24"/>
        </w:rPr>
        <w:t xml:space="preserve">, (61), 69–78. https://doi.org/10.33418/education.1822770</w:t>
      </w:r>
    </w:p>
    <w:p>
      <w:pPr>
        <w:pStyle w:val="BodyText"/>
        <w:spacing w:line="240" w:lineRule="auto" w:before="0" w:after="120"/>
        <w:ind w:left="567" w:hanging="567"/>
        <w:jc w:val="left"/>
      </w:pPr>
      <w:r>
        <w:rPr>
          <w:rFonts w:ascii="Calibri" w:hAnsi="Calibri" w:cs="Calibri" w:eastAsia="Calibri"/>
          <w:color w:val="000000"/>
          <w:sz w:val="24"/>
        </w:rPr>
        <w:t xml:space="preserve">Alkan, D., Boduroğlu, E. ve Yiğiter, M. S. (2026). Adaptation and validation of the generative AI dependency scale: Evidence from construct validity, reliability and measurement invariance.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1908473. https://doi.org/10.3389/fpsyg.2026.1908473</w:t>
      </w:r>
    </w:p>
    <w:p>
      <w:pPr>
        <w:pStyle w:val="BodyText"/>
        <w:spacing w:line="240" w:lineRule="auto" w:before="0" w:after="120"/>
        <w:ind w:left="567" w:hanging="567"/>
        <w:jc w:val="left"/>
      </w:pPr>
      <w:r>
        <w:rPr>
          <w:rFonts w:ascii="Calibri" w:hAnsi="Calibri" w:cs="Calibri" w:eastAsia="Calibri"/>
          <w:color w:val="000000"/>
          <w:sz w:val="24"/>
        </w:rPr>
        <w:t xml:space="preserve">Alter, A. L. ve Oppenheimer, D. M. (2009). Uniting the tribes of fluency to form a metacognitive nation. </w:t>
      </w:r>
      <w:r>
        <w:rPr>
          <w:iCs/>
          <w:rFonts w:ascii="Calibri" w:hAnsi="Calibri" w:cs="Calibri" w:eastAsia="Calibri"/>
          <w:i/>
          <w:color w:val="000000"/>
          <w:sz w:val="24"/>
        </w:rPr>
        <w:t xml:space="preserve">Personality and Social Psychology Review, 13</w:t>
      </w:r>
      <w:r>
        <w:rPr>
          <w:rFonts w:ascii="Calibri" w:hAnsi="Calibri" w:cs="Calibri" w:eastAsia="Calibri"/>
          <w:color w:val="000000"/>
          <w:sz w:val="24"/>
        </w:rPr>
        <w:t xml:space="preserve">(3), 219–235. https://doi.org/10.1177/1088868309341564</w:t>
      </w:r>
    </w:p>
    <w:p>
      <w:pPr>
        <w:pStyle w:val="BodyText"/>
        <w:spacing w:line="240" w:lineRule="auto" w:before="0" w:after="120"/>
        <w:ind w:left="567" w:hanging="567"/>
        <w:jc w:val="left"/>
      </w:pPr>
      <w:r>
        <w:rPr>
          <w:rFonts w:ascii="Calibri" w:hAnsi="Calibri" w:cs="Calibri" w:eastAsia="Calibri"/>
          <w:color w:val="000000"/>
          <w:sz w:val="24"/>
        </w:rPr>
        <w:t xml:space="preserve">An, Y., Yu, J. H. ve James, S. (2025). Investigating the higher education institutions’ guidelines and policies regarding the use of generative AI in teaching, learning, research, and administration. </w:t>
      </w:r>
      <w:r>
        <w:rPr>
          <w:iCs/>
          <w:rFonts w:ascii="Calibri" w:hAnsi="Calibri" w:cs="Calibri" w:eastAsia="Calibri"/>
          <w:i/>
          <w:color w:val="000000"/>
          <w:sz w:val="24"/>
        </w:rPr>
        <w:t xml:space="preserve">International Journal of Educational Technology in Higher Education, 22</w:t>
      </w:r>
      <w:r>
        <w:rPr>
          <w:rFonts w:ascii="Calibri" w:hAnsi="Calibri" w:cs="Calibri" w:eastAsia="Calibri"/>
          <w:color w:val="000000"/>
          <w:sz w:val="24"/>
        </w:rPr>
        <w:t xml:space="preserve">(1), Article 10. https://doi.org/10.1186/s41239-025-00507-3</w:t>
      </w:r>
    </w:p>
    <w:p>
      <w:pPr>
        <w:pStyle w:val="BodyText"/>
        <w:spacing w:line="240" w:lineRule="auto" w:before="0" w:after="120"/>
        <w:ind w:left="567" w:hanging="567"/>
        <w:jc w:val="left"/>
      </w:pPr>
      <w:r>
        <w:rPr>
          <w:rFonts w:ascii="Calibri" w:hAnsi="Calibri" w:cs="Calibri" w:eastAsia="Calibri"/>
          <w:color w:val="000000"/>
          <w:sz w:val="24"/>
        </w:rPr>
        <w:t xml:space="preserve">Anderl, C., Klein, S. H., Sarigül, B., Schneider, F. M., Han, J., Fiedler, P. L. ve Utz, S. (2024). Conversational presentation mode increases credibility judgements during information search with ChatGPT. </w:t>
      </w:r>
      <w:r>
        <w:rPr>
          <w:iCs/>
          <w:rFonts w:ascii="Calibri" w:hAnsi="Calibri" w:cs="Calibri" w:eastAsia="Calibri"/>
          <w:i/>
          <w:color w:val="000000"/>
          <w:sz w:val="24"/>
        </w:rPr>
        <w:t xml:space="preserve">Scientific Reports, 14</w:t>
      </w:r>
      <w:r>
        <w:rPr>
          <w:rFonts w:ascii="Calibri" w:hAnsi="Calibri" w:cs="Calibri" w:eastAsia="Calibri"/>
          <w:color w:val="000000"/>
          <w:sz w:val="24"/>
        </w:rPr>
        <w:t xml:space="preserve">(1), Article 17127. https://doi.org/10.1038/s41598-024-67829-6</w:t>
      </w:r>
    </w:p>
    <w:p>
      <w:pPr>
        <w:pStyle w:val="BodyText"/>
        <w:spacing w:line="240" w:lineRule="auto" w:before="0" w:after="120"/>
        <w:ind w:left="567" w:hanging="567"/>
        <w:jc w:val="left"/>
      </w:pPr>
      <w:r>
        <w:rPr>
          <w:rFonts w:ascii="Calibri" w:hAnsi="Calibri" w:cs="Calibri" w:eastAsia="Calibri"/>
          <w:color w:val="000000"/>
          <w:sz w:val="24"/>
        </w:rPr>
        <w:t xml:space="preserve">Aruğaslan, E. (2025). Doktora öğrencilerinin yapay zekâ kullanımı üzerine nitel bir çalışma. </w:t>
      </w:r>
      <w:r>
        <w:rPr>
          <w:iCs/>
          <w:rFonts w:ascii="Calibri" w:hAnsi="Calibri" w:cs="Calibri" w:eastAsia="Calibri"/>
          <w:i/>
          <w:color w:val="000000"/>
          <w:sz w:val="24"/>
        </w:rPr>
        <w:t xml:space="preserve">Üniversite Araştırmaları Dergisi, 8</w:t>
      </w:r>
      <w:r>
        <w:rPr>
          <w:rFonts w:ascii="Calibri" w:hAnsi="Calibri" w:cs="Calibri" w:eastAsia="Calibri"/>
          <w:color w:val="000000"/>
          <w:sz w:val="24"/>
        </w:rPr>
        <w:t xml:space="preserve">(1), 36–53. https://doi.org/10.32329/uad.1557111</w:t>
      </w:r>
    </w:p>
    <w:p>
      <w:pPr>
        <w:pStyle w:val="BodyText"/>
        <w:spacing w:line="240" w:lineRule="auto" w:before="0" w:after="120"/>
        <w:ind w:left="567" w:hanging="567"/>
        <w:jc w:val="left"/>
      </w:pPr>
      <w:r>
        <w:rPr>
          <w:rFonts w:ascii="Calibri" w:hAnsi="Calibri" w:cs="Calibri" w:eastAsia="Calibri"/>
          <w:color w:val="000000"/>
          <w:sz w:val="24"/>
        </w:rPr>
        <w:t xml:space="preserve">Assarroudi, A., Heshmati Nabavi, F., Armat, M. R., Ebadi, A. ve Vaismoradi, M. (2018). Directed qualitative content analysis: The description and elaboration of its underpinning methods and data analysis process. </w:t>
      </w:r>
      <w:r>
        <w:rPr>
          <w:iCs/>
          <w:rFonts w:ascii="Calibri" w:hAnsi="Calibri" w:cs="Calibri" w:eastAsia="Calibri"/>
          <w:i/>
          <w:color w:val="000000"/>
          <w:sz w:val="24"/>
        </w:rPr>
        <w:t xml:space="preserve">Journal of Research in Nursing, 23</w:t>
      </w:r>
      <w:r>
        <w:rPr>
          <w:rFonts w:ascii="Calibri" w:hAnsi="Calibri" w:cs="Calibri" w:eastAsia="Calibri"/>
          <w:color w:val="000000"/>
          <w:sz w:val="24"/>
        </w:rPr>
        <w:t xml:space="preserve">(1), 42–55. https://doi.org/10.1177/1744987117741667</w:t>
      </w:r>
    </w:p>
    <w:p>
      <w:pPr>
        <w:pStyle w:val="BodyText"/>
        <w:spacing w:line="240" w:lineRule="auto" w:before="0" w:after="120"/>
        <w:ind w:left="567" w:hanging="567"/>
        <w:jc w:val="left"/>
      </w:pPr>
      <w:r>
        <w:rPr>
          <w:rFonts w:ascii="Calibri" w:hAnsi="Calibri" w:cs="Calibri" w:eastAsia="Calibri"/>
          <w:color w:val="000000"/>
          <w:sz w:val="24"/>
        </w:rPr>
        <w:t xml:space="preserve">Ateş, Ö. ve Mersinoğlu, B. (2026). A descriptive content analysis of artificial intelligence studies with in-service and pre-service primary school teachers in Türkiye. </w:t>
      </w:r>
      <w:r>
        <w:rPr>
          <w:iCs/>
          <w:rFonts w:ascii="Calibri" w:hAnsi="Calibri" w:cs="Calibri" w:eastAsia="Calibri"/>
          <w:i/>
          <w:color w:val="000000"/>
          <w:sz w:val="24"/>
        </w:rPr>
        <w:t xml:space="preserve">Bartın Üniversitesi Eğitim Fakültesi Dergisi, 15</w:t>
      </w:r>
      <w:r>
        <w:rPr>
          <w:rFonts w:ascii="Calibri" w:hAnsi="Calibri" w:cs="Calibri" w:eastAsia="Calibri"/>
          <w:color w:val="000000"/>
          <w:sz w:val="24"/>
        </w:rPr>
        <w:t xml:space="preserve">(2), 605–625. https://doi.org/10.14686/buefad.1820031</w:t>
      </w:r>
    </w:p>
    <w:p>
      <w:pPr>
        <w:pStyle w:val="BodyText"/>
        <w:spacing w:line="240" w:lineRule="auto" w:before="0" w:after="120"/>
        <w:ind w:left="567" w:hanging="567"/>
        <w:jc w:val="left"/>
      </w:pPr>
      <w:r>
        <w:rPr>
          <w:rFonts w:ascii="Calibri" w:hAnsi="Calibri" w:cs="Calibri" w:eastAsia="Calibri"/>
          <w:color w:val="000000"/>
          <w:sz w:val="24"/>
        </w:rPr>
        <w:t xml:space="preserve">Aydın, M. O., Vatansever, A. ve Erer Kafa, S. (2026). From hallucination to precision: A longitudinal analysis of reference accuracy and plagiarism in AI-generated medical literature (2024–2026). </w:t>
      </w:r>
      <w:r>
        <w:rPr>
          <w:iCs/>
          <w:rFonts w:ascii="Calibri" w:hAnsi="Calibri" w:cs="Calibri" w:eastAsia="Calibri"/>
          <w:i/>
          <w:color w:val="000000"/>
          <w:sz w:val="24"/>
        </w:rPr>
        <w:t xml:space="preserve">Uludağ Üniversitesi Tıp Fakültesi Dergisi, 52</w:t>
      </w:r>
      <w:r>
        <w:rPr>
          <w:rFonts w:ascii="Calibri" w:hAnsi="Calibri" w:cs="Calibri" w:eastAsia="Calibri"/>
          <w:color w:val="000000"/>
          <w:sz w:val="24"/>
        </w:rPr>
        <w:t xml:space="preserve">, Article 1870116. https://doi.org/10.32708/uutfd.1870116</w:t>
      </w:r>
    </w:p>
    <w:p>
      <w:pPr>
        <w:pStyle w:val="BodyText"/>
        <w:spacing w:line="240" w:lineRule="auto" w:before="0" w:after="120"/>
        <w:ind w:left="567" w:hanging="567"/>
        <w:jc w:val="left"/>
      </w:pPr>
      <w:r>
        <w:rPr>
          <w:rFonts w:ascii="Calibri" w:hAnsi="Calibri" w:cs="Calibri" w:eastAsia="Calibri"/>
          <w:color w:val="000000"/>
          <w:sz w:val="24"/>
        </w:rPr>
        <w:t xml:space="preserve">Bae, H., Hur, J., Park, J., Choi, G. W. ve Moon, J. (2024). Pre-service teachers’ dual perspectives on generative AI: Benefits, challenges, and integrating into teaching and learning. </w:t>
      </w:r>
      <w:r>
        <w:rPr>
          <w:iCs/>
          <w:rFonts w:ascii="Calibri" w:hAnsi="Calibri" w:cs="Calibri" w:eastAsia="Calibri"/>
          <w:i/>
          <w:color w:val="000000"/>
          <w:sz w:val="24"/>
        </w:rPr>
        <w:t xml:space="preserve">Online Learning, 28</w:t>
      </w:r>
      <w:r>
        <w:rPr>
          <w:rFonts w:ascii="Calibri" w:hAnsi="Calibri" w:cs="Calibri" w:eastAsia="Calibri"/>
          <w:color w:val="000000"/>
          <w:sz w:val="24"/>
        </w:rPr>
        <w:t xml:space="preserve">(3), 131–156. https://doi.org/10.24059/olj.v28i3.4543</w:t>
      </w:r>
    </w:p>
    <w:p>
      <w:pPr>
        <w:pStyle w:val="BodyText"/>
        <w:spacing w:line="240" w:lineRule="auto" w:before="0" w:after="120"/>
        <w:ind w:left="567" w:hanging="567"/>
        <w:jc w:val="left"/>
      </w:pPr>
      <w:r>
        <w:rPr>
          <w:rFonts w:ascii="Calibri" w:hAnsi="Calibri" w:cs="Calibri" w:eastAsia="Calibri"/>
          <w:color w:val="000000"/>
          <w:sz w:val="24"/>
        </w:rPr>
        <w:t xml:space="preserve">Bastani, H., Bastani, O., Sungu, A., Ge, H., Kabakcı, Ö. ve Mariman, R. (2025). Generative AI without guardrails can harm learning: Evidence from high school mathematics.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(26), Article e2422633122. https://doi.org/10.1073/pnas.2422633122</w:t>
      </w:r>
    </w:p>
    <w:p>
      <w:pPr>
        <w:pStyle w:val="BodyText"/>
        <w:spacing w:line="240" w:lineRule="auto" w:before="0" w:after="120"/>
        <w:ind w:left="567" w:hanging="567"/>
        <w:jc w:val="left"/>
      </w:pPr>
      <w:r>
        <w:rPr>
          <w:rFonts w:ascii="Calibri" w:hAnsi="Calibri" w:cs="Calibri" w:eastAsia="Calibri"/>
          <w:color w:val="000000"/>
          <w:sz w:val="24"/>
        </w:rPr>
        <w:t xml:space="preserve">Bauer, E., Greiff, S., Graesser, A. C., Scheiter, K. ve Sailer, M. (2025). Looking beyond the hype: Understanding the effects of AI on learning. </w:t>
      </w:r>
      <w:r>
        <w:rPr>
          <w:iCs/>
          <w:rFonts w:ascii="Calibri" w:hAnsi="Calibri" w:cs="Calibri" w:eastAsia="Calibri"/>
          <w:i/>
          <w:color w:val="000000"/>
          <w:sz w:val="24"/>
        </w:rPr>
        <w:t xml:space="preserve">Educational Psychology Review, 37</w:t>
      </w:r>
      <w:r>
        <w:rPr>
          <w:rFonts w:ascii="Calibri" w:hAnsi="Calibri" w:cs="Calibri" w:eastAsia="Calibri"/>
          <w:color w:val="000000"/>
          <w:sz w:val="24"/>
        </w:rPr>
        <w:t xml:space="preserve">(2), Article 45. https://doi.org/10.1007/s10648-025-10020-8</w:t>
      </w:r>
    </w:p>
    <w:p>
      <w:pPr>
        <w:pStyle w:val="BodyText"/>
        <w:spacing w:line="240" w:lineRule="auto" w:before="0" w:after="120"/>
        <w:ind w:left="567" w:hanging="567"/>
        <w:jc w:val="left"/>
      </w:pPr>
      <w:r>
        <w:rPr>
          <w:rFonts w:ascii="Calibri" w:hAnsi="Calibri" w:cs="Calibri" w:eastAsia="Calibri"/>
          <w:color w:val="000000"/>
          <w:sz w:val="24"/>
        </w:rPr>
        <w:t xml:space="preserve">Bearman, M., Tai, J., Dawson, P., Boud, D. ve Ajjawi, R. (2024). Developing evaluative judgement for a time of generative artificial intelligence.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(6), 893–905. https://doi.org/10.1080/02602938.2024.2335321</w:t>
      </w:r>
    </w:p>
    <w:p>
      <w:pPr>
        <w:pStyle w:val="BodyText"/>
        <w:spacing w:line="240" w:lineRule="auto" w:before="0" w:after="120"/>
        <w:ind w:left="567" w:hanging="567"/>
        <w:jc w:val="left"/>
      </w:pPr>
      <w:r>
        <w:rPr>
          <w:rFonts w:ascii="Calibri" w:hAnsi="Calibri" w:cs="Calibri" w:eastAsia="Calibri"/>
          <w:color w:val="000000"/>
          <w:sz w:val="24"/>
        </w:rPr>
        <w:t xml:space="preserve">Bijker, R., Merkouris, S. S., Dowling, N. A. ve Rodda, S. N. (2024). ChatGPT for automated qualitative research: Content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e59050. https://doi.org/10.2196/59050</w:t>
      </w:r>
    </w:p>
    <w:p>
      <w:pPr>
        <w:pStyle w:val="BodyText"/>
        <w:spacing w:line="240" w:lineRule="auto" w:before="0" w:after="120"/>
        <w:ind w:left="567" w:hanging="567"/>
        <w:jc w:val="left"/>
      </w:pPr>
      <w:r>
        <w:rPr>
          <w:rFonts w:ascii="Calibri" w:hAnsi="Calibri" w:cs="Calibri" w:eastAsia="Calibri"/>
          <w:color w:val="000000"/>
          <w:sz w:val="24"/>
        </w:rPr>
        <w:t xml:space="preserve">Billieux, J., Schimmenti, A., Khazaal, Y., Maurage, P. ve Heeren, A. (2015). Are we overpathologizing everyday life? A tenable blueprint for behavioral addiction research. </w:t>
      </w:r>
      <w:r>
        <w:rPr>
          <w:iCs/>
          <w:rFonts w:ascii="Calibri" w:hAnsi="Calibri" w:cs="Calibri" w:eastAsia="Calibri"/>
          <w:i/>
          <w:color w:val="000000"/>
          <w:sz w:val="24"/>
        </w:rPr>
        <w:t xml:space="preserve">Journal of Behavioral Addictions, 4</w:t>
      </w:r>
      <w:r>
        <w:rPr>
          <w:rFonts w:ascii="Calibri" w:hAnsi="Calibri" w:cs="Calibri" w:eastAsia="Calibri"/>
          <w:color w:val="000000"/>
          <w:sz w:val="24"/>
        </w:rPr>
        <w:t xml:space="preserve">(3), 119–123. https://doi.org/10.1556/2006.4.2015.009</w:t>
      </w:r>
    </w:p>
    <w:p>
      <w:pPr>
        <w:pStyle w:val="BodyText"/>
        <w:spacing w:line="240" w:lineRule="auto" w:before="0" w:after="120"/>
        <w:ind w:left="567" w:hanging="567"/>
        <w:jc w:val="left"/>
      </w:pPr>
      <w:r>
        <w:rPr>
          <w:rFonts w:ascii="Calibri" w:hAnsi="Calibri" w:cs="Calibri" w:eastAsia="Calibri"/>
          <w:color w:val="000000"/>
          <w:sz w:val="24"/>
        </w:rPr>
        <w:t xml:space="preserve">Birt, L., Scott, S., Cavers, D., Campbell, C. ve Walter, F. (2016). Member checking: A tool to enhance trustworthiness or merely a nod to validation?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1802–1811. https://doi.org/10.1177/1049732316654870</w:t>
      </w:r>
    </w:p>
    <w:p>
      <w:pPr>
        <w:pStyle w:val="BodyText"/>
        <w:spacing w:line="240" w:lineRule="auto" w:before="0" w:after="120"/>
        <w:ind w:left="567" w:hanging="567"/>
        <w:jc w:val="left"/>
      </w:pPr>
      <w:r>
        <w:rPr>
          <w:rFonts w:ascii="Calibri" w:hAnsi="Calibri" w:cs="Calibri" w:eastAsia="Calibri"/>
          <w:color w:val="000000"/>
          <w:sz w:val="24"/>
        </w:rPr>
        <w:t xml:space="preserve">Bradshaw, C., Atkinson, S. ve Doody, O. (2017). Employing a qualitative description approach in health care research. </w:t>
      </w:r>
      <w:r>
        <w:rPr>
          <w:iCs/>
          <w:rFonts w:ascii="Calibri" w:hAnsi="Calibri" w:cs="Calibri" w:eastAsia="Calibri"/>
          <w:i/>
          <w:color w:val="000000"/>
          <w:sz w:val="24"/>
        </w:rPr>
        <w:t xml:space="preserve">Global Qualitative Nursing Research, 4</w:t>
      </w:r>
      <w:r>
        <w:rPr>
          <w:rFonts w:ascii="Calibri" w:hAnsi="Calibri" w:cs="Calibri" w:eastAsia="Calibri"/>
          <w:color w:val="000000"/>
          <w:sz w:val="24"/>
        </w:rPr>
        <w:t xml:space="preserve">, Article 2333393617742282. https://doi.org/10.1177/2333393617742282</w:t>
      </w:r>
    </w:p>
    <w:p>
      <w:pPr>
        <w:pStyle w:val="BodyText"/>
        <w:spacing w:line="240" w:lineRule="auto" w:before="0" w:after="120"/>
        <w:ind w:left="567" w:hanging="567"/>
        <w:jc w:val="left"/>
      </w:pPr>
      <w:r>
        <w:rPr>
          <w:rFonts w:ascii="Calibri" w:hAnsi="Calibri" w:cs="Calibri" w:eastAsia="Calibri"/>
          <w:color w:val="000000"/>
          <w:sz w:val="24"/>
        </w:rPr>
        <w:t xml:space="preserve">Brashier, N. M. ve Marsh, E. J. (2020). Judging truth. </w:t>
      </w:r>
      <w:r>
        <w:rPr>
          <w:iCs/>
          <w:rFonts w:ascii="Calibri" w:hAnsi="Calibri" w:cs="Calibri" w:eastAsia="Calibri"/>
          <w:i/>
          <w:color w:val="000000"/>
          <w:sz w:val="24"/>
        </w:rPr>
        <w:t xml:space="preserve">Annual Review of Psychology, 71</w:t>
      </w:r>
      <w:r>
        <w:rPr>
          <w:rFonts w:ascii="Calibri" w:hAnsi="Calibri" w:cs="Calibri" w:eastAsia="Calibri"/>
          <w:color w:val="000000"/>
          <w:sz w:val="24"/>
        </w:rPr>
        <w:t xml:space="preserve">(1), 499–515. https://doi.org/10.1146/annurev-psych-010419-050807</w:t>
      </w:r>
    </w:p>
    <w:p>
      <w:pPr>
        <w:pStyle w:val="BodyText"/>
        <w:spacing w:line="240" w:lineRule="auto" w:before="0" w:after="120"/>
        <w:ind w:left="567" w:hanging="567"/>
        <w:jc w:val="left"/>
      </w:pPr>
      <w:r>
        <w:rPr>
          <w:rFonts w:ascii="Calibri" w:hAnsi="Calibri" w:cs="Calibri" w:eastAsia="Calibri"/>
          <w:color w:val="000000"/>
          <w:sz w:val="24"/>
        </w:rPr>
        <w:t xml:space="preserve">Braun, V. ve Clarke, V. (2021). To saturate or not to saturate? Questioning data saturation as a useful concept for thematic analysis and sample-size rationales. </w:t>
      </w:r>
      <w:r>
        <w:rPr>
          <w:iCs/>
          <w:rFonts w:ascii="Calibri" w:hAnsi="Calibri" w:cs="Calibri" w:eastAsia="Calibri"/>
          <w:i/>
          <w:color w:val="000000"/>
          <w:sz w:val="24"/>
        </w:rPr>
        <w:t xml:space="preserve">Qualitative Research in Sport, Exercise and Health, 13</w:t>
      </w:r>
      <w:r>
        <w:rPr>
          <w:rFonts w:ascii="Calibri" w:hAnsi="Calibri" w:cs="Calibri" w:eastAsia="Calibri"/>
          <w:color w:val="000000"/>
          <w:sz w:val="24"/>
        </w:rPr>
        <w:t xml:space="preserve">(2), 201–216. https://doi.org/10.1080/2159676X.2019.1704846</w:t>
      </w:r>
    </w:p>
    <w:p>
      <w:pPr>
        <w:pStyle w:val="BodyText"/>
        <w:spacing w:line="240" w:lineRule="auto" w:before="0" w:after="120"/>
        <w:ind w:left="567" w:hanging="567"/>
        <w:jc w:val="left"/>
      </w:pPr>
      <w:r>
        <w:rPr>
          <w:rFonts w:ascii="Calibri" w:hAnsi="Calibri" w:cs="Calibri" w:eastAsia="Calibri"/>
          <w:color w:val="000000"/>
          <w:sz w:val="24"/>
        </w:rPr>
        <w:t xml:space="preserve">Braun, V., Clarke, V., Boulton, E., Davey, L. ve McEvoy, C. (2021). The online survey as a qualitative research tool. </w:t>
      </w:r>
      <w:r>
        <w:rPr>
          <w:iCs/>
          <w:rFonts w:ascii="Calibri" w:hAnsi="Calibri" w:cs="Calibri" w:eastAsia="Calibri"/>
          <w:i/>
          <w:color w:val="000000"/>
          <w:sz w:val="24"/>
        </w:rPr>
        <w:t xml:space="preserve">International Journal of Social Research Methodology, 24</w:t>
      </w:r>
      <w:r>
        <w:rPr>
          <w:rFonts w:ascii="Calibri" w:hAnsi="Calibri" w:cs="Calibri" w:eastAsia="Calibri"/>
          <w:color w:val="000000"/>
          <w:sz w:val="24"/>
        </w:rPr>
        <w:t xml:space="preserve">(6), 641–654. https://doi.org/10.1080/13645579.2020.1805550</w:t>
      </w:r>
    </w:p>
    <w:p>
      <w:pPr>
        <w:pStyle w:val="BodyText"/>
        <w:spacing w:line="240" w:lineRule="auto" w:before="0" w:after="120"/>
        <w:ind w:left="567" w:hanging="567"/>
        <w:jc w:val="left"/>
      </w:pPr>
      <w:r>
        <w:rPr>
          <w:rFonts w:ascii="Calibri" w:hAnsi="Calibri" w:cs="Calibri" w:eastAsia="Calibri"/>
          <w:color w:val="000000"/>
          <w:sz w:val="24"/>
        </w:rPr>
        <w:t xml:space="preserve">Breakstone, J., Smith, M., Wineburg, S., Rapaport, A., Carle, J., Garland, M. ve Saavedra, A. (2021). Students’ civic online reasoning: A national portrait. </w:t>
      </w:r>
      <w:r>
        <w:rPr>
          <w:iCs/>
          <w:rFonts w:ascii="Calibri" w:hAnsi="Calibri" w:cs="Calibri" w:eastAsia="Calibri"/>
          <w:i/>
          <w:color w:val="000000"/>
          <w:sz w:val="24"/>
        </w:rPr>
        <w:t xml:space="preserve">Educational Researcher, 50</w:t>
      </w:r>
      <w:r>
        <w:rPr>
          <w:rFonts w:ascii="Calibri" w:hAnsi="Calibri" w:cs="Calibri" w:eastAsia="Calibri"/>
          <w:color w:val="000000"/>
          <w:sz w:val="24"/>
        </w:rPr>
        <w:t xml:space="preserve">(8), 505–515. https://doi.org/10.3102/0013189X211017495</w:t>
      </w:r>
    </w:p>
    <w:p>
      <w:pPr>
        <w:pStyle w:val="BodyText"/>
        <w:spacing w:line="240" w:lineRule="auto" w:before="0" w:after="120"/>
        <w:ind w:left="567" w:hanging="567"/>
        <w:jc w:val="left"/>
      </w:pPr>
      <w:r>
        <w:rPr>
          <w:rFonts w:ascii="Calibri" w:hAnsi="Calibri" w:cs="Calibri" w:eastAsia="Calibri"/>
          <w:color w:val="000000"/>
          <w:sz w:val="24"/>
        </w:rPr>
        <w:t xml:space="preserve">Brodsky, J. E., Brooks, P. J., Scimeca, D., Todorova, R., Galati, P., Batson, M., Grosso, R., Matthews, M., Miller, V. ve Caulfield, M. (2021). Improving college students’ fact-checking strategies through lateral reading instruction in a general education civics course. </w:t>
      </w:r>
      <w:r>
        <w:rPr>
          <w:iCs/>
          <w:rFonts w:ascii="Calibri" w:hAnsi="Calibri" w:cs="Calibri" w:eastAsia="Calibri"/>
          <w:i/>
          <w:color w:val="000000"/>
          <w:sz w:val="24"/>
        </w:rPr>
        <w:t xml:space="preserve">Cognitive Research: Principles and Implications, 6</w:t>
      </w:r>
      <w:r>
        <w:rPr>
          <w:rFonts w:ascii="Calibri" w:hAnsi="Calibri" w:cs="Calibri" w:eastAsia="Calibri"/>
          <w:color w:val="000000"/>
          <w:sz w:val="24"/>
        </w:rPr>
        <w:t xml:space="preserve">(1), Article 23. https://doi.org/10.1186/s41235-021-00291-4</w:t>
      </w:r>
    </w:p>
    <w:p>
      <w:pPr>
        <w:pStyle w:val="BodyText"/>
        <w:spacing w:line="240" w:lineRule="auto" w:before="0" w:after="120"/>
        <w:ind w:left="567" w:hanging="567"/>
        <w:jc w:val="left"/>
      </w:pPr>
      <w:r>
        <w:rPr>
          <w:rFonts w:ascii="Calibri" w:hAnsi="Calibri" w:cs="Calibri" w:eastAsia="Calibri"/>
          <w:color w:val="000000"/>
          <w:sz w:val="24"/>
        </w:rPr>
        <w:t xml:space="preserve">Buçinca, Z., Malaya, M. B. ve Gajos, K. Z. (2021). To trust or to think: Cognitive forcing functions can reduce overreliance on AI in AI-assisted decision-making. </w:t>
      </w:r>
      <w:r>
        <w:rPr>
          <w:iCs/>
          <w:rFonts w:ascii="Calibri" w:hAnsi="Calibri" w:cs="Calibri" w:eastAsia="Calibri"/>
          <w:i/>
          <w:color w:val="000000"/>
          <w:sz w:val="24"/>
        </w:rPr>
        <w:t xml:space="preserve">Proceedings of the ACM on Human-Computer Interaction, 5</w:t>
      </w:r>
      <w:r>
        <w:rPr>
          <w:rFonts w:ascii="Calibri" w:hAnsi="Calibri" w:cs="Calibri" w:eastAsia="Calibri"/>
          <w:color w:val="000000"/>
          <w:sz w:val="24"/>
        </w:rPr>
        <w:t xml:space="preserve">(CSCW1), Article 188. https://doi.org/10.1145/3449287</w:t>
      </w:r>
    </w:p>
    <w:p>
      <w:pPr>
        <w:pStyle w:val="BodyText"/>
        <w:spacing w:line="240" w:lineRule="auto" w:before="0" w:after="120"/>
        <w:ind w:left="567" w:hanging="567"/>
        <w:jc w:val="left"/>
      </w:pPr>
      <w:r>
        <w:rPr>
          <w:rFonts w:ascii="Calibri" w:hAnsi="Calibri" w:cs="Calibri" w:eastAsia="Calibri"/>
          <w:color w:val="000000"/>
          <w:sz w:val="24"/>
        </w:rPr>
        <w:t xml:space="preserve">Budzyń, K., Romańczyk, M., Kitala, D., Kołodziej, P., Bugajski, M., Adami, H. O., Blom, J., Buszkiewicz, M., Halvorsen, N., Hassan, C., Romańczyk, T., Holme, Ø., Jarus, K., Fielding, S., Kunar, M., Pellise, M., Pilonis, N., Kamiński, M. F., Kalager, M., . . . Mori, Y. (2025). Endoscopist deskilling risk after exposure to artificial intelligence in colonoscopy: A multicentre, observational study. </w:t>
      </w:r>
      <w:r>
        <w:rPr>
          <w:iCs/>
          <w:rFonts w:ascii="Calibri" w:hAnsi="Calibri" w:cs="Calibri" w:eastAsia="Calibri"/>
          <w:i/>
          <w:color w:val="000000"/>
          <w:sz w:val="24"/>
        </w:rPr>
        <w:t xml:space="preserve">The Lancet Gastroenterology &amp; Hepatology, 10</w:t>
      </w:r>
      <w:r>
        <w:rPr>
          <w:rFonts w:ascii="Calibri" w:hAnsi="Calibri" w:cs="Calibri" w:eastAsia="Calibri"/>
          <w:color w:val="000000"/>
          <w:sz w:val="24"/>
        </w:rPr>
        <w:t xml:space="preserve">(10), 896–903. https://doi.org/10.1016/S2468-1253(25)00133-5</w:t>
      </w:r>
    </w:p>
    <w:p>
      <w:pPr>
        <w:pStyle w:val="BodyText"/>
        <w:spacing w:line="240" w:lineRule="auto" w:before="0" w:after="120"/>
        <w:ind w:left="567" w:hanging="567"/>
        <w:jc w:val="left"/>
      </w:pPr>
      <w:r>
        <w:rPr>
          <w:rFonts w:ascii="Calibri" w:hAnsi="Calibri" w:cs="Calibri" w:eastAsia="Calibri"/>
          <w:color w:val="000000"/>
          <w:sz w:val="24"/>
        </w:rPr>
        <w:t xml:space="preserve">Butler, R. (1998). Determinants of help seeking: Relations between perceived reasons for classroom help-avoidance and help-seeking behaviors in an experimental context. </w:t>
      </w:r>
      <w:r>
        <w:rPr>
          <w:iCs/>
          <w:rFonts w:ascii="Calibri" w:hAnsi="Calibri" w:cs="Calibri" w:eastAsia="Calibri"/>
          <w:i/>
          <w:color w:val="000000"/>
          <w:sz w:val="24"/>
        </w:rPr>
        <w:t xml:space="preserve">Journal of Educational Psychology, 90</w:t>
      </w:r>
      <w:r>
        <w:rPr>
          <w:rFonts w:ascii="Calibri" w:hAnsi="Calibri" w:cs="Calibri" w:eastAsia="Calibri"/>
          <w:color w:val="000000"/>
          <w:sz w:val="24"/>
        </w:rPr>
        <w:t xml:space="preserve">(4), 630–643. https://doi.org/10.1037/0022-0663.90.4.630</w:t>
      </w:r>
    </w:p>
    <w:p>
      <w:pPr>
        <w:pStyle w:val="BodyText"/>
        <w:spacing w:line="240" w:lineRule="auto" w:before="0" w:after="120"/>
        <w:ind w:left="567" w:hanging="567"/>
        <w:jc w:val="left"/>
      </w:pPr>
      <w:r>
        <w:rPr>
          <w:rFonts w:ascii="Calibri" w:hAnsi="Calibri" w:cs="Calibri" w:eastAsia="Calibri"/>
          <w:color w:val="000000"/>
          <w:sz w:val="24"/>
        </w:rPr>
        <w:t xml:space="preserve">Campbell, J. L., Quincy, C., Osserman, J. ve Pedersen, O. K. (2013). Coding in-depth semistructured interviews: Problems of unitization and intercoder reliability and agreement. </w:t>
      </w:r>
      <w:r>
        <w:rPr>
          <w:iCs/>
          <w:rFonts w:ascii="Calibri" w:hAnsi="Calibri" w:cs="Calibri" w:eastAsia="Calibri"/>
          <w:i/>
          <w:color w:val="000000"/>
          <w:sz w:val="24"/>
        </w:rPr>
        <w:t xml:space="preserve">Sociological Methods &amp; Research, 42</w:t>
      </w:r>
      <w:r>
        <w:rPr>
          <w:rFonts w:ascii="Calibri" w:hAnsi="Calibri" w:cs="Calibri" w:eastAsia="Calibri"/>
          <w:color w:val="000000"/>
          <w:sz w:val="24"/>
        </w:rPr>
        <w:t xml:space="preserve">(3), 294–320. https://doi.org/10.1177/0049124113500475</w:t>
      </w:r>
    </w:p>
    <w:p>
      <w:pPr>
        <w:pStyle w:val="BodyText"/>
        <w:spacing w:line="240" w:lineRule="auto" w:before="0" w:after="120"/>
        <w:ind w:left="567" w:hanging="567"/>
        <w:jc w:val="left"/>
      </w:pPr>
      <w:r>
        <w:rPr>
          <w:rFonts w:ascii="Calibri" w:hAnsi="Calibri" w:cs="Calibri" w:eastAsia="Calibri"/>
          <w:color w:val="000000"/>
          <w:sz w:val="24"/>
        </w:rPr>
        <w:t xml:space="preserve">Caplan, S. E. (2010). Theory and measurement of generalized problematic Internet use: A two-step approach. </w:t>
      </w:r>
      <w:r>
        <w:rPr>
          <w:iCs/>
          <w:rFonts w:ascii="Calibri" w:hAnsi="Calibri" w:cs="Calibri" w:eastAsia="Calibri"/>
          <w:i/>
          <w:color w:val="000000"/>
          <w:sz w:val="24"/>
        </w:rPr>
        <w:t xml:space="preserve">Computers in Human Behavior, 26</w:t>
      </w:r>
      <w:r>
        <w:rPr>
          <w:rFonts w:ascii="Calibri" w:hAnsi="Calibri" w:cs="Calibri" w:eastAsia="Calibri"/>
          <w:color w:val="000000"/>
          <w:sz w:val="24"/>
        </w:rPr>
        <w:t xml:space="preserve">(5), 1089–1097. https://doi.org/10.1016/j.chb.2010.03.012</w:t>
      </w:r>
    </w:p>
    <w:p>
      <w:pPr>
        <w:pStyle w:val="BodyText"/>
        <w:spacing w:line="240" w:lineRule="auto" w:before="0" w:after="120"/>
        <w:ind w:left="567" w:hanging="567"/>
        <w:jc w:val="left"/>
      </w:pPr>
      <w:r>
        <w:rPr>
          <w:rFonts w:ascii="Calibri" w:hAnsi="Calibri" w:cs="Calibri" w:eastAsia="Calibri"/>
          <w:color w:val="000000"/>
          <w:sz w:val="24"/>
        </w:rPr>
        <w:t xml:space="preserve">Celik, I. (2023). Towards Intelligent-TPACK: An empirical study on teachers’ professional knowledge to ethically integrate artificial intelligence (AI)-based tools into education. </w:t>
      </w:r>
      <w:r>
        <w:rPr>
          <w:iCs/>
          <w:rFonts w:ascii="Calibri" w:hAnsi="Calibri" w:cs="Calibri" w:eastAsia="Calibri"/>
          <w:i/>
          <w:color w:val="000000"/>
          <w:sz w:val="24"/>
        </w:rPr>
        <w:t xml:space="preserve">Computers in Human Behavior, 138</w:t>
      </w:r>
      <w:r>
        <w:rPr>
          <w:rFonts w:ascii="Calibri" w:hAnsi="Calibri" w:cs="Calibri" w:eastAsia="Calibri"/>
          <w:color w:val="000000"/>
          <w:sz w:val="24"/>
        </w:rPr>
        <w:t xml:space="preserve">, Article 107468. https://doi.org/10.1016/j.chb.2022.107468</w:t>
      </w:r>
    </w:p>
    <w:p>
      <w:pPr>
        <w:pStyle w:val="BodyText"/>
        <w:spacing w:line="240" w:lineRule="auto" w:before="0" w:after="120"/>
        <w:ind w:left="567" w:hanging="567"/>
        <w:jc w:val="left"/>
      </w:pPr>
      <w:r>
        <w:rPr>
          <w:rFonts w:ascii="Calibri" w:hAnsi="Calibri" w:cs="Calibri" w:eastAsia="Calibri"/>
          <w:color w:val="000000"/>
          <w:sz w:val="24"/>
        </w:rPr>
        <w:t xml:space="preserve">Chang, D. H., Lin, M. P.-C., Huang, J.-Y. ve Ryoo, J. (2026). “Should I tell my teacher?” Student AI disclosure practices, stigma, and self-regulated learning in higher education. </w:t>
      </w:r>
      <w:r>
        <w:rPr>
          <w:iCs/>
          <w:rFonts w:ascii="Calibri" w:hAnsi="Calibri" w:cs="Calibri" w:eastAsia="Calibri"/>
          <w:i/>
          <w:color w:val="000000"/>
          <w:sz w:val="24"/>
        </w:rPr>
        <w:t xml:space="preserve">Frontiers in Education, 11</w:t>
      </w:r>
      <w:r>
        <w:rPr>
          <w:rFonts w:ascii="Calibri" w:hAnsi="Calibri" w:cs="Calibri" w:eastAsia="Calibri"/>
          <w:color w:val="000000"/>
          <w:sz w:val="24"/>
        </w:rPr>
        <w:t xml:space="preserve">, Article 1826174. https://doi.org/10.3389/feduc.2026.1826174</w:t>
      </w:r>
    </w:p>
    <w:p>
      <w:pPr>
        <w:pStyle w:val="BodyText"/>
        <w:spacing w:line="240" w:lineRule="auto" w:before="0" w:after="120"/>
        <w:ind w:left="567" w:hanging="567"/>
        <w:jc w:val="left"/>
      </w:pPr>
      <w:r>
        <w:rPr>
          <w:rFonts w:ascii="Calibri" w:hAnsi="Calibri" w:cs="Calibri" w:eastAsia="Calibri"/>
          <w:color w:val="000000"/>
          <w:sz w:val="24"/>
        </w:rPr>
        <w:t xml:space="preserve">Chelli, M., Descamps, J., Lavoué, V., Trojani, C., Azar, M., Deckert, M., Raynier, J.-L., Clowez, G., Boileau, P. ve Ruetsch-Chelli, C. (2024). Hallucination rates and reference accuracy of ChatGPT and Bard for systematic reviews: Comparative analysis. </w:t>
      </w:r>
      <w:r>
        <w:rPr>
          <w:iCs/>
          <w:rFonts w:ascii="Calibri" w:hAnsi="Calibri" w:cs="Calibri" w:eastAsia="Calibri"/>
          <w:i/>
          <w:color w:val="000000"/>
          <w:sz w:val="24"/>
        </w:rPr>
        <w:t xml:space="preserve">Journal of Medical Internet Research, 26</w:t>
      </w:r>
      <w:r>
        <w:rPr>
          <w:rFonts w:ascii="Calibri" w:hAnsi="Calibri" w:cs="Calibri" w:eastAsia="Calibri"/>
          <w:color w:val="000000"/>
          <w:sz w:val="24"/>
        </w:rPr>
        <w:t xml:space="preserve">, Article e53164. https://doi.org/10.2196/53164</w:t>
      </w:r>
    </w:p>
    <w:p>
      <w:pPr>
        <w:pStyle w:val="BodyText"/>
        <w:spacing w:line="240" w:lineRule="auto" w:before="0" w:after="120"/>
        <w:ind w:left="567" w:hanging="567"/>
        <w:jc w:val="left"/>
      </w:pPr>
      <w:r>
        <w:rPr>
          <w:rFonts w:ascii="Calibri" w:hAnsi="Calibri" w:cs="Calibri" w:eastAsia="Calibri"/>
          <w:color w:val="000000"/>
          <w:sz w:val="24"/>
        </w:rPr>
        <w:t xml:space="preserve">Chen, A., Xiang, M., Zhou, J., Jia, J., Shang, J., Li, X., Gašević, D. ve Fan, Y. (2025). Unpacking help-seeking process through multimodal learning analytics: A comparative study of ChatGPT vs human expert. </w:t>
      </w:r>
      <w:r>
        <w:rPr>
          <w:iCs/>
          <w:rFonts w:ascii="Calibri" w:hAnsi="Calibri" w:cs="Calibri" w:eastAsia="Calibri"/>
          <w:i/>
          <w:color w:val="000000"/>
          <w:sz w:val="24"/>
        </w:rPr>
        <w:t xml:space="preserve">Computers &amp; Education, 226</w:t>
      </w:r>
      <w:r>
        <w:rPr>
          <w:rFonts w:ascii="Calibri" w:hAnsi="Calibri" w:cs="Calibri" w:eastAsia="Calibri"/>
          <w:color w:val="000000"/>
          <w:sz w:val="24"/>
        </w:rPr>
        <w:t xml:space="preserve">, Article 105198. https://doi.org/10.1016/j.compedu.2024.105198</w:t>
      </w:r>
    </w:p>
    <w:p>
      <w:pPr>
        <w:pStyle w:val="BodyText"/>
        <w:spacing w:line="240" w:lineRule="auto" w:before="0" w:after="120"/>
        <w:ind w:left="567" w:hanging="567"/>
        <w:jc w:val="left"/>
      </w:pPr>
      <w:r>
        <w:rPr>
          <w:rFonts w:ascii="Calibri" w:hAnsi="Calibri" w:cs="Calibri" w:eastAsia="Calibri"/>
          <w:color w:val="000000"/>
          <w:sz w:val="24"/>
        </w:rPr>
        <w:t xml:space="preserve">Chesire, F., Mugisha, M., Ssenyonga, R., Rose, C. J., Nsangi, A., Kaseje, M., Sewankambo, N. K., Oxman, M., Rosenbaum, S. E., Moberg, J., Dahlgren, A., Lewin, S., Venkateswaran, M., Papadopoulou, E. ve Oxman, A. D. (2024). Effects of the Informed Health Choices secondary school intervention after 1 year: A prospective meta-analysis using individual participant data. </w:t>
      </w:r>
      <w:r>
        <w:rPr>
          <w:iCs/>
          <w:rFonts w:ascii="Calibri" w:hAnsi="Calibri" w:cs="Calibri" w:eastAsia="Calibri"/>
          <w:i/>
          <w:color w:val="000000"/>
          <w:sz w:val="24"/>
        </w:rPr>
        <w:t xml:space="preserve">Trials, 25</w:t>
      </w:r>
      <w:r>
        <w:rPr>
          <w:rFonts w:ascii="Calibri" w:hAnsi="Calibri" w:cs="Calibri" w:eastAsia="Calibri"/>
          <w:color w:val="000000"/>
          <w:sz w:val="24"/>
        </w:rPr>
        <w:t xml:space="preserve">(1), Article 733. https://doi.org/10.1186/s13063-024-08577-w</w:t>
      </w:r>
    </w:p>
    <w:p>
      <w:pPr>
        <w:pStyle w:val="BodyText"/>
        <w:spacing w:line="240" w:lineRule="auto" w:before="0" w:after="120"/>
        <w:ind w:left="567" w:hanging="567"/>
        <w:jc w:val="left"/>
      </w:pPr>
      <w:r>
        <w:rPr>
          <w:rFonts w:ascii="Calibri" w:hAnsi="Calibri" w:cs="Calibri" w:eastAsia="Calibri"/>
          <w:color w:val="000000"/>
          <w:sz w:val="24"/>
        </w:rPr>
        <w:t xml:space="preserve">Ciudad-Fernández, V., von Hammerstein, C. ve Billieux, J. (2025). People are not becoming “AIholic”: Questioning the “ChatGPT addiction” construct. </w:t>
      </w:r>
      <w:r>
        <w:rPr>
          <w:iCs/>
          <w:rFonts w:ascii="Calibri" w:hAnsi="Calibri" w:cs="Calibri" w:eastAsia="Calibri"/>
          <w:i/>
          <w:color w:val="000000"/>
          <w:sz w:val="24"/>
        </w:rPr>
        <w:t xml:space="preserve">Addictive Behaviors, 166</w:t>
      </w:r>
      <w:r>
        <w:rPr>
          <w:rFonts w:ascii="Calibri" w:hAnsi="Calibri" w:cs="Calibri" w:eastAsia="Calibri"/>
          <w:color w:val="000000"/>
          <w:sz w:val="24"/>
        </w:rPr>
        <w:t xml:space="preserve">, Article 108325. https://doi.org/10.1016/j.addbeh.2025.108325</w:t>
      </w:r>
    </w:p>
    <w:p>
      <w:pPr>
        <w:pStyle w:val="BodyText"/>
        <w:spacing w:line="240" w:lineRule="auto" w:before="0" w:after="120"/>
        <w:ind w:left="567" w:hanging="567"/>
        <w:jc w:val="left"/>
      </w:pPr>
      <w:r>
        <w:rPr>
          <w:rFonts w:ascii="Calibri" w:hAnsi="Calibri" w:cs="Calibri" w:eastAsia="Calibri"/>
          <w:color w:val="000000"/>
          <w:sz w:val="24"/>
        </w:rPr>
        <w:t xml:space="preserve">Cofie, N., Braund, H. ve Dalgarno, N. (2022). Eight ways to get a grip on intercoder reliability using qualitative-based measures. </w:t>
      </w:r>
      <w:r>
        <w:rPr>
          <w:iCs/>
          <w:rFonts w:ascii="Calibri" w:hAnsi="Calibri" w:cs="Calibri" w:eastAsia="Calibri"/>
          <w:i/>
          <w:color w:val="000000"/>
          <w:sz w:val="24"/>
        </w:rPr>
        <w:t xml:space="preserve">Canadian Medical Education Journal, 13</w:t>
      </w:r>
      <w:r>
        <w:rPr>
          <w:rFonts w:ascii="Calibri" w:hAnsi="Calibri" w:cs="Calibri" w:eastAsia="Calibri"/>
          <w:color w:val="000000"/>
          <w:sz w:val="24"/>
        </w:rPr>
        <w:t xml:space="preserve">(2), 73–76. https://doi.org/10.36834/cmej.72504</w:t>
      </w:r>
    </w:p>
    <w:p>
      <w:pPr>
        <w:pStyle w:val="BodyText"/>
        <w:spacing w:line="240" w:lineRule="auto" w:before="0" w:after="120"/>
        <w:ind w:left="567" w:hanging="567"/>
        <w:jc w:val="left"/>
      </w:pPr>
      <w:r>
        <w:rPr>
          <w:rFonts w:ascii="Calibri" w:hAnsi="Calibri" w:cs="Calibri" w:eastAsia="Calibri"/>
          <w:color w:val="000000"/>
          <w:sz w:val="24"/>
        </w:rPr>
        <w:t xml:space="preserve">Cohen, J. (1960). A coefficient of agreement for nominal scales. </w:t>
      </w:r>
      <w:r>
        <w:rPr>
          <w:iCs/>
          <w:rFonts w:ascii="Calibri" w:hAnsi="Calibri" w:cs="Calibri" w:eastAsia="Calibri"/>
          <w:i/>
          <w:color w:val="000000"/>
          <w:sz w:val="24"/>
        </w:rPr>
        <w:t xml:space="preserve">Educational and Psychological Measurement, 20</w:t>
      </w:r>
      <w:r>
        <w:rPr>
          <w:rFonts w:ascii="Calibri" w:hAnsi="Calibri" w:cs="Calibri" w:eastAsia="Calibri"/>
          <w:color w:val="000000"/>
          <w:sz w:val="24"/>
        </w:rPr>
        <w:t xml:space="preserve">(1), 37–46. https://doi.org/10.1177/001316446002000104</w:t>
      </w:r>
    </w:p>
    <w:p>
      <w:pPr>
        <w:pStyle w:val="BodyText"/>
        <w:spacing w:line="240" w:lineRule="auto" w:before="0" w:after="120"/>
        <w:ind w:left="567" w:hanging="567"/>
        <w:jc w:val="left"/>
      </w:pPr>
      <w:r>
        <w:rPr>
          <w:rFonts w:ascii="Calibri" w:hAnsi="Calibri" w:cs="Calibri" w:eastAsia="Calibri"/>
          <w:color w:val="000000"/>
          <w:sz w:val="24"/>
        </w:rPr>
        <w:t xml:space="preserve">Corbin, T., Dawson, P. ve Liu, D. (2025). Talk is cheap: Why structural assessment changes are needed for a time of GenAI.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(7), 1087–1097. https://doi.org/10.1080/02602938.2025.2503964</w:t>
      </w:r>
    </w:p>
    <w:p>
      <w:pPr>
        <w:pStyle w:val="BodyText"/>
        <w:spacing w:line="240" w:lineRule="auto" w:before="0" w:after="120"/>
        <w:ind w:left="567" w:hanging="567"/>
        <w:jc w:val="left"/>
      </w:pPr>
      <w:r>
        <w:rPr>
          <w:rFonts w:ascii="Calibri" w:hAnsi="Calibri" w:cs="Calibri" w:eastAsia="Calibri"/>
          <w:color w:val="000000"/>
          <w:sz w:val="24"/>
        </w:rPr>
        <w:t xml:space="preserve">Çakmak, B., Özdemir, E., Koç, Ö. ve Doğutepe, E. (2026). From prompts to dependency: Standardization of the AI chatbot dependence scale in a Turkish context and associations with Big Five personality traits.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https://doi.org/10.1080/10447318.2026.2629519</w:t>
      </w:r>
    </w:p>
    <w:p>
      <w:pPr>
        <w:pStyle w:val="BodyText"/>
        <w:spacing w:line="240" w:lineRule="auto" w:before="0" w:after="120"/>
        <w:ind w:left="567" w:hanging="567"/>
        <w:jc w:val="left"/>
      </w:pPr>
      <w:r>
        <w:rPr>
          <w:rFonts w:ascii="Calibri" w:hAnsi="Calibri" w:cs="Calibri" w:eastAsia="Calibri"/>
          <w:color w:val="000000"/>
          <w:sz w:val="24"/>
        </w:rPr>
        <w:t xml:space="preserve">Çelebi, C., Yılmaz, F., Demir, U. ve Karakuş, F. (2023). Yapay zekâ okuryazarlığı: Bir ölçek uyarlama çalışması. </w:t>
      </w:r>
      <w:r>
        <w:rPr>
          <w:iCs/>
          <w:rFonts w:ascii="Calibri" w:hAnsi="Calibri" w:cs="Calibri" w:eastAsia="Calibri"/>
          <w:i/>
          <w:color w:val="000000"/>
          <w:sz w:val="24"/>
        </w:rPr>
        <w:t xml:space="preserve">Öğretim Teknolojisi ve Hayat Boyu Öğrenme Dergisi, 4</w:t>
      </w:r>
      <w:r>
        <w:rPr>
          <w:rFonts w:ascii="Calibri" w:hAnsi="Calibri" w:cs="Calibri" w:eastAsia="Calibri"/>
          <w:color w:val="000000"/>
          <w:sz w:val="24"/>
        </w:rPr>
        <w:t xml:space="preserve">(2), 291–306. https://doi.org/10.52911/itall.1401740</w:t>
      </w:r>
    </w:p>
    <w:p>
      <w:pPr>
        <w:pStyle w:val="BodyText"/>
        <w:spacing w:line="240" w:lineRule="auto" w:before="0" w:after="120"/>
        <w:ind w:left="567" w:hanging="567"/>
        <w:jc w:val="left"/>
      </w:pPr>
      <w:r>
        <w:rPr>
          <w:rFonts w:ascii="Calibri" w:hAnsi="Calibri" w:cs="Calibri" w:eastAsia="Calibri"/>
          <w:color w:val="000000"/>
          <w:sz w:val="24"/>
        </w:rPr>
        <w:t xml:space="preserve">Çelik, T. (2025). Öğretmen adaylarının yapay zekâ kullanım durumlarının incelenmesi. </w:t>
      </w:r>
      <w:r>
        <w:rPr>
          <w:iCs/>
          <w:rFonts w:ascii="Calibri" w:hAnsi="Calibri" w:cs="Calibri" w:eastAsia="Calibri"/>
          <w:i/>
          <w:color w:val="000000"/>
          <w:sz w:val="24"/>
        </w:rPr>
        <w:t xml:space="preserve">Adıyaman Üniversitesi Eğitim Bilimleri Dergisi, 15</w:t>
      </w:r>
      <w:r>
        <w:rPr>
          <w:rFonts w:ascii="Calibri" w:hAnsi="Calibri" w:cs="Calibri" w:eastAsia="Calibri"/>
          <w:color w:val="000000"/>
          <w:sz w:val="24"/>
        </w:rPr>
        <w:t xml:space="preserve">(2), 672–713. https://doi.org/10.17984/adyuebd.1754343</w:t>
      </w:r>
    </w:p>
    <w:p>
      <w:pPr>
        <w:pStyle w:val="BodyText"/>
        <w:spacing w:line="240" w:lineRule="auto" w:before="0" w:after="120"/>
        <w:ind w:left="567" w:hanging="567"/>
        <w:jc w:val="left"/>
      </w:pPr>
      <w:r>
        <w:rPr>
          <w:rFonts w:ascii="Calibri" w:hAnsi="Calibri" w:cs="Calibri" w:eastAsia="Calibri"/>
          <w:color w:val="000000"/>
          <w:sz w:val="24"/>
        </w:rPr>
        <w:t xml:space="preserve">Darvishi, A., Khosravi, H., Sadiq, S., Gašević, D. ve Siemens, G. (2024). Impact of AI assistance on student agency. </w:t>
      </w:r>
      <w:r>
        <w:rPr>
          <w:iCs/>
          <w:rFonts w:ascii="Calibri" w:hAnsi="Calibri" w:cs="Calibri" w:eastAsia="Calibri"/>
          <w:i/>
          <w:color w:val="000000"/>
          <w:sz w:val="24"/>
        </w:rPr>
        <w:t xml:space="preserve">Computers &amp; Education, 210</w:t>
      </w:r>
      <w:r>
        <w:rPr>
          <w:rFonts w:ascii="Calibri" w:hAnsi="Calibri" w:cs="Calibri" w:eastAsia="Calibri"/>
          <w:color w:val="000000"/>
          <w:sz w:val="24"/>
        </w:rPr>
        <w:t xml:space="preserve">, Article 104967. https://doi.org/10.1016/j.compedu.2023.104967</w:t>
      </w:r>
    </w:p>
    <w:p>
      <w:pPr>
        <w:pStyle w:val="BodyText"/>
        <w:spacing w:line="240" w:lineRule="auto" w:before="0" w:after="120"/>
        <w:ind w:left="567" w:hanging="567"/>
        <w:jc w:val="left"/>
      </w:pPr>
      <w:r>
        <w:rPr>
          <w:rFonts w:ascii="Calibri" w:hAnsi="Calibri" w:cs="Calibri" w:eastAsia="Calibri"/>
          <w:color w:val="000000"/>
          <w:sz w:val="24"/>
        </w:rPr>
        <w:t xml:space="preserve">Dawson, P., Bearman, M., Dollinger, M. ve Boud, D. (2024). Validity matters more than cheating. </w:t>
      </w:r>
      <w:r>
        <w:rPr>
          <w:iCs/>
          <w:rFonts w:ascii="Calibri" w:hAnsi="Calibri" w:cs="Calibri" w:eastAsia="Calibri"/>
          <w:i/>
          <w:color w:val="000000"/>
          <w:sz w:val="24"/>
        </w:rPr>
        <w:t xml:space="preserve">Assessment &amp; Evaluation in Higher Education, 49</w:t>
      </w:r>
      <w:r>
        <w:rPr>
          <w:rFonts w:ascii="Calibri" w:hAnsi="Calibri" w:cs="Calibri" w:eastAsia="Calibri"/>
          <w:color w:val="000000"/>
          <w:sz w:val="24"/>
        </w:rPr>
        <w:t xml:space="preserve">(7), 1005–1016. https://doi.org/10.1080/02602938.2024.2386662</w:t>
      </w:r>
    </w:p>
    <w:p>
      <w:pPr>
        <w:pStyle w:val="BodyText"/>
        <w:spacing w:line="240" w:lineRule="auto" w:before="0" w:after="120"/>
        <w:ind w:left="567" w:hanging="567"/>
        <w:jc w:val="left"/>
      </w:pPr>
      <w:r>
        <w:rPr>
          <w:rFonts w:ascii="Calibri" w:hAnsi="Calibri" w:cs="Calibri" w:eastAsia="Calibri"/>
          <w:color w:val="000000"/>
          <w:sz w:val="24"/>
        </w:rPr>
        <w:t xml:space="preserve">Dechêne, A., Stahl, C., Hansen, J. ve Wänke, M. (2010). The truth about the truth: A meta-analytic review of the truth effect. </w:t>
      </w:r>
      <w:r>
        <w:rPr>
          <w:iCs/>
          <w:rFonts w:ascii="Calibri" w:hAnsi="Calibri" w:cs="Calibri" w:eastAsia="Calibri"/>
          <w:i/>
          <w:color w:val="000000"/>
          <w:sz w:val="24"/>
        </w:rPr>
        <w:t xml:space="preserve">Personality and Social Psychology Review, 14</w:t>
      </w:r>
      <w:r>
        <w:rPr>
          <w:rFonts w:ascii="Calibri" w:hAnsi="Calibri" w:cs="Calibri" w:eastAsia="Calibri"/>
          <w:color w:val="000000"/>
          <w:sz w:val="24"/>
        </w:rPr>
        <w:t xml:space="preserve">(2), 238–257. https://doi.org/10.1177/1088868309352251</w:t>
      </w:r>
    </w:p>
    <w:p>
      <w:pPr>
        <w:pStyle w:val="BodyText"/>
        <w:spacing w:line="240" w:lineRule="auto" w:before="0" w:after="120"/>
        <w:ind w:left="567" w:hanging="567"/>
        <w:jc w:val="left"/>
      </w:pPr>
      <w:r>
        <w:rPr>
          <w:rFonts w:ascii="Calibri" w:hAnsi="Calibri" w:cs="Calibri" w:eastAsia="Calibri"/>
          <w:color w:val="000000"/>
          <w:sz w:val="24"/>
        </w:rPr>
        <w:t xml:space="preserve">Demir, A. N. ve Zaimoğlu, S. (2025). Enhancing or deteriorating? The influence of ChatGPT on university students’ academic writing skills in Türkiye. </w:t>
      </w:r>
      <w:r>
        <w:rPr>
          <w:iCs/>
          <w:rFonts w:ascii="Calibri" w:hAnsi="Calibri" w:cs="Calibri" w:eastAsia="Calibri"/>
          <w:i/>
          <w:color w:val="000000"/>
          <w:sz w:val="24"/>
        </w:rPr>
        <w:t xml:space="preserve">Bayburt Eğitim Fakültesi Dergisi, 20</w:t>
      </w:r>
      <w:r>
        <w:rPr>
          <w:rFonts w:ascii="Calibri" w:hAnsi="Calibri" w:cs="Calibri" w:eastAsia="Calibri"/>
          <w:color w:val="000000"/>
          <w:sz w:val="24"/>
        </w:rPr>
        <w:t xml:space="preserve">(46), 778–800. https://doi.org/10.35675/befdergi.1647707</w:t>
      </w:r>
    </w:p>
    <w:p>
      <w:pPr>
        <w:pStyle w:val="BodyText"/>
        <w:spacing w:line="240" w:lineRule="auto" w:before="0" w:after="120"/>
        <w:ind w:left="567" w:hanging="567"/>
        <w:jc w:val="left"/>
      </w:pPr>
      <w:r>
        <w:rPr>
          <w:rFonts w:ascii="Calibri" w:hAnsi="Calibri" w:cs="Calibri" w:eastAsia="Calibri"/>
          <w:color w:val="000000"/>
          <w:sz w:val="24"/>
        </w:rPr>
        <w:t xml:space="preserve">Deng, R., Jiang, M., Yu, X., Lu, Y. ve Liu, S. (2025). Does ChatGPT enhance student learning? A systematic review and meta-analysis of experimental studies. </w:t>
      </w:r>
      <w:r>
        <w:rPr>
          <w:iCs/>
          <w:rFonts w:ascii="Calibri" w:hAnsi="Calibri" w:cs="Calibri" w:eastAsia="Calibri"/>
          <w:i/>
          <w:color w:val="000000"/>
          <w:sz w:val="24"/>
        </w:rPr>
        <w:t xml:space="preserve">Computers &amp; Education, 227</w:t>
      </w:r>
      <w:r>
        <w:rPr>
          <w:rFonts w:ascii="Calibri" w:hAnsi="Calibri" w:cs="Calibri" w:eastAsia="Calibri"/>
          <w:color w:val="000000"/>
          <w:sz w:val="24"/>
        </w:rPr>
        <w:t xml:space="preserve">, Article 105224. https://doi.org/10.1016/j.compedu.2024.105224</w:t>
      </w:r>
    </w:p>
    <w:p>
      <w:pPr>
        <w:pStyle w:val="BodyText"/>
        <w:spacing w:line="240" w:lineRule="auto" w:before="0" w:after="120"/>
        <w:ind w:left="567" w:hanging="567"/>
        <w:jc w:val="left"/>
      </w:pPr>
      <w:r>
        <w:rPr>
          <w:rFonts w:ascii="Calibri" w:hAnsi="Calibri" w:cs="Calibri" w:eastAsia="Calibri"/>
          <w:color w:val="000000"/>
          <w:sz w:val="24"/>
        </w:rPr>
        <w:t xml:space="preserve">Dietvorst, B. J., Simmons, J. P. ve Massey, C. (2015). Algorithm aversion: People erroneously avoid algorithms after seeing them err.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(1), 114–126. https://doi.org/10.1037/xge0000033</w:t>
      </w:r>
    </w:p>
    <w:p>
      <w:pPr>
        <w:pStyle w:val="BodyText"/>
        <w:spacing w:line="240" w:lineRule="auto" w:before="0" w:after="120"/>
        <w:ind w:left="567" w:hanging="567"/>
        <w:jc w:val="left"/>
      </w:pPr>
      <w:r>
        <w:rPr>
          <w:rFonts w:ascii="Calibri" w:hAnsi="Calibri" w:cs="Calibri" w:eastAsia="Calibri"/>
          <w:color w:val="000000"/>
          <w:sz w:val="24"/>
        </w:rPr>
        <w:t xml:space="preserve">Ding, L., Li, T., Jiang, S. ve Gapud, A. (2023). Students’ perceptions of using ChatGPT in a physics class as a virtual tutor. </w:t>
      </w:r>
      <w:r>
        <w:rPr>
          <w:iCs/>
          <w:rFonts w:ascii="Calibri" w:hAnsi="Calibri" w:cs="Calibri" w:eastAsia="Calibri"/>
          <w:i/>
          <w:color w:val="000000"/>
          <w:sz w:val="24"/>
        </w:rPr>
        <w:t xml:space="preserve">International Journal of Educational Technology in Higher Education, 20</w:t>
      </w:r>
      <w:r>
        <w:rPr>
          <w:rFonts w:ascii="Calibri" w:hAnsi="Calibri" w:cs="Calibri" w:eastAsia="Calibri"/>
          <w:color w:val="000000"/>
          <w:sz w:val="24"/>
        </w:rPr>
        <w:t xml:space="preserve">(1), Article 63. https://doi.org/10.1186/s41239-023-00434-1</w:t>
      </w:r>
    </w:p>
    <w:p>
      <w:pPr>
        <w:pStyle w:val="BodyText"/>
        <w:spacing w:line="240" w:lineRule="auto" w:before="0" w:after="120"/>
        <w:ind w:left="567" w:hanging="567"/>
        <w:jc w:val="left"/>
      </w:pPr>
      <w:r>
        <w:rPr>
          <w:rFonts w:ascii="Calibri" w:hAnsi="Calibri" w:cs="Calibri" w:eastAsia="Calibri"/>
          <w:color w:val="000000"/>
          <w:sz w:val="24"/>
        </w:rPr>
        <w:t xml:space="preserve">Dulkadir Yaman, N. (2025). Pre-service teachers’ views on an artificial intelligence based text generator. </w:t>
      </w:r>
      <w:r>
        <w:rPr>
          <w:iCs/>
          <w:rFonts w:ascii="Calibri" w:hAnsi="Calibri" w:cs="Calibri" w:eastAsia="Calibri"/>
          <w:i/>
          <w:color w:val="000000"/>
          <w:sz w:val="24"/>
        </w:rPr>
        <w:t xml:space="preserve">Eğitim Teknolojisi Kuram ve Uygulama, 15</w:t>
      </w:r>
      <w:r>
        <w:rPr>
          <w:rFonts w:ascii="Calibri" w:hAnsi="Calibri" w:cs="Calibri" w:eastAsia="Calibri"/>
          <w:color w:val="000000"/>
          <w:sz w:val="24"/>
        </w:rPr>
        <w:t xml:space="preserve">(1), 1–21. https://doi.org/10.17943/etku.1485828</w:t>
      </w:r>
    </w:p>
    <w:p>
      <w:pPr>
        <w:pStyle w:val="BodyText"/>
        <w:spacing w:line="240" w:lineRule="auto" w:before="0" w:after="120"/>
        <w:ind w:left="567" w:hanging="567"/>
        <w:jc w:val="left"/>
      </w:pPr>
      <w:r>
        <w:rPr>
          <w:rFonts w:ascii="Calibri" w:hAnsi="Calibri" w:cs="Calibri" w:eastAsia="Calibri"/>
          <w:color w:val="000000"/>
          <w:sz w:val="24"/>
        </w:rPr>
        <w:t xml:space="preserve">Durgungoz, A. ve Kharrufa, A. (2026). “ChatGPT is like a study buddy, a teacher and sometimes just a friend”: A longitudinal exploration of students’ interactions, perception and acceptance. </w:t>
      </w:r>
      <w:r>
        <w:rPr>
          <w:iCs/>
          <w:rFonts w:ascii="Calibri" w:hAnsi="Calibri" w:cs="Calibri" w:eastAsia="Calibri"/>
          <w:i/>
          <w:color w:val="000000"/>
          <w:sz w:val="24"/>
        </w:rPr>
        <w:t xml:space="preserve">Interactive Learning Environments, 34</w:t>
      </w:r>
      <w:r>
        <w:rPr>
          <w:rFonts w:ascii="Calibri" w:hAnsi="Calibri" w:cs="Calibri" w:eastAsia="Calibri"/>
          <w:color w:val="000000"/>
          <w:sz w:val="24"/>
        </w:rPr>
        <w:t xml:space="preserve">(2), 758–777. https://doi.org/10.1080/10494820.2025.2509276</w:t>
      </w:r>
    </w:p>
    <w:p>
      <w:pPr>
        <w:pStyle w:val="BodyText"/>
        <w:spacing w:line="240" w:lineRule="auto" w:before="0" w:after="120"/>
        <w:ind w:left="567" w:hanging="567"/>
        <w:jc w:val="left"/>
      </w:pPr>
      <w:r>
        <w:rPr>
          <w:rFonts w:ascii="Calibri" w:hAnsi="Calibri" w:cs="Calibri" w:eastAsia="Calibri"/>
          <w:color w:val="000000"/>
          <w:sz w:val="24"/>
        </w:rPr>
        <w:t xml:space="preserve">Dzindolet, M. T., Peterson, S. A., Pomranky, R. A., Pierce, L. G. ve Beck, H. P. (2003). The role of trust in automation reliance. </w:t>
      </w:r>
      <w:r>
        <w:rPr>
          <w:iCs/>
          <w:rFonts w:ascii="Calibri" w:hAnsi="Calibri" w:cs="Calibri" w:eastAsia="Calibri"/>
          <w:i/>
          <w:color w:val="000000"/>
          <w:sz w:val="24"/>
        </w:rPr>
        <w:t xml:space="preserve">International Journal of Human-Computer Studies, 58</w:t>
      </w:r>
      <w:r>
        <w:rPr>
          <w:rFonts w:ascii="Calibri" w:hAnsi="Calibri" w:cs="Calibri" w:eastAsia="Calibri"/>
          <w:color w:val="000000"/>
          <w:sz w:val="24"/>
        </w:rPr>
        <w:t xml:space="preserve">(6), 697–718. https://doi.org/10.1016/S1071-5819(03)00038-7</w:t>
      </w:r>
    </w:p>
    <w:p>
      <w:pPr>
        <w:pStyle w:val="BodyText"/>
        <w:spacing w:line="240" w:lineRule="auto" w:before="0" w:after="120"/>
        <w:ind w:left="567" w:hanging="567"/>
        <w:jc w:val="left"/>
      </w:pPr>
      <w:r>
        <w:rPr>
          <w:rFonts w:ascii="Calibri" w:hAnsi="Calibri" w:cs="Calibri" w:eastAsia="Calibri"/>
          <w:color w:val="000000"/>
          <w:sz w:val="24"/>
        </w:rPr>
        <w:t xml:space="preserve">Eliseev, E. D. ve Marsh, E. J. (2023). Understanding why searching the internet inflates confidence in explanatory ability. </w:t>
      </w:r>
      <w:r>
        <w:rPr>
          <w:iCs/>
          <w:rFonts w:ascii="Calibri" w:hAnsi="Calibri" w:cs="Calibri" w:eastAsia="Calibri"/>
          <w:i/>
          <w:color w:val="000000"/>
          <w:sz w:val="24"/>
        </w:rPr>
        <w:t xml:space="preserve">Applied Cognitive Psychology, 37</w:t>
      </w:r>
      <w:r>
        <w:rPr>
          <w:rFonts w:ascii="Calibri" w:hAnsi="Calibri" w:cs="Calibri" w:eastAsia="Calibri"/>
          <w:color w:val="000000"/>
          <w:sz w:val="24"/>
        </w:rPr>
        <w:t xml:space="preserve">(4), 711–720. https://doi.org/10.1002/acp.4058</w:t>
      </w:r>
    </w:p>
    <w:p>
      <w:pPr>
        <w:pStyle w:val="BodyText"/>
        <w:spacing w:line="240" w:lineRule="auto" w:before="0" w:after="120"/>
        <w:ind w:left="567" w:hanging="567"/>
        <w:jc w:val="left"/>
      </w:pPr>
      <w:r>
        <w:rPr>
          <w:rFonts w:ascii="Calibri" w:hAnsi="Calibri" w:cs="Calibri" w:eastAsia="Calibri"/>
          <w:color w:val="000000"/>
          <w:sz w:val="24"/>
        </w:rPr>
        <w:t xml:space="preserve">Elo, S., Kääriäinen, M., Kanste, O., Pölkki, T., Utriainen, K. ve Kyngäs, H. (2014). Qualitative content analysis: A focus on trustworthiness. </w:t>
      </w:r>
      <w:r>
        <w:rPr>
          <w:iCs/>
          <w:rFonts w:ascii="Calibri" w:hAnsi="Calibri" w:cs="Calibri" w:eastAsia="Calibri"/>
          <w:i/>
          <w:color w:val="000000"/>
          <w:sz w:val="24"/>
        </w:rPr>
        <w:t xml:space="preserve">SAGE Open, 4</w:t>
      </w:r>
      <w:r>
        <w:rPr>
          <w:rFonts w:ascii="Calibri" w:hAnsi="Calibri" w:cs="Calibri" w:eastAsia="Calibri"/>
          <w:color w:val="000000"/>
          <w:sz w:val="24"/>
        </w:rPr>
        <w:t xml:space="preserve">(1), 1–10. https://doi.org/10.1177/2158244014522633</w:t>
      </w:r>
    </w:p>
    <w:p>
      <w:pPr>
        <w:pStyle w:val="BodyText"/>
        <w:spacing w:line="240" w:lineRule="auto" w:before="0" w:after="120"/>
        <w:ind w:left="567" w:hanging="567"/>
        <w:jc w:val="left"/>
      </w:pPr>
      <w:r>
        <w:rPr>
          <w:rFonts w:ascii="Calibri" w:hAnsi="Calibri" w:cs="Calibri" w:eastAsia="Calibri"/>
          <w:color w:val="000000"/>
          <w:sz w:val="24"/>
        </w:rPr>
        <w:t xml:space="preserve">Elo, S. ve Kyngäs, H. (2008). The qualitative content analysis process. </w:t>
      </w:r>
      <w:r>
        <w:rPr>
          <w:iCs/>
          <w:rFonts w:ascii="Calibri" w:hAnsi="Calibri" w:cs="Calibri" w:eastAsia="Calibri"/>
          <w:i/>
          <w:color w:val="000000"/>
          <w:sz w:val="24"/>
        </w:rPr>
        <w:t xml:space="preserve">Journal of Advanced Nursing, 62</w:t>
      </w:r>
      <w:r>
        <w:rPr>
          <w:rFonts w:ascii="Calibri" w:hAnsi="Calibri" w:cs="Calibri" w:eastAsia="Calibri"/>
          <w:color w:val="000000"/>
          <w:sz w:val="24"/>
        </w:rPr>
        <w:t xml:space="preserve">(1), 107–115. https://doi.org/10.1111/j.1365-2648.2007.04569.x</w:t>
      </w:r>
    </w:p>
    <w:p>
      <w:pPr>
        <w:pStyle w:val="BodyText"/>
        <w:spacing w:line="240" w:lineRule="auto" w:before="0" w:after="120"/>
        <w:ind w:left="567" w:hanging="567"/>
        <w:jc w:val="left"/>
      </w:pPr>
      <w:r>
        <w:rPr>
          <w:rFonts w:ascii="Calibri" w:hAnsi="Calibri" w:cs="Calibri" w:eastAsia="Calibri"/>
          <w:color w:val="000000"/>
          <w:sz w:val="24"/>
        </w:rPr>
        <w:t xml:space="preserve">Erat, L. ve Cindiloğlu Demirer, M. (2026). Üniversite öğrencilerinin sosyal medya ve yapay zekâ kullanımına ilişkin değerlendirmeleri: Hitit Üniversitesi örneği. </w:t>
      </w:r>
      <w:r>
        <w:rPr>
          <w:iCs/>
          <w:rFonts w:ascii="Calibri" w:hAnsi="Calibri" w:cs="Calibri" w:eastAsia="Calibri"/>
          <w:i/>
          <w:color w:val="000000"/>
          <w:sz w:val="24"/>
        </w:rPr>
        <w:t xml:space="preserve">Kent Akademisi, 19</w:t>
      </w:r>
      <w:r>
        <w:rPr>
          <w:rFonts w:ascii="Calibri" w:hAnsi="Calibri" w:cs="Calibri" w:eastAsia="Calibri"/>
          <w:color w:val="000000"/>
          <w:sz w:val="24"/>
        </w:rPr>
        <w:t xml:space="preserve">(2), 1–33. https://doi.org/10.35674/kent.1759678</w:t>
      </w:r>
    </w:p>
    <w:p>
      <w:pPr>
        <w:pStyle w:val="BodyText"/>
        <w:spacing w:line="240" w:lineRule="auto" w:before="0" w:after="120"/>
        <w:ind w:left="567" w:hanging="567"/>
        <w:jc w:val="left"/>
      </w:pPr>
      <w:r>
        <w:rPr>
          <w:rFonts w:ascii="Calibri" w:hAnsi="Calibri" w:cs="Calibri" w:eastAsia="Calibri"/>
          <w:color w:val="000000"/>
          <w:sz w:val="24"/>
        </w:rPr>
        <w:t xml:space="preserve">Eriçok, B., Karataş, F. ve Yüce, E. (2024). Öğretmen adaylarının yapay zekaya (YZ) ilişkin metafor algıları. </w:t>
      </w:r>
      <w:r>
        <w:rPr>
          <w:iCs/>
          <w:rFonts w:ascii="Calibri" w:hAnsi="Calibri" w:cs="Calibri" w:eastAsia="Calibri"/>
          <w:i/>
          <w:color w:val="000000"/>
          <w:sz w:val="24"/>
        </w:rPr>
        <w:t xml:space="preserve">Kocaeli Üniversitesi Eğitim Dergisi, 7</w:t>
      </w:r>
      <w:r>
        <w:rPr>
          <w:rFonts w:ascii="Calibri" w:hAnsi="Calibri" w:cs="Calibri" w:eastAsia="Calibri"/>
          <w:color w:val="000000"/>
          <w:sz w:val="24"/>
        </w:rPr>
        <w:t xml:space="preserve">(2), 607–630. https://doi.org/10.33400/kuje.1511500</w:t>
      </w:r>
    </w:p>
    <w:p>
      <w:pPr>
        <w:pStyle w:val="BodyText"/>
        <w:spacing w:line="240" w:lineRule="auto" w:before="0" w:after="120"/>
        <w:ind w:left="567" w:hanging="567"/>
        <w:jc w:val="left"/>
      </w:pPr>
      <w:r>
        <w:rPr>
          <w:rFonts w:ascii="Calibri" w:hAnsi="Calibri" w:cs="Calibri" w:eastAsia="Calibri"/>
          <w:color w:val="000000"/>
          <w:sz w:val="24"/>
        </w:rPr>
        <w:t xml:space="preserve">Ersöz, A. R. (2025). Examining the use of AI-powered chatbots in education. </w:t>
      </w:r>
      <w:r>
        <w:rPr>
          <w:iCs/>
          <w:rFonts w:ascii="Calibri" w:hAnsi="Calibri" w:cs="Calibri" w:eastAsia="Calibri"/>
          <w:i/>
          <w:color w:val="000000"/>
          <w:sz w:val="24"/>
        </w:rPr>
        <w:t xml:space="preserve">Kastamonu Eğitim Dergisi, 33</w:t>
      </w:r>
      <w:r>
        <w:rPr>
          <w:rFonts w:ascii="Calibri" w:hAnsi="Calibri" w:cs="Calibri" w:eastAsia="Calibri"/>
          <w:color w:val="000000"/>
          <w:sz w:val="24"/>
        </w:rPr>
        <w:t xml:space="preserve">(3), 625–631. https://doi.org/10.24106/kefdergi.1750218</w:t>
      </w:r>
    </w:p>
    <w:p>
      <w:pPr>
        <w:pStyle w:val="BodyText"/>
        <w:spacing w:line="240" w:lineRule="auto" w:before="0" w:after="120"/>
        <w:ind w:left="567" w:hanging="567"/>
        <w:jc w:val="left"/>
      </w:pPr>
      <w:r>
        <w:rPr>
          <w:rFonts w:ascii="Calibri" w:hAnsi="Calibri" w:cs="Calibri" w:eastAsia="Calibri"/>
          <w:color w:val="000000"/>
          <w:sz w:val="24"/>
        </w:rPr>
        <w:t xml:space="preserve">Eti, H. S. (2025). Yükseköğretimde yapay zekâ: Öğrenci tutumları ve akademisyen görüşleri. </w:t>
      </w:r>
      <w:r>
        <w:rPr>
          <w:iCs/>
          <w:rFonts w:ascii="Calibri" w:hAnsi="Calibri" w:cs="Calibri" w:eastAsia="Calibri"/>
          <w:i/>
          <w:color w:val="000000"/>
          <w:sz w:val="24"/>
        </w:rPr>
        <w:t xml:space="preserve">İktisadi İdari ve Siyasal Araştırmalar Dergisi, 10</w:t>
      </w:r>
      <w:r>
        <w:rPr>
          <w:rFonts w:ascii="Calibri" w:hAnsi="Calibri" w:cs="Calibri" w:eastAsia="Calibri"/>
          <w:color w:val="000000"/>
          <w:sz w:val="24"/>
        </w:rPr>
        <w:t xml:space="preserve">(26), 132–153. https://doi.org/10.25204/iktisad.1588001</w:t>
      </w:r>
    </w:p>
    <w:p>
      <w:pPr>
        <w:pStyle w:val="BodyText"/>
        <w:spacing w:line="240" w:lineRule="auto" w:before="0" w:after="120"/>
        <w:ind w:left="567" w:hanging="567"/>
        <w:jc w:val="left"/>
      </w:pPr>
      <w:r>
        <w:rPr>
          <w:rFonts w:ascii="Calibri" w:hAnsi="Calibri" w:cs="Calibri" w:eastAsia="Calibri"/>
          <w:color w:val="000000"/>
          <w:sz w:val="24"/>
        </w:rPr>
        <w:t xml:space="preserve">Eurostat. (2026). </w:t>
      </w:r>
      <w:r>
        <w:rPr>
          <w:iCs/>
          <w:rFonts w:ascii="Calibri" w:hAnsi="Calibri" w:cs="Calibri" w:eastAsia="Calibri"/>
          <w:i/>
          <w:color w:val="000000"/>
          <w:sz w:val="24"/>
        </w:rPr>
        <w:t xml:space="preserve">Individuals: Use of generative AI tools</w:t>
      </w:r>
      <w:r>
        <w:rPr>
          <w:rFonts w:ascii="Calibri" w:hAnsi="Calibri" w:cs="Calibri" w:eastAsia="Calibri"/>
          <w:color w:val="000000"/>
          <w:sz w:val="24"/>
        </w:rPr>
        <w:t xml:space="preserve"> [Veri seti] (isoc_ai_iaiu, son güncelleme 5 Haziran 2026). Erişim tarihi 30 Eylül 2026. https://doi.org/10.2908/ISOC_AI_IAIU</w:t>
      </w:r>
    </w:p>
    <w:p>
      <w:pPr>
        <w:pStyle w:val="BodyText"/>
        <w:spacing w:line="240" w:lineRule="auto" w:before="0" w:after="120"/>
        <w:ind w:left="567" w:hanging="567"/>
        <w:jc w:val="left"/>
      </w:pPr>
      <w:r>
        <w:rPr>
          <w:rFonts w:ascii="Calibri" w:hAnsi="Calibri" w:cs="Calibri" w:eastAsia="Calibri"/>
          <w:color w:val="000000"/>
          <w:sz w:val="24"/>
        </w:rPr>
        <w:t xml:space="preserve">Fan, Y., Tang, L., Le, H., Shen, K., Tan, S., Zhao, Y., Shen, Y., Li, X. ve Gašević, D. (2025). Beware of metacognitive laziness: Effects of generative artificial intelligence on learning motivation, processes, and performance. </w:t>
      </w:r>
      <w:r>
        <w:rPr>
          <w:iCs/>
          <w:rFonts w:ascii="Calibri" w:hAnsi="Calibri" w:cs="Calibri" w:eastAsia="Calibri"/>
          <w:i/>
          <w:color w:val="000000"/>
          <w:sz w:val="24"/>
        </w:rPr>
        <w:t xml:space="preserve">British Journal of Educational Technology, 56</w:t>
      </w:r>
      <w:r>
        <w:rPr>
          <w:rFonts w:ascii="Calibri" w:hAnsi="Calibri" w:cs="Calibri" w:eastAsia="Calibri"/>
          <w:color w:val="000000"/>
          <w:sz w:val="24"/>
        </w:rPr>
        <w:t xml:space="preserve">(2), 489–530. https://doi.org/10.1111/bjet.13544</w:t>
      </w:r>
    </w:p>
    <w:p>
      <w:pPr>
        <w:pStyle w:val="BodyText"/>
        <w:spacing w:line="240" w:lineRule="auto" w:before="0" w:after="120"/>
        <w:ind w:left="567" w:hanging="567"/>
        <w:jc w:val="left"/>
      </w:pPr>
      <w:r>
        <w:rPr>
          <w:rFonts w:ascii="Calibri" w:hAnsi="Calibri" w:cs="Calibri" w:eastAsia="Calibri"/>
          <w:color w:val="000000"/>
          <w:sz w:val="24"/>
        </w:rPr>
        <w:t xml:space="preserve">Fernandes, D., Villa, S., Nicholls, S., Haavisto, O., Buschek, D., Schmidt, A., Kosch, T., Shen, C. ve Welsch, R. (2026). AI makes you smarter but none the wiser: The disconnect between performance and metacognition. </w:t>
      </w:r>
      <w:r>
        <w:rPr>
          <w:iCs/>
          <w:rFonts w:ascii="Calibri" w:hAnsi="Calibri" w:cs="Calibri" w:eastAsia="Calibri"/>
          <w:i/>
          <w:color w:val="000000"/>
          <w:sz w:val="24"/>
        </w:rPr>
        <w:t xml:space="preserve">Computers in Human Behavior, 175</w:t>
      </w:r>
      <w:r>
        <w:rPr>
          <w:rFonts w:ascii="Calibri" w:hAnsi="Calibri" w:cs="Calibri" w:eastAsia="Calibri"/>
          <w:color w:val="000000"/>
          <w:sz w:val="24"/>
        </w:rPr>
        <w:t xml:space="preserve">, Article 108779. https://doi.org/10.1016/j.chb.2025.108779</w:t>
      </w:r>
    </w:p>
    <w:p>
      <w:pPr>
        <w:pStyle w:val="BodyText"/>
        <w:spacing w:line="240" w:lineRule="auto" w:before="0" w:after="120"/>
        <w:ind w:left="567" w:hanging="567"/>
        <w:jc w:val="left"/>
      </w:pPr>
      <w:r>
        <w:rPr>
          <w:rFonts w:ascii="Calibri" w:hAnsi="Calibri" w:cs="Calibri" w:eastAsia="Calibri"/>
          <w:color w:val="000000"/>
          <w:sz w:val="24"/>
        </w:rPr>
        <w:t xml:space="preserve">Fisher, M., Goddu, M. K. ve Keil, F. C. (2015). Searching for explanations: How the Internet inflates estimates of internal knowledge. </w:t>
      </w:r>
      <w:r>
        <w:rPr>
          <w:iCs/>
          <w:rFonts w:ascii="Calibri" w:hAnsi="Calibri" w:cs="Calibri" w:eastAsia="Calibri"/>
          <w:i/>
          <w:color w:val="000000"/>
          <w:sz w:val="24"/>
        </w:rPr>
        <w:t xml:space="preserve">Journal of Experimental Psychology: General, 144</w:t>
      </w:r>
      <w:r>
        <w:rPr>
          <w:rFonts w:ascii="Calibri" w:hAnsi="Calibri" w:cs="Calibri" w:eastAsia="Calibri"/>
          <w:color w:val="000000"/>
          <w:sz w:val="24"/>
        </w:rPr>
        <w:t xml:space="preserve">(3), 674–687. https://doi.org/10.1037/xge0000070</w:t>
      </w:r>
    </w:p>
    <w:p>
      <w:pPr>
        <w:pStyle w:val="BodyText"/>
        <w:spacing w:line="240" w:lineRule="auto" w:before="0" w:after="120"/>
        <w:ind w:left="567" w:hanging="567"/>
        <w:jc w:val="left"/>
      </w:pPr>
      <w:r>
        <w:rPr>
          <w:rFonts w:ascii="Calibri" w:hAnsi="Calibri" w:cs="Calibri" w:eastAsia="Calibri"/>
          <w:color w:val="000000"/>
          <w:sz w:val="24"/>
        </w:rPr>
        <w:t xml:space="preserve">Fisher, M. ve Oppenheimer, D. M. (2021). Who knows what? Knowledge misattribution in the division of cognitive labor. </w:t>
      </w:r>
      <w:r>
        <w:rPr>
          <w:iCs/>
          <w:rFonts w:ascii="Calibri" w:hAnsi="Calibri" w:cs="Calibri" w:eastAsia="Calibri"/>
          <w:i/>
          <w:color w:val="000000"/>
          <w:sz w:val="24"/>
        </w:rPr>
        <w:t xml:space="preserve">Journal of Experimental Psychology: Applied, 27</w:t>
      </w:r>
      <w:r>
        <w:rPr>
          <w:rFonts w:ascii="Calibri" w:hAnsi="Calibri" w:cs="Calibri" w:eastAsia="Calibri"/>
          <w:color w:val="000000"/>
          <w:sz w:val="24"/>
        </w:rPr>
        <w:t xml:space="preserve">(2), 292–306. https://doi.org/10.1037/xap0000310</w:t>
      </w:r>
    </w:p>
    <w:p>
      <w:pPr>
        <w:pStyle w:val="BodyText"/>
        <w:spacing w:line="240" w:lineRule="auto" w:before="0" w:after="120"/>
        <w:ind w:left="567" w:hanging="567"/>
        <w:jc w:val="left"/>
      </w:pPr>
      <w:r>
        <w:rPr>
          <w:rFonts w:ascii="Calibri" w:hAnsi="Calibri" w:cs="Calibri" w:eastAsia="Calibri"/>
          <w:color w:val="000000"/>
          <w:sz w:val="24"/>
        </w:rPr>
        <w:t xml:space="preserve">Fong, C. J., Gonzales, C., Hill-Troglin Cox, C. ve Shinn, H. B. (2023). Academic help-seeking and achievement of postsecondary students: A meta-analytic investigation. </w:t>
      </w:r>
      <w:r>
        <w:rPr>
          <w:iCs/>
          <w:rFonts w:ascii="Calibri" w:hAnsi="Calibri" w:cs="Calibri" w:eastAsia="Calibri"/>
          <w:i/>
          <w:color w:val="000000"/>
          <w:sz w:val="24"/>
        </w:rPr>
        <w:t xml:space="preserve">Journal of Educational Psychology, 115</w:t>
      </w:r>
      <w:r>
        <w:rPr>
          <w:rFonts w:ascii="Calibri" w:hAnsi="Calibri" w:cs="Calibri" w:eastAsia="Calibri"/>
          <w:color w:val="000000"/>
          <w:sz w:val="24"/>
        </w:rPr>
        <w:t xml:space="preserve">(1), 1–21. https://doi.org/10.1037/edu0000725</w:t>
      </w:r>
    </w:p>
    <w:p>
      <w:pPr>
        <w:pStyle w:val="BodyText"/>
        <w:spacing w:line="240" w:lineRule="auto" w:before="0" w:after="120"/>
        <w:ind w:left="567" w:hanging="567"/>
        <w:jc w:val="left"/>
      </w:pPr>
      <w:r>
        <w:rPr>
          <w:rFonts w:ascii="Calibri" w:hAnsi="Calibri" w:cs="Calibri" w:eastAsia="Calibri"/>
          <w:color w:val="000000"/>
          <w:sz w:val="24"/>
        </w:rPr>
        <w:t xml:space="preserve">Gerlich, M. (2025). AI tools in society: Impacts on cognitive offloading and the future of critical thinking. </w:t>
      </w:r>
      <w:r>
        <w:rPr>
          <w:iCs/>
          <w:rFonts w:ascii="Calibri" w:hAnsi="Calibri" w:cs="Calibri" w:eastAsia="Calibri"/>
          <w:i/>
          <w:color w:val="000000"/>
          <w:sz w:val="24"/>
        </w:rPr>
        <w:t xml:space="preserve">Societies, 15</w:t>
      </w:r>
      <w:r>
        <w:rPr>
          <w:rFonts w:ascii="Calibri" w:hAnsi="Calibri" w:cs="Calibri" w:eastAsia="Calibri"/>
          <w:color w:val="000000"/>
          <w:sz w:val="24"/>
        </w:rPr>
        <w:t xml:space="preserve">(1), Article 6. https://doi.org/10.3390/soc15010006</w:t>
      </w:r>
    </w:p>
    <w:p>
      <w:pPr>
        <w:pStyle w:val="BodyText"/>
        <w:spacing w:line="240" w:lineRule="auto" w:before="0" w:after="120"/>
        <w:ind w:left="567" w:hanging="567"/>
        <w:jc w:val="left"/>
      </w:pPr>
      <w:r>
        <w:rPr>
          <w:rFonts w:ascii="Calibri" w:hAnsi="Calibri" w:cs="Calibri" w:eastAsia="Calibri"/>
          <w:color w:val="000000"/>
          <w:sz w:val="24"/>
        </w:rPr>
        <w:t xml:space="preserve">Gezgin, D. M., Mert, S., Kesici, A. İ. ve Yıldırım, S. (2024). Understanding university students’ intentions to use chatbots in computer programming education: A quantitative study.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(Special Issue-AI in Education), 142–158. https://doi.org/10.19126/suje.1426980</w:t>
      </w:r>
    </w:p>
    <w:p>
      <w:pPr>
        <w:pStyle w:val="BodyText"/>
        <w:spacing w:line="240" w:lineRule="auto" w:before="0" w:after="120"/>
        <w:ind w:left="567" w:hanging="567"/>
        <w:jc w:val="left"/>
      </w:pPr>
      <w:r>
        <w:rPr>
          <w:rFonts w:ascii="Calibri" w:hAnsi="Calibri" w:cs="Calibri" w:eastAsia="Calibri"/>
          <w:color w:val="000000"/>
          <w:sz w:val="24"/>
        </w:rPr>
        <w:t xml:space="preserve">Goddard, K., Roudsari, A. ve Wyatt, J. C. (2012). Automation bias: A systematic review of frequency, effect mediators, and mitigators. </w:t>
      </w:r>
      <w:r>
        <w:rPr>
          <w:iCs/>
          <w:rFonts w:ascii="Calibri" w:hAnsi="Calibri" w:cs="Calibri" w:eastAsia="Calibri"/>
          <w:i/>
          <w:color w:val="000000"/>
          <w:sz w:val="24"/>
        </w:rPr>
        <w:t xml:space="preserve">Journal of the American Medical Informatics Association, 19</w:t>
      </w:r>
      <w:r>
        <w:rPr>
          <w:rFonts w:ascii="Calibri" w:hAnsi="Calibri" w:cs="Calibri" w:eastAsia="Calibri"/>
          <w:color w:val="000000"/>
          <w:sz w:val="24"/>
        </w:rPr>
        <w:t xml:space="preserve">(1), 121–127. https://doi.org/10.1136/amiajnl-2011-000089</w:t>
      </w:r>
    </w:p>
    <w:p>
      <w:pPr>
        <w:pStyle w:val="BodyText"/>
        <w:spacing w:line="240" w:lineRule="auto" w:before="0" w:after="120"/>
        <w:ind w:left="567" w:hanging="567"/>
        <w:jc w:val="left"/>
      </w:pPr>
      <w:r>
        <w:rPr>
          <w:rFonts w:ascii="Calibri" w:hAnsi="Calibri" w:cs="Calibri" w:eastAsia="Calibri"/>
          <w:color w:val="000000"/>
          <w:sz w:val="24"/>
        </w:rPr>
        <w:t xml:space="preserve">Goel, S., Strüber, J., Auzina, I. A., Chandra, K. K., Kumaraguru, P., Kiela, D., Prabhu, A., Bethge, M. ve Geiping, J. (2025). Great models think alike and this undermines AI oversight.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19621–19678). PMLR. https://proceedings.mlr.press/v267/goel25b.html</w:t>
      </w:r>
    </w:p>
    <w:p>
      <w:pPr>
        <w:pStyle w:val="BodyText"/>
        <w:spacing w:line="240" w:lineRule="auto" w:before="0" w:after="120"/>
        <w:ind w:left="567" w:hanging="567"/>
        <w:jc w:val="left"/>
      </w:pPr>
      <w:r>
        <w:rPr>
          <w:rFonts w:ascii="Calibri" w:hAnsi="Calibri" w:cs="Calibri" w:eastAsia="Calibri"/>
          <w:color w:val="000000"/>
          <w:sz w:val="24"/>
        </w:rPr>
        <w:t xml:space="preserve">Gonsalves, C. (2025). Addressing student non-compliance in AI use declarations: Implications for academic integrity and assessment in higher education. </w:t>
      </w:r>
      <w:r>
        <w:rPr>
          <w:iCs/>
          <w:rFonts w:ascii="Calibri" w:hAnsi="Calibri" w:cs="Calibri" w:eastAsia="Calibri"/>
          <w:i/>
          <w:color w:val="000000"/>
          <w:sz w:val="24"/>
        </w:rPr>
        <w:t xml:space="preserve">Assessment &amp; Evaluation in Higher Education, 50</w:t>
      </w:r>
      <w:r>
        <w:rPr>
          <w:rFonts w:ascii="Calibri" w:hAnsi="Calibri" w:cs="Calibri" w:eastAsia="Calibri"/>
          <w:color w:val="000000"/>
          <w:sz w:val="24"/>
        </w:rPr>
        <w:t xml:space="preserve">(4), 592–606. https://doi.org/10.1080/02602938.2024.2415654</w:t>
      </w:r>
    </w:p>
    <w:p>
      <w:pPr>
        <w:pStyle w:val="BodyText"/>
        <w:spacing w:line="240" w:lineRule="auto" w:before="0" w:after="120"/>
        <w:ind w:left="567" w:hanging="567"/>
        <w:jc w:val="left"/>
      </w:pPr>
      <w:r>
        <w:rPr>
          <w:rFonts w:ascii="Calibri" w:hAnsi="Calibri" w:cs="Calibri" w:eastAsia="Calibri"/>
          <w:color w:val="000000"/>
          <w:sz w:val="24"/>
        </w:rPr>
        <w:t xml:space="preserve">Göktaş, L. S. (2023). ChatGPT uzaktan eğitim sınavlarında başarılı olabilir mi? Turizm alanında doğruluk ve doğrulama üzerine bir araştırma. </w:t>
      </w:r>
      <w:r>
        <w:rPr>
          <w:iCs/>
          <w:rFonts w:ascii="Calibri" w:hAnsi="Calibri" w:cs="Calibri" w:eastAsia="Calibri"/>
          <w:i/>
          <w:color w:val="000000"/>
          <w:sz w:val="24"/>
        </w:rPr>
        <w:t xml:space="preserve">Journal of Tourism and Gastronomy Studies, 11</w:t>
      </w:r>
      <w:r>
        <w:rPr>
          <w:rFonts w:ascii="Calibri" w:hAnsi="Calibri" w:cs="Calibri" w:eastAsia="Calibri"/>
          <w:color w:val="000000"/>
          <w:sz w:val="24"/>
        </w:rPr>
        <w:t xml:space="preserve">(2), 892–905. https://doi.org/10.21325/jotags.2023.1224</w:t>
      </w:r>
    </w:p>
    <w:p>
      <w:pPr>
        <w:pStyle w:val="BodyText"/>
        <w:spacing w:line="240" w:lineRule="auto" w:before="0" w:after="120"/>
        <w:ind w:left="567" w:hanging="567"/>
        <w:jc w:val="left"/>
      </w:pPr>
      <w:r>
        <w:rPr>
          <w:rFonts w:ascii="Calibri" w:hAnsi="Calibri" w:cs="Calibri" w:eastAsia="Calibri"/>
          <w:color w:val="000000"/>
          <w:sz w:val="24"/>
        </w:rPr>
        <w:t xml:space="preserve">Graneheim, U. H., Lindgren, B.-M. ve Lundman, B. (2017). Methodological challenges in qualitative content analysis: A discussion paper. </w:t>
      </w:r>
      <w:r>
        <w:rPr>
          <w:iCs/>
          <w:rFonts w:ascii="Calibri" w:hAnsi="Calibri" w:cs="Calibri" w:eastAsia="Calibri"/>
          <w:i/>
          <w:color w:val="000000"/>
          <w:sz w:val="24"/>
        </w:rPr>
        <w:t xml:space="preserve">Nurse Education Today, 56</w:t>
      </w:r>
      <w:r>
        <w:rPr>
          <w:rFonts w:ascii="Calibri" w:hAnsi="Calibri" w:cs="Calibri" w:eastAsia="Calibri"/>
          <w:color w:val="000000"/>
          <w:sz w:val="24"/>
        </w:rPr>
        <w:t xml:space="preserve">, 29–34. https://doi.org/10.1016/j.nedt.2017.06.002</w:t>
      </w:r>
    </w:p>
    <w:p>
      <w:pPr>
        <w:pStyle w:val="BodyText"/>
        <w:spacing w:line="240" w:lineRule="auto" w:before="0" w:after="120"/>
        <w:ind w:left="567" w:hanging="567"/>
        <w:jc w:val="left"/>
      </w:pPr>
      <w:r>
        <w:rPr>
          <w:rFonts w:ascii="Calibri" w:hAnsi="Calibri" w:cs="Calibri" w:eastAsia="Calibri"/>
          <w:color w:val="000000"/>
          <w:sz w:val="24"/>
        </w:rPr>
        <w:t xml:space="preserve">Graneheim, U. H. ve Lundman, B. (2004). Qualitative content analysis in nursing research: Concepts, procedures and measures to achieve trustworthiness. </w:t>
      </w:r>
      <w:r>
        <w:rPr>
          <w:iCs/>
          <w:rFonts w:ascii="Calibri" w:hAnsi="Calibri" w:cs="Calibri" w:eastAsia="Calibri"/>
          <w:i/>
          <w:color w:val="000000"/>
          <w:sz w:val="24"/>
        </w:rPr>
        <w:t xml:space="preserve">Nurse Education Today, 24</w:t>
      </w:r>
      <w:r>
        <w:rPr>
          <w:rFonts w:ascii="Calibri" w:hAnsi="Calibri" w:cs="Calibri" w:eastAsia="Calibri"/>
          <w:color w:val="000000"/>
          <w:sz w:val="24"/>
        </w:rPr>
        <w:t xml:space="preserve">(2), 105–112. https://doi.org/10.1016/j.nedt.2003.10.001</w:t>
      </w:r>
    </w:p>
    <w:p>
      <w:pPr>
        <w:pStyle w:val="BodyText"/>
        <w:spacing w:line="240" w:lineRule="auto" w:before="0" w:after="120"/>
        <w:ind w:left="567" w:hanging="567"/>
        <w:jc w:val="left"/>
      </w:pPr>
      <w:r>
        <w:rPr>
          <w:rFonts w:ascii="Calibri" w:hAnsi="Calibri" w:cs="Calibri" w:eastAsia="Calibri"/>
          <w:color w:val="000000"/>
          <w:sz w:val="24"/>
        </w:rPr>
        <w:t xml:space="preserve">Griffiths, M. (2005). A ‘components’ model of addiction within a biopsychosocial framework. </w:t>
      </w:r>
      <w:r>
        <w:rPr>
          <w:iCs/>
          <w:rFonts w:ascii="Calibri" w:hAnsi="Calibri" w:cs="Calibri" w:eastAsia="Calibri"/>
          <w:i/>
          <w:color w:val="000000"/>
          <w:sz w:val="24"/>
        </w:rPr>
        <w:t xml:space="preserve">Journal of Substance Use, 10</w:t>
      </w:r>
      <w:r>
        <w:rPr>
          <w:rFonts w:ascii="Calibri" w:hAnsi="Calibri" w:cs="Calibri" w:eastAsia="Calibri"/>
          <w:color w:val="000000"/>
          <w:sz w:val="24"/>
        </w:rPr>
        <w:t xml:space="preserve">(4), 191–197. https://doi.org/10.1080/14659890500114359</w:t>
      </w:r>
    </w:p>
    <w:p>
      <w:pPr>
        <w:pStyle w:val="BodyText"/>
        <w:spacing w:line="240" w:lineRule="auto" w:before="0" w:after="120"/>
        <w:ind w:left="567" w:hanging="567"/>
        <w:jc w:val="left"/>
      </w:pPr>
      <w:r>
        <w:rPr>
          <w:rFonts w:ascii="Calibri" w:hAnsi="Calibri" w:cs="Calibri" w:eastAsia="Calibri"/>
          <w:color w:val="000000"/>
          <w:sz w:val="24"/>
        </w:rPr>
        <w:t xml:space="preserve">Grinschgl, S., Papenmeier, F. ve Meyerhoff, H. S. (2021). Consequences of cognitive offloading: Boosting performance but diminishing memory. </w:t>
      </w:r>
      <w:r>
        <w:rPr>
          <w:iCs/>
          <w:rFonts w:ascii="Calibri" w:hAnsi="Calibri" w:cs="Calibri" w:eastAsia="Calibri"/>
          <w:i/>
          <w:color w:val="000000"/>
          <w:sz w:val="24"/>
        </w:rPr>
        <w:t xml:space="preserve">Quarterly Journal of Experimental Psychology, 74</w:t>
      </w:r>
      <w:r>
        <w:rPr>
          <w:rFonts w:ascii="Calibri" w:hAnsi="Calibri" w:cs="Calibri" w:eastAsia="Calibri"/>
          <w:color w:val="000000"/>
          <w:sz w:val="24"/>
        </w:rPr>
        <w:t xml:space="preserve">(9), 1477–1496. https://doi.org/10.1177/17470218211008060</w:t>
      </w:r>
    </w:p>
    <w:p>
      <w:pPr>
        <w:pStyle w:val="BodyText"/>
        <w:spacing w:line="240" w:lineRule="auto" w:before="0" w:after="120"/>
        <w:ind w:left="567" w:hanging="567"/>
        <w:jc w:val="left"/>
      </w:pPr>
      <w:r>
        <w:rPr>
          <w:rFonts w:ascii="Calibri" w:hAnsi="Calibri" w:cs="Calibri" w:eastAsia="Calibri"/>
          <w:color w:val="000000"/>
          <w:sz w:val="24"/>
        </w:rPr>
        <w:t xml:space="preserve">Hallgren, K. A. (2012). Computing inter-rater reliability for observational data: An overview and tutorial. </w:t>
      </w:r>
      <w:r>
        <w:rPr>
          <w:iCs/>
          <w:rFonts w:ascii="Calibri" w:hAnsi="Calibri" w:cs="Calibri" w:eastAsia="Calibri"/>
          <w:i/>
          <w:color w:val="000000"/>
          <w:sz w:val="24"/>
        </w:rPr>
        <w:t xml:space="preserve">Tutorials in Quantitative Methods for Psychology, 8</w:t>
      </w:r>
      <w:r>
        <w:rPr>
          <w:rFonts w:ascii="Calibri" w:hAnsi="Calibri" w:cs="Calibri" w:eastAsia="Calibri"/>
          <w:color w:val="000000"/>
          <w:sz w:val="24"/>
        </w:rPr>
        <w:t xml:space="preserve">(1), 23–34. https://doi.org/10.20982/tqmp.08.1.p023</w:t>
      </w:r>
    </w:p>
    <w:p>
      <w:pPr>
        <w:pStyle w:val="BodyText"/>
        <w:spacing w:line="240" w:lineRule="auto" w:before="0" w:after="120"/>
        <w:ind w:left="567" w:hanging="567"/>
        <w:jc w:val="left"/>
      </w:pPr>
      <w:r>
        <w:rPr>
          <w:rFonts w:ascii="Calibri" w:hAnsi="Calibri" w:cs="Calibri" w:eastAsia="Calibri"/>
          <w:color w:val="000000"/>
          <w:sz w:val="24"/>
        </w:rPr>
        <w:t xml:space="preserve">Hannah, D. R. ve Lautsch, B. A. (2011). Counting in qualitative research: Why to conduct it, when to avoid it, and when to closet it. </w:t>
      </w:r>
      <w:r>
        <w:rPr>
          <w:iCs/>
          <w:rFonts w:ascii="Calibri" w:hAnsi="Calibri" w:cs="Calibri" w:eastAsia="Calibri"/>
          <w:i/>
          <w:color w:val="000000"/>
          <w:sz w:val="24"/>
        </w:rPr>
        <w:t xml:space="preserve">Journal of Management Inquiry, 20</w:t>
      </w:r>
      <w:r>
        <w:rPr>
          <w:rFonts w:ascii="Calibri" w:hAnsi="Calibri" w:cs="Calibri" w:eastAsia="Calibri"/>
          <w:color w:val="000000"/>
          <w:sz w:val="24"/>
        </w:rPr>
        <w:t xml:space="preserve">(1), 14–22. https://doi.org/10.1177/1056492610375988</w:t>
      </w:r>
    </w:p>
    <w:p>
      <w:pPr>
        <w:pStyle w:val="BodyText"/>
        <w:spacing w:line="240" w:lineRule="auto" w:before="0" w:after="120"/>
        <w:ind w:left="567" w:hanging="567"/>
        <w:jc w:val="left"/>
      </w:pPr>
      <w:r>
        <w:rPr>
          <w:rFonts w:ascii="Calibri" w:hAnsi="Calibri" w:cs="Calibri" w:eastAsia="Calibri"/>
          <w:color w:val="000000"/>
          <w:sz w:val="24"/>
        </w:rPr>
        <w:t xml:space="preserve">Hoff, K. A. ve Bashir, M. (2015). Trust in automation: Integrating empirical evidence on factors that influence trust. </w:t>
      </w:r>
      <w:r>
        <w:rPr>
          <w:iCs/>
          <w:rFonts w:ascii="Calibri" w:hAnsi="Calibri" w:cs="Calibri" w:eastAsia="Calibri"/>
          <w:i/>
          <w:color w:val="000000"/>
          <w:sz w:val="24"/>
        </w:rPr>
        <w:t xml:space="preserve">Human Factors, 57</w:t>
      </w:r>
      <w:r>
        <w:rPr>
          <w:rFonts w:ascii="Calibri" w:hAnsi="Calibri" w:cs="Calibri" w:eastAsia="Calibri"/>
          <w:color w:val="000000"/>
          <w:sz w:val="24"/>
        </w:rPr>
        <w:t xml:space="preserve">(3), 407–434. https://doi.org/10.1177/0018720814547570</w:t>
      </w:r>
    </w:p>
    <w:p>
      <w:pPr>
        <w:pStyle w:val="BodyText"/>
        <w:spacing w:line="240" w:lineRule="auto" w:before="0" w:after="120"/>
        <w:ind w:left="567" w:hanging="567"/>
        <w:jc w:val="left"/>
      </w:pPr>
      <w:r>
        <w:rPr>
          <w:rFonts w:ascii="Calibri" w:hAnsi="Calibri" w:cs="Calibri" w:eastAsia="Calibri"/>
          <w:color w:val="000000"/>
          <w:sz w:val="24"/>
        </w:rPr>
        <w:t xml:space="preserve">Holland, A. ve Ciachir, C. (2025). A qualitative study of students’ lived experience and perceptions of using ChatGPT: Immediacy, equity and integrity. </w:t>
      </w:r>
      <w:r>
        <w:rPr>
          <w:iCs/>
          <w:rFonts w:ascii="Calibri" w:hAnsi="Calibri" w:cs="Calibri" w:eastAsia="Calibri"/>
          <w:i/>
          <w:color w:val="000000"/>
          <w:sz w:val="24"/>
        </w:rPr>
        <w:t xml:space="preserve">Interactive Learning Environments, 33</w:t>
      </w:r>
      <w:r>
        <w:rPr>
          <w:rFonts w:ascii="Calibri" w:hAnsi="Calibri" w:cs="Calibri" w:eastAsia="Calibri"/>
          <w:color w:val="000000"/>
          <w:sz w:val="24"/>
        </w:rPr>
        <w:t xml:space="preserve">(1), 483–494. https://doi.org/10.1080/10494820.2024.2350655</w:t>
      </w:r>
    </w:p>
    <w:p>
      <w:pPr>
        <w:pStyle w:val="BodyText"/>
        <w:spacing w:line="240" w:lineRule="auto" w:before="0" w:after="120"/>
        <w:ind w:left="567" w:hanging="567"/>
        <w:jc w:val="left"/>
      </w:pPr>
      <w:r>
        <w:rPr>
          <w:rFonts w:ascii="Calibri" w:hAnsi="Calibri" w:cs="Calibri" w:eastAsia="Calibri"/>
          <w:color w:val="000000"/>
          <w:sz w:val="24"/>
        </w:rPr>
        <w:t xml:space="preserve">Hossain, Z., Çelik, Ö. ve Hınız, G. (2025). Exploring EFL students’ AI literacy in academic writing: Insights into familiarity, knowledge and ethical perceptions. </w:t>
      </w:r>
      <w:r>
        <w:rPr>
          <w:iCs/>
          <w:rFonts w:ascii="Calibri" w:hAnsi="Calibri" w:cs="Calibri" w:eastAsia="Calibri"/>
          <w:i/>
          <w:color w:val="000000"/>
          <w:sz w:val="24"/>
        </w:rPr>
        <w:t xml:space="preserve">Kuramsal Eğitimbilim, 18</w:t>
      </w:r>
      <w:r>
        <w:rPr>
          <w:rFonts w:ascii="Calibri" w:hAnsi="Calibri" w:cs="Calibri" w:eastAsia="Calibri"/>
          <w:color w:val="000000"/>
          <w:sz w:val="24"/>
        </w:rPr>
        <w:t xml:space="preserve">(1), 157–181. https://doi.org/10.30831/akukeg.1538011</w:t>
      </w:r>
    </w:p>
    <w:p>
      <w:pPr>
        <w:pStyle w:val="BodyText"/>
        <w:spacing w:line="240" w:lineRule="auto" w:before="0" w:after="120"/>
        <w:ind w:left="567" w:hanging="567"/>
        <w:jc w:val="left"/>
      </w:pPr>
      <w:r>
        <w:rPr>
          <w:rFonts w:ascii="Calibri" w:hAnsi="Calibri" w:cs="Calibri" w:eastAsia="Calibri"/>
          <w:color w:val="000000"/>
          <w:sz w:val="24"/>
        </w:rPr>
        <w:t xml:space="preserve">Hou, I., Man, O., Hamilton, K., Muthusekaran, S., Johnykutty, J., Zadeh, L. ve MacNeil, S. (2025). ‘All roads lead to ChatGPT’: How generative AI is eroding social interactions and student learning communities. In </w:t>
      </w:r>
      <w:r>
        <w:rPr>
          <w:iCs/>
          <w:rFonts w:ascii="Calibri" w:hAnsi="Calibri" w:cs="Calibri" w:eastAsia="Calibri"/>
          <w:i/>
          <w:color w:val="000000"/>
          <w:sz w:val="24"/>
        </w:rPr>
        <w:t xml:space="preserve">Proceedings of the 30th ACM Conference on Innovation and Technology in Computer Science Education</w:t>
      </w:r>
      <w:r>
        <w:rPr>
          <w:rFonts w:ascii="Calibri" w:hAnsi="Calibri" w:cs="Calibri" w:eastAsia="Calibri"/>
          <w:color w:val="000000"/>
          <w:sz w:val="24"/>
        </w:rPr>
        <w:t xml:space="preserve"> (Vol. 1, pp. 79–85). Association for Computing Machinery. https://doi.org/10.1145/3724363.3729024</w:t>
      </w:r>
    </w:p>
    <w:p>
      <w:pPr>
        <w:pStyle w:val="BodyText"/>
        <w:spacing w:line="240" w:lineRule="auto" w:before="0" w:after="120"/>
        <w:ind w:left="567" w:hanging="567"/>
        <w:jc w:val="left"/>
      </w:pPr>
      <w:r>
        <w:rPr>
          <w:rFonts w:ascii="Calibri" w:hAnsi="Calibri" w:cs="Calibri" w:eastAsia="Calibri"/>
          <w:color w:val="000000"/>
          <w:sz w:val="24"/>
        </w:rPr>
        <w:t xml:space="preserve">Hou, I., Mettille, S., Man, O., Li, Z., Zastudil, C. ve MacNeil, S. (2024). The effects of generative AI on computing students’ help-seeking preferences. In </w:t>
      </w:r>
      <w:r>
        <w:rPr>
          <w:iCs/>
          <w:rFonts w:ascii="Calibri" w:hAnsi="Calibri" w:cs="Calibri" w:eastAsia="Calibri"/>
          <w:i/>
          <w:color w:val="000000"/>
          <w:sz w:val="24"/>
        </w:rPr>
        <w:t xml:space="preserve">Proceedings of the 26th Australasian Computing Education Conference</w:t>
      </w:r>
      <w:r>
        <w:rPr>
          <w:rFonts w:ascii="Calibri" w:hAnsi="Calibri" w:cs="Calibri" w:eastAsia="Calibri"/>
          <w:color w:val="000000"/>
          <w:sz w:val="24"/>
        </w:rPr>
        <w:t xml:space="preserve"> (pp. 39–48). Association for Computing Machinery. https://doi.org/10.1145/3636243.3636248</w:t>
      </w:r>
    </w:p>
    <w:p>
      <w:pPr>
        <w:pStyle w:val="BodyText"/>
        <w:spacing w:line="240" w:lineRule="auto" w:before="0" w:after="120"/>
        <w:ind w:left="567" w:hanging="567"/>
        <w:jc w:val="left"/>
      </w:pPr>
      <w:r>
        <w:rPr>
          <w:rFonts w:ascii="Calibri" w:hAnsi="Calibri" w:cs="Calibri" w:eastAsia="Calibri"/>
          <w:color w:val="000000"/>
          <w:sz w:val="24"/>
        </w:rPr>
        <w:t xml:space="preserve">Hsieh, H.-F. ve Shannon, S. E. (2005). Three approaches to qualitative content analysis. </w:t>
      </w:r>
      <w:r>
        <w:rPr>
          <w:iCs/>
          <w:rFonts w:ascii="Calibri" w:hAnsi="Calibri" w:cs="Calibri" w:eastAsia="Calibri"/>
          <w:i/>
          <w:color w:val="000000"/>
          <w:sz w:val="24"/>
        </w:rPr>
        <w:t xml:space="preserve">Qualitative Health Research, 15</w:t>
      </w:r>
      <w:r>
        <w:rPr>
          <w:rFonts w:ascii="Calibri" w:hAnsi="Calibri" w:cs="Calibri" w:eastAsia="Calibri"/>
          <w:color w:val="000000"/>
          <w:sz w:val="24"/>
        </w:rPr>
        <w:t xml:space="preserve">(9), 1277–1288. https://doi.org/10.1177/1049732305276687</w:t>
      </w:r>
    </w:p>
    <w:p>
      <w:pPr>
        <w:pStyle w:val="BodyText"/>
        <w:spacing w:line="240" w:lineRule="auto" w:before="0" w:after="120"/>
        <w:ind w:left="567" w:hanging="567"/>
        <w:jc w:val="left"/>
      </w:pPr>
      <w:r>
        <w:rPr>
          <w:rFonts w:ascii="Calibri" w:hAnsi="Calibri" w:cs="Calibri" w:eastAsia="Calibri"/>
          <w:color w:val="000000"/>
          <w:sz w:val="24"/>
        </w:rPr>
        <w:t xml:space="preserve">Hu, H., Yu, S. ve Xu, L. (2026). Evidence, trust, and objectivity with generative AI: A qualitative interview study of pre-service science teachers’ truth-assessment practices.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1781772. https://doi.org/10.3389/fpsyg.2026.1781772</w:t>
      </w:r>
    </w:p>
    <w:p>
      <w:pPr>
        <w:pStyle w:val="BodyText"/>
        <w:spacing w:line="240" w:lineRule="auto" w:before="0" w:after="120"/>
        <w:ind w:left="567" w:hanging="567"/>
        <w:jc w:val="left"/>
      </w:pPr>
      <w:r>
        <w:rPr>
          <w:rFonts w:ascii="Calibri" w:hAnsi="Calibri" w:cs="Calibri" w:eastAsia="Calibri"/>
          <w:color w:val="000000"/>
          <w:sz w:val="24"/>
        </w:rPr>
        <w:t xml:space="preserve">Huang, L., Yu, W., Ma, W., Zhong, W., Feng, Z., Wang, H., Chen, Q., Peng, W., Feng, X., Qin, B. ve Liu, T. (2025). A survey on hallucination in large language models: Principles, taxonomy, challenges, and open questions. </w:t>
      </w:r>
      <w:r>
        <w:rPr>
          <w:iCs/>
          <w:rFonts w:ascii="Calibri" w:hAnsi="Calibri" w:cs="Calibri" w:eastAsia="Calibri"/>
          <w:i/>
          <w:color w:val="000000"/>
          <w:sz w:val="24"/>
        </w:rPr>
        <w:t xml:space="preserve">ACM Transactions on Information Systems, 43</w:t>
      </w:r>
      <w:r>
        <w:rPr>
          <w:rFonts w:ascii="Calibri" w:hAnsi="Calibri" w:cs="Calibri" w:eastAsia="Calibri"/>
          <w:color w:val="000000"/>
          <w:sz w:val="24"/>
        </w:rPr>
        <w:t xml:space="preserve">(2), 1–55. https://doi.org/10.1145/3703155</w:t>
      </w:r>
    </w:p>
    <w:p>
      <w:pPr>
        <w:pStyle w:val="BodyText"/>
        <w:spacing w:line="240" w:lineRule="auto" w:before="0" w:after="120"/>
        <w:ind w:left="567" w:hanging="567"/>
        <w:jc w:val="left"/>
      </w:pPr>
      <w:r>
        <w:rPr>
          <w:rFonts w:ascii="Calibri" w:hAnsi="Calibri" w:cs="Calibri" w:eastAsia="Calibri"/>
          <w:color w:val="000000"/>
          <w:sz w:val="24"/>
        </w:rPr>
        <w:t xml:space="preserve">Ji, Z., Lee, N., Frieske, R., Yu, T., Su, D., Xu, Y., Ishii, E., Bang, Y. J., Madotto, A. ve Fung, P. (2023). Survey of hallucination in natural language generation. </w:t>
      </w:r>
      <w:r>
        <w:rPr>
          <w:iCs/>
          <w:rFonts w:ascii="Calibri" w:hAnsi="Calibri" w:cs="Calibri" w:eastAsia="Calibri"/>
          <w:i/>
          <w:color w:val="000000"/>
          <w:sz w:val="24"/>
        </w:rPr>
        <w:t xml:space="preserve">ACM Computing Surveys, 55</w:t>
      </w:r>
      <w:r>
        <w:rPr>
          <w:rFonts w:ascii="Calibri" w:hAnsi="Calibri" w:cs="Calibri" w:eastAsia="Calibri"/>
          <w:color w:val="000000"/>
          <w:sz w:val="24"/>
        </w:rPr>
        <w:t xml:space="preserve">(12), 1–38. https://doi.org/10.1145/3571730</w:t>
      </w:r>
    </w:p>
    <w:p>
      <w:pPr>
        <w:pStyle w:val="BodyText"/>
        <w:spacing w:line="240" w:lineRule="auto" w:before="0" w:after="120"/>
        <w:ind w:left="567" w:hanging="567"/>
        <w:jc w:val="left"/>
      </w:pPr>
      <w:r>
        <w:rPr>
          <w:rFonts w:ascii="Calibri" w:hAnsi="Calibri" w:cs="Calibri" w:eastAsia="Calibri"/>
          <w:color w:val="000000"/>
          <w:sz w:val="24"/>
        </w:rPr>
        <w:t xml:space="preserve">Jiang, S. ve Xu, N. (2026). Is higher academic workload associated with AI dependency? Investigating the roles of academic anxiety, procrastination, and satisfaction with AI. </w:t>
      </w:r>
      <w:r>
        <w:rPr>
          <w:iCs/>
          <w:rFonts w:ascii="Calibri" w:hAnsi="Calibri" w:cs="Calibri" w:eastAsia="Calibri"/>
          <w:i/>
          <w:color w:val="000000"/>
          <w:sz w:val="24"/>
        </w:rPr>
        <w:t xml:space="preserve">Psychology Research and Behavior Management, 19</w:t>
      </w:r>
      <w:r>
        <w:rPr>
          <w:rFonts w:ascii="Calibri" w:hAnsi="Calibri" w:cs="Calibri" w:eastAsia="Calibri"/>
          <w:color w:val="000000"/>
          <w:sz w:val="24"/>
        </w:rPr>
        <w:t xml:space="preserve">, 1–15. https://doi.org/10.2147/PRBM.S634780</w:t>
      </w:r>
    </w:p>
    <w:p>
      <w:pPr>
        <w:pStyle w:val="BodyText"/>
        <w:spacing w:line="240" w:lineRule="auto" w:before="0" w:after="120"/>
        <w:ind w:left="567" w:hanging="567"/>
        <w:jc w:val="left"/>
      </w:pPr>
      <w:r>
        <w:rPr>
          <w:rFonts w:ascii="Calibri" w:hAnsi="Calibri" w:cs="Calibri" w:eastAsia="Calibri"/>
          <w:color w:val="000000"/>
          <w:sz w:val="24"/>
        </w:rPr>
        <w:t xml:space="preserve">Johnston, H., Eaton, M., Henry, I., Deeley, E.-M. ve Parsons, B. N. (2025). Discovering how students use generative artificial intelligence tools for academic writing purposes. </w:t>
      </w:r>
      <w:r>
        <w:rPr>
          <w:iCs/>
          <w:rFonts w:ascii="Calibri" w:hAnsi="Calibri" w:cs="Calibri" w:eastAsia="Calibri"/>
          <w:i/>
          <w:color w:val="000000"/>
          <w:sz w:val="24"/>
        </w:rPr>
        <w:t xml:space="preserve">Journal of Learning Development in Higher Education</w:t>
      </w:r>
      <w:r>
        <w:rPr>
          <w:rFonts w:ascii="Calibri" w:hAnsi="Calibri" w:cs="Calibri" w:eastAsia="Calibri"/>
          <w:color w:val="000000"/>
          <w:sz w:val="24"/>
        </w:rPr>
        <w:t xml:space="preserve">, (34). https://doi.org/10.47408/jldhe.vi34.1301</w:t>
      </w:r>
    </w:p>
    <w:p>
      <w:pPr>
        <w:pStyle w:val="BodyText"/>
        <w:spacing w:line="240" w:lineRule="auto" w:before="0" w:after="120"/>
        <w:ind w:left="567" w:hanging="567"/>
        <w:jc w:val="left"/>
      </w:pPr>
      <w:r>
        <w:rPr>
          <w:rFonts w:ascii="Calibri" w:hAnsi="Calibri" w:cs="Calibri" w:eastAsia="Calibri"/>
          <w:color w:val="000000"/>
          <w:sz w:val="24"/>
        </w:rPr>
        <w:t xml:space="preserve">Johnston, H., Wells, R. F., Shanks, E. M., Boey, T. ve Parsons, B. N. (2024). Student perspectives on the use of generative artificial intelligence technologies in higher education. </w:t>
      </w:r>
      <w:r>
        <w:rPr>
          <w:iCs/>
          <w:rFonts w:ascii="Calibri" w:hAnsi="Calibri" w:cs="Calibri" w:eastAsia="Calibri"/>
          <w:i/>
          <w:color w:val="000000"/>
          <w:sz w:val="24"/>
        </w:rPr>
        <w:t xml:space="preserve">International Journal for Educational Integrity, 20</w:t>
      </w:r>
      <w:r>
        <w:rPr>
          <w:rFonts w:ascii="Calibri" w:hAnsi="Calibri" w:cs="Calibri" w:eastAsia="Calibri"/>
          <w:color w:val="000000"/>
          <w:sz w:val="24"/>
        </w:rPr>
        <w:t xml:space="preserve">(1), Article 2. https://doi.org/10.1007/s40979-024-00149-4</w:t>
      </w:r>
    </w:p>
    <w:p>
      <w:pPr>
        <w:pStyle w:val="BodyText"/>
        <w:spacing w:line="240" w:lineRule="auto" w:before="0" w:after="120"/>
        <w:ind w:left="567" w:hanging="567"/>
        <w:jc w:val="left"/>
      </w:pPr>
      <w:r>
        <w:rPr>
          <w:rFonts w:ascii="Calibri" w:hAnsi="Calibri" w:cs="Calibri" w:eastAsia="Calibri"/>
          <w:color w:val="000000"/>
          <w:sz w:val="24"/>
        </w:rPr>
        <w:t xml:space="preserve">Kahr, P. K., Rooks, G., Willemsen, M. C. ve Snijders, C. C. P. (2024). Understanding trust and reliance development in AI advice: Assessing model accuracy, model explanations, and experiences from previous interactions. </w:t>
      </w:r>
      <w:r>
        <w:rPr>
          <w:iCs/>
          <w:rFonts w:ascii="Calibri" w:hAnsi="Calibri" w:cs="Calibri" w:eastAsia="Calibri"/>
          <w:i/>
          <w:color w:val="000000"/>
          <w:sz w:val="24"/>
        </w:rPr>
        <w:t xml:space="preserve">ACM Transactions on Interactive Intelligent Systems, 14</w:t>
      </w:r>
      <w:r>
        <w:rPr>
          <w:rFonts w:ascii="Calibri" w:hAnsi="Calibri" w:cs="Calibri" w:eastAsia="Calibri"/>
          <w:color w:val="000000"/>
          <w:sz w:val="24"/>
        </w:rPr>
        <w:t xml:space="preserve">(4), 1–30. https://doi.org/10.1145/3686164</w:t>
      </w:r>
    </w:p>
    <w:p>
      <w:pPr>
        <w:pStyle w:val="BodyText"/>
        <w:spacing w:line="240" w:lineRule="auto" w:before="0" w:after="120"/>
        <w:ind w:left="567" w:hanging="567"/>
        <w:jc w:val="left"/>
      </w:pPr>
      <w:r>
        <w:rPr>
          <w:rFonts w:ascii="Calibri" w:hAnsi="Calibri" w:cs="Calibri" w:eastAsia="Calibri"/>
          <w:color w:val="000000"/>
          <w:sz w:val="24"/>
        </w:rPr>
        <w:t xml:space="preserve">Kaplan, O. (2024). Thematic modeling of pre-service mathematics teachers’ reflections on ChatGPT use: Appraisals, ethical challenges and aspirations. </w:t>
      </w:r>
      <w:r>
        <w:rPr>
          <w:iCs/>
          <w:rFonts w:ascii="Calibri" w:hAnsi="Calibri" w:cs="Calibri" w:eastAsia="Calibri"/>
          <w:i/>
          <w:color w:val="000000"/>
          <w:sz w:val="24"/>
        </w:rPr>
        <w:t xml:space="preserve">Adıyaman Üniversitesi Eğitim Bilimleri Dergisi, 14</w:t>
      </w:r>
      <w:r>
        <w:rPr>
          <w:rFonts w:ascii="Calibri" w:hAnsi="Calibri" w:cs="Calibri" w:eastAsia="Calibri"/>
          <w:color w:val="000000"/>
          <w:sz w:val="24"/>
        </w:rPr>
        <w:t xml:space="preserve">(1), 21–35. https://doi.org/10.17984/adyuebd.1463794</w:t>
      </w:r>
    </w:p>
    <w:p>
      <w:pPr>
        <w:pStyle w:val="BodyText"/>
        <w:spacing w:line="240" w:lineRule="auto" w:before="0" w:after="120"/>
        <w:ind w:left="567" w:hanging="567"/>
        <w:jc w:val="left"/>
      </w:pPr>
      <w:r>
        <w:rPr>
          <w:rFonts w:ascii="Calibri" w:hAnsi="Calibri" w:cs="Calibri" w:eastAsia="Calibri"/>
          <w:color w:val="000000"/>
          <w:sz w:val="24"/>
        </w:rPr>
        <w:t xml:space="preserve">Karabenick, S. A. (2004). Perceived achievement goal structure and college student help seeking. </w:t>
      </w:r>
      <w:r>
        <w:rPr>
          <w:iCs/>
          <w:rFonts w:ascii="Calibri" w:hAnsi="Calibri" w:cs="Calibri" w:eastAsia="Calibri"/>
          <w:i/>
          <w:color w:val="000000"/>
          <w:sz w:val="24"/>
        </w:rPr>
        <w:t xml:space="preserve">Journal of Educational Psychology, 96</w:t>
      </w:r>
      <w:r>
        <w:rPr>
          <w:rFonts w:ascii="Calibri" w:hAnsi="Calibri" w:cs="Calibri" w:eastAsia="Calibri"/>
          <w:color w:val="000000"/>
          <w:sz w:val="24"/>
        </w:rPr>
        <w:t xml:space="preserve">(3), 569–581. https://doi.org/10.1037/0022-0663.96.3.569</w:t>
      </w:r>
    </w:p>
    <w:p>
      <w:pPr>
        <w:pStyle w:val="BodyText"/>
        <w:spacing w:line="240" w:lineRule="auto" w:before="0" w:after="120"/>
        <w:ind w:left="567" w:hanging="567"/>
        <w:jc w:val="left"/>
      </w:pPr>
      <w:r>
        <w:rPr>
          <w:rFonts w:ascii="Calibri" w:hAnsi="Calibri" w:cs="Calibri" w:eastAsia="Calibri"/>
          <w:color w:val="000000"/>
          <w:sz w:val="24"/>
        </w:rPr>
        <w:t xml:space="preserve">Karabenick, S. A. ve Dembo, M. H. (2011). Understanding and facilitating self-regulated help seeking. </w:t>
      </w:r>
      <w:r>
        <w:rPr>
          <w:iCs/>
          <w:rFonts w:ascii="Calibri" w:hAnsi="Calibri" w:cs="Calibri" w:eastAsia="Calibri"/>
          <w:i/>
          <w:color w:val="000000"/>
          <w:sz w:val="24"/>
        </w:rPr>
        <w:t xml:space="preserve">New Directions for Teaching and Learning, 2011</w:t>
      </w:r>
      <w:r>
        <w:rPr>
          <w:rFonts w:ascii="Calibri" w:hAnsi="Calibri" w:cs="Calibri" w:eastAsia="Calibri"/>
          <w:color w:val="000000"/>
          <w:sz w:val="24"/>
        </w:rPr>
        <w:t xml:space="preserve">(126), 33–43. https://doi.org/10.1002/tl.442</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(1988). Effects of computer privacy on help-seeking. </w:t>
      </w:r>
      <w:r>
        <w:rPr>
          <w:iCs/>
          <w:rFonts w:ascii="Calibri" w:hAnsi="Calibri" w:cs="Calibri" w:eastAsia="Calibri"/>
          <w:i/>
          <w:color w:val="000000"/>
          <w:sz w:val="24"/>
        </w:rPr>
        <w:t xml:space="preserve">Journal of Applied Social Psychology, 18</w:t>
      </w:r>
      <w:r>
        <w:rPr>
          <w:rFonts w:ascii="Calibri" w:hAnsi="Calibri" w:cs="Calibri" w:eastAsia="Calibri"/>
          <w:color w:val="000000"/>
          <w:sz w:val="24"/>
        </w:rPr>
        <w:t xml:space="preserve">(6), 461–472. https://doi.org/10.1111/j.1559-1816.1988.tb00029.x</w:t>
      </w:r>
    </w:p>
    <w:p>
      <w:pPr>
        <w:pStyle w:val="BodyText"/>
        <w:spacing w:line="240" w:lineRule="auto" w:before="0" w:after="120"/>
        <w:ind w:left="567" w:hanging="567"/>
        <w:jc w:val="left"/>
      </w:pPr>
      <w:r>
        <w:rPr>
          <w:rFonts w:ascii="Calibri" w:hAnsi="Calibri" w:cs="Calibri" w:eastAsia="Calibri"/>
          <w:color w:val="000000"/>
          <w:sz w:val="24"/>
        </w:rPr>
        <w:t xml:space="preserve">Karabenick, S. A. ve Knapp, J. R. (1991). Relationship of academic help seeking to the use of learning strategies and other instrumental achievement behavior in college students. </w:t>
      </w:r>
      <w:r>
        <w:rPr>
          <w:iCs/>
          <w:rFonts w:ascii="Calibri" w:hAnsi="Calibri" w:cs="Calibri" w:eastAsia="Calibri"/>
          <w:i/>
          <w:color w:val="000000"/>
          <w:sz w:val="24"/>
        </w:rPr>
        <w:t xml:space="preserve">Journal of Educational Psychology, 83</w:t>
      </w:r>
      <w:r>
        <w:rPr>
          <w:rFonts w:ascii="Calibri" w:hAnsi="Calibri" w:cs="Calibri" w:eastAsia="Calibri"/>
          <w:color w:val="000000"/>
          <w:sz w:val="24"/>
        </w:rPr>
        <w:t xml:space="preserve">(2), 221–230. https://doi.org/10.1037/0022-0663.83.2.221</w:t>
      </w:r>
    </w:p>
    <w:p>
      <w:pPr>
        <w:pStyle w:val="BodyText"/>
        <w:spacing w:line="240" w:lineRule="auto" w:before="0" w:after="120"/>
        <w:ind w:left="567" w:hanging="567"/>
        <w:jc w:val="left"/>
      </w:pPr>
      <w:r>
        <w:rPr>
          <w:rFonts w:ascii="Calibri" w:hAnsi="Calibri" w:cs="Calibri" w:eastAsia="Calibri"/>
          <w:color w:val="000000"/>
          <w:sz w:val="24"/>
        </w:rPr>
        <w:t xml:space="preserve">Karaoğlan Yılmaz, F. G. ve Yılmaz, R. (2023). Yapay zekâ okuryazarlığı ölçeğinin Türkçeye uyarlanması. </w:t>
      </w:r>
      <w:r>
        <w:rPr>
          <w:iCs/>
          <w:rFonts w:ascii="Calibri" w:hAnsi="Calibri" w:cs="Calibri" w:eastAsia="Calibri"/>
          <w:i/>
          <w:color w:val="000000"/>
          <w:sz w:val="24"/>
        </w:rPr>
        <w:t xml:space="preserve">Bilgi ve İletişim Teknolojileri Dergisi, 5</w:t>
      </w:r>
      <w:r>
        <w:rPr>
          <w:rFonts w:ascii="Calibri" w:hAnsi="Calibri" w:cs="Calibri" w:eastAsia="Calibri"/>
          <w:color w:val="000000"/>
          <w:sz w:val="24"/>
        </w:rPr>
        <w:t xml:space="preserve">(2), 172–190. https://doi.org/10.53694/bited.1376831</w:t>
      </w:r>
    </w:p>
    <w:p>
      <w:pPr>
        <w:pStyle w:val="BodyText"/>
        <w:spacing w:line="240" w:lineRule="auto" w:before="0" w:after="120"/>
        <w:ind w:left="567" w:hanging="567"/>
        <w:jc w:val="left"/>
      </w:pPr>
      <w:r>
        <w:rPr>
          <w:rFonts w:ascii="Calibri" w:hAnsi="Calibri" w:cs="Calibri" w:eastAsia="Calibri"/>
          <w:color w:val="000000"/>
          <w:sz w:val="24"/>
        </w:rPr>
        <w:t xml:space="preserve">Karataş, F. ve Yüce, E. (2024). AI and the future of teaching: Preservice teachers’ reflections on the use of artificial intelligence in open and distributed learning. </w:t>
      </w:r>
      <w:r>
        <w:rPr>
          <w:iCs/>
          <w:rFonts w:ascii="Calibri" w:hAnsi="Calibri" w:cs="Calibri" w:eastAsia="Calibri"/>
          <w:i/>
          <w:color w:val="000000"/>
          <w:sz w:val="24"/>
        </w:rPr>
        <w:t xml:space="preserve">The International Review of Research in Open and Distributed Learning, 25</w:t>
      </w:r>
      <w:r>
        <w:rPr>
          <w:rFonts w:ascii="Calibri" w:hAnsi="Calibri" w:cs="Calibri" w:eastAsia="Calibri"/>
          <w:color w:val="000000"/>
          <w:sz w:val="24"/>
        </w:rPr>
        <w:t xml:space="preserve">(3), 304–325. https://doi.org/10.19173/irrodl.v25i3.7785</w:t>
      </w:r>
    </w:p>
    <w:p>
      <w:pPr>
        <w:pStyle w:val="BodyText"/>
        <w:spacing w:line="240" w:lineRule="auto" w:before="0" w:after="120"/>
        <w:ind w:left="567" w:hanging="567"/>
        <w:jc w:val="left"/>
      </w:pPr>
      <w:r>
        <w:rPr>
          <w:rFonts w:ascii="Calibri" w:hAnsi="Calibri" w:cs="Calibri" w:eastAsia="Calibri"/>
          <w:color w:val="000000"/>
          <w:sz w:val="24"/>
        </w:rPr>
        <w:t xml:space="preserve">Kayhan, S. ve Eyüp, B. (2025). Üretken yapay zekânın akademik yazma becerisi üzerindeki etkisi: Bir SWOT analizi.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1586–1608. https://doi.org/10.17240/aibuefd.2025..-1563495</w:t>
      </w:r>
    </w:p>
    <w:p>
      <w:pPr>
        <w:pStyle w:val="BodyText"/>
        <w:spacing w:line="240" w:lineRule="auto" w:before="0" w:after="120"/>
        <w:ind w:left="567" w:hanging="567"/>
        <w:jc w:val="left"/>
      </w:pPr>
      <w:r>
        <w:rPr>
          <w:rFonts w:ascii="Calibri" w:hAnsi="Calibri" w:cs="Calibri" w:eastAsia="Calibri"/>
          <w:color w:val="000000"/>
          <w:sz w:val="24"/>
        </w:rPr>
        <w:t xml:space="preserve">(2), Article e70547. https://doi.org/10.1111/ejed.70547</w:t>
      </w:r>
    </w:p>
    <w:p>
      <w:pPr>
        <w:pStyle w:val="BodyText"/>
        <w:spacing w:line="240" w:lineRule="auto" w:before="0" w:after="120"/>
        <w:ind w:left="567" w:hanging="567"/>
        <w:jc w:val="left"/>
      </w:pPr>
      <w:r>
        <w:rPr>
          <w:rFonts w:ascii="Calibri" w:hAnsi="Calibri" w:cs="Calibri" w:eastAsia="Calibri"/>
          <w:color w:val="000000"/>
          <w:sz w:val="24"/>
        </w:rPr>
        <w:t xml:space="preserve">Kılıç, S. ve Koca, F. (2025). Artificial intelligence addiction of university students: The case of Ordu University. </w:t>
      </w:r>
      <w:r>
        <w:rPr>
          <w:iCs/>
          <w:rFonts w:ascii="Calibri" w:hAnsi="Calibri" w:cs="Calibri" w:eastAsia="Calibri"/>
          <w:i/>
          <w:color w:val="000000"/>
          <w:sz w:val="24"/>
        </w:rPr>
        <w:t xml:space="preserve">ODÜ Sosyal Bilimler Araştırmaları Dergisi, 15</w:t>
      </w:r>
      <w:r>
        <w:rPr>
          <w:rFonts w:ascii="Calibri" w:hAnsi="Calibri" w:cs="Calibri" w:eastAsia="Calibri"/>
          <w:color w:val="000000"/>
          <w:sz w:val="24"/>
        </w:rPr>
        <w:t xml:space="preserve">(ISRIS 2025), 352–368. https://doi.org/10.48146/odusobiad.1725693</w:t>
      </w:r>
    </w:p>
    <w:p>
      <w:pPr>
        <w:pStyle w:val="BodyText"/>
        <w:spacing w:line="240" w:lineRule="auto" w:before="0" w:after="120"/>
        <w:ind w:left="567" w:hanging="567"/>
        <w:jc w:val="left"/>
      </w:pPr>
      <w:r>
        <w:rPr>
          <w:rFonts w:ascii="Calibri" w:hAnsi="Calibri" w:cs="Calibri" w:eastAsia="Calibri"/>
          <w:color w:val="000000"/>
          <w:sz w:val="24"/>
        </w:rPr>
        <w:t xml:space="preserve">Kırbulut Güneş, Z. D. ve Güneş, B. (2026). Examining chatbot-generated responses on heat and temperature: Misconceptions, consistency, and conceptual change. </w:t>
      </w:r>
      <w:r>
        <w:rPr>
          <w:iCs/>
          <w:rFonts w:ascii="Calibri" w:hAnsi="Calibri" w:cs="Calibri" w:eastAsia="Calibri"/>
          <w:i/>
          <w:color w:val="000000"/>
          <w:sz w:val="24"/>
        </w:rPr>
        <w:t xml:space="preserve">Eğitim ve Bilim, 51</w:t>
      </w:r>
      <w:r>
        <w:rPr>
          <w:rFonts w:ascii="Calibri" w:hAnsi="Calibri" w:cs="Calibri" w:eastAsia="Calibri"/>
          <w:color w:val="000000"/>
          <w:sz w:val="24"/>
        </w:rPr>
        <w:t xml:space="preserve">(225), 227–264. https://doi.org/10.15390/ES.2026.2515</w:t>
      </w:r>
    </w:p>
    <w:p>
      <w:pPr>
        <w:pStyle w:val="BodyText"/>
        <w:spacing w:line="240" w:lineRule="auto" w:before="0" w:after="120"/>
        <w:ind w:left="567" w:hanging="567"/>
        <w:jc w:val="left"/>
      </w:pPr>
      <w:r>
        <w:rPr>
          <w:rFonts w:ascii="Calibri" w:hAnsi="Calibri" w:cs="Calibri" w:eastAsia="Calibri"/>
          <w:color w:val="000000"/>
          <w:sz w:val="24"/>
        </w:rPr>
        <w:t xml:space="preserve">Kim, E. M., Garg, A., Peng, K. ve Garg, N. (2025). Correlated errors in large language models. In </w:t>
      </w:r>
      <w:r>
        <w:rPr>
          <w:iCs/>
          <w:rFonts w:ascii="Calibri" w:hAnsi="Calibri" w:cs="Calibri" w:eastAsia="Calibri"/>
          <w:i/>
          <w:color w:val="000000"/>
          <w:sz w:val="24"/>
        </w:rPr>
        <w:t xml:space="preserve">Proceedings of the 42nd International Conference on Machine Learning</w:t>
      </w:r>
      <w:r>
        <w:rPr>
          <w:rFonts w:ascii="Calibri" w:hAnsi="Calibri" w:cs="Calibri" w:eastAsia="Calibri"/>
          <w:color w:val="000000"/>
          <w:sz w:val="24"/>
        </w:rPr>
        <w:t xml:space="preserve"> (Proceedings of Machine Learning Research, Vol. 267, pp. 30038–30066). PMLR. https://proceedings.mlr.press/v267/kim25e.html</w:t>
      </w:r>
    </w:p>
    <w:p>
      <w:pPr>
        <w:pStyle w:val="BodyText"/>
        <w:spacing w:line="240" w:lineRule="auto" w:before="0" w:after="120"/>
        <w:ind w:left="567" w:hanging="567"/>
        <w:jc w:val="left"/>
      </w:pPr>
      <w:r>
        <w:rPr>
          <w:rFonts w:ascii="Calibri" w:hAnsi="Calibri" w:cs="Calibri" w:eastAsia="Calibri"/>
          <w:color w:val="000000"/>
          <w:sz w:val="24"/>
        </w:rPr>
        <w:t xml:space="preserve">Kim, H., Sefcik, J. S. ve Bradway, C. (2017). Characteristics of qualitative descriptive studies: A systematic review. </w:t>
      </w:r>
      <w:r>
        <w:rPr>
          <w:iCs/>
          <w:rFonts w:ascii="Calibri" w:hAnsi="Calibri" w:cs="Calibri" w:eastAsia="Calibri"/>
          <w:i/>
          <w:color w:val="000000"/>
          <w:sz w:val="24"/>
        </w:rPr>
        <w:t xml:space="preserve">Research in Nursing &amp; Health, 40</w:t>
      </w:r>
      <w:r>
        <w:rPr>
          <w:rFonts w:ascii="Calibri" w:hAnsi="Calibri" w:cs="Calibri" w:eastAsia="Calibri"/>
          <w:color w:val="000000"/>
          <w:sz w:val="24"/>
        </w:rPr>
        <w:t xml:space="preserve">(1), 23–42. https://doi.org/10.1002/nur.21768</w:t>
      </w:r>
    </w:p>
    <w:p>
      <w:pPr>
        <w:pStyle w:val="BodyText"/>
        <w:spacing w:line="240" w:lineRule="auto" w:before="0" w:after="120"/>
        <w:ind w:left="567" w:hanging="567"/>
        <w:jc w:val="left"/>
      </w:pPr>
      <w:r>
        <w:rPr>
          <w:rFonts w:ascii="Calibri" w:hAnsi="Calibri" w:cs="Calibri" w:eastAsia="Calibri"/>
          <w:color w:val="000000"/>
          <w:sz w:val="24"/>
        </w:rPr>
        <w:t xml:space="preserve">Kirsanov, O., Kushwah, L. ve Selvaretnam, G. (2026). Beyond detection: How students use, and hide, AI in online assessments and what authentic tasks can do about it. </w:t>
      </w:r>
      <w:r>
        <w:rPr>
          <w:iCs/>
          <w:rFonts w:ascii="Calibri" w:hAnsi="Calibri" w:cs="Calibri" w:eastAsia="Calibri"/>
          <w:i/>
          <w:color w:val="000000"/>
          <w:sz w:val="24"/>
        </w:rPr>
        <w:t xml:space="preserve">Journal of Academic Ethics, 24</w:t>
      </w:r>
      <w:r>
        <w:rPr>
          <w:rFonts w:ascii="Calibri" w:hAnsi="Calibri" w:cs="Calibri" w:eastAsia="Calibri"/>
          <w:color w:val="000000"/>
          <w:sz w:val="24"/>
        </w:rPr>
        <w:t xml:space="preserve">(1), Article 14. https://doi.org/10.1007/s10805-025-09691-3</w:t>
      </w:r>
    </w:p>
    <w:p>
      <w:pPr>
        <w:pStyle w:val="BodyText"/>
        <w:spacing w:line="240" w:lineRule="auto" w:before="0" w:after="120"/>
        <w:ind w:left="567" w:hanging="567"/>
        <w:jc w:val="left"/>
      </w:pPr>
      <w:r>
        <w:rPr>
          <w:rFonts w:ascii="Calibri" w:hAnsi="Calibri" w:cs="Calibri" w:eastAsia="Calibri"/>
          <w:color w:val="000000"/>
          <w:sz w:val="24"/>
        </w:rPr>
        <w:t xml:space="preserve">Klingbeil, A., Grützner, C. ve Schreck, P. (2024). Trust and reliance on AI: An experimental study on the extent and costs of overreliance on AI. </w:t>
      </w:r>
      <w:r>
        <w:rPr>
          <w:iCs/>
          <w:rFonts w:ascii="Calibri" w:hAnsi="Calibri" w:cs="Calibri" w:eastAsia="Calibri"/>
          <w:i/>
          <w:color w:val="000000"/>
          <w:sz w:val="24"/>
        </w:rPr>
        <w:t xml:space="preserve">Computers in Human Behavior, 160</w:t>
      </w:r>
      <w:r>
        <w:rPr>
          <w:rFonts w:ascii="Calibri" w:hAnsi="Calibri" w:cs="Calibri" w:eastAsia="Calibri"/>
          <w:color w:val="000000"/>
          <w:sz w:val="24"/>
        </w:rPr>
        <w:t xml:space="preserve">, Article 108352. https://doi.org/10.1016/j.chb.2024.108352</w:t>
      </w:r>
    </w:p>
    <w:p>
      <w:pPr>
        <w:pStyle w:val="BodyText"/>
        <w:spacing w:line="240" w:lineRule="auto" w:before="0" w:after="120"/>
        <w:ind w:left="567" w:hanging="567"/>
        <w:jc w:val="left"/>
      </w:pPr>
      <w:r>
        <w:rPr>
          <w:rFonts w:ascii="Calibri" w:hAnsi="Calibri" w:cs="Calibri" w:eastAsia="Calibri"/>
          <w:color w:val="000000"/>
          <w:sz w:val="24"/>
        </w:rPr>
        <w:t xml:space="preserve">. Advance online publication. https://doi.org/10.1002/tesq.70203</w:t>
      </w:r>
    </w:p>
    <w:p>
      <w:pPr>
        <w:pStyle w:val="BodyText"/>
        <w:spacing w:line="240" w:lineRule="auto" w:before="0" w:after="120"/>
        <w:ind w:left="567" w:hanging="567"/>
        <w:jc w:val="left"/>
      </w:pPr>
      <w:r>
        <w:rPr>
          <w:rFonts w:ascii="Calibri" w:hAnsi="Calibri" w:cs="Calibri" w:eastAsia="Calibri"/>
          <w:color w:val="000000"/>
          <w:sz w:val="24"/>
        </w:rPr>
        <w:t xml:space="preserve">Kops, M., Schittenhelm, C. ve Wachs, S. (2025). Young people and false information: A scoping review of responses, influential factors, consequences, and prevention programs. </w:t>
      </w:r>
      <w:r>
        <w:rPr>
          <w:iCs/>
          <w:rFonts w:ascii="Calibri" w:hAnsi="Calibri" w:cs="Calibri" w:eastAsia="Calibri"/>
          <w:i/>
          <w:color w:val="000000"/>
          <w:sz w:val="24"/>
        </w:rPr>
        <w:t xml:space="preserve">Computers in Human Behavior, 169</w:t>
      </w:r>
      <w:r>
        <w:rPr>
          <w:rFonts w:ascii="Calibri" w:hAnsi="Calibri" w:cs="Calibri" w:eastAsia="Calibri"/>
          <w:color w:val="000000"/>
          <w:sz w:val="24"/>
        </w:rPr>
        <w:t xml:space="preserve">, Article 108650. https://doi.org/10.1016/j.chb.2025.108650</w:t>
      </w:r>
    </w:p>
    <w:p>
      <w:pPr>
        <w:pStyle w:val="BodyText"/>
        <w:spacing w:line="240" w:lineRule="auto" w:before="0" w:after="120"/>
        <w:ind w:left="567" w:hanging="567"/>
        <w:jc w:val="left"/>
      </w:pPr>
      <w:r>
        <w:rPr>
          <w:rFonts w:ascii="Calibri" w:hAnsi="Calibri" w:cs="Calibri" w:eastAsia="Calibri"/>
          <w:color w:val="000000"/>
          <w:sz w:val="24"/>
        </w:rPr>
        <w:t xml:space="preserve">Korstjens, I. ve Moser, A. (2018). Series: Practical guidance to qualitative research. Part 4: Trustworthiness and publishing. </w:t>
      </w:r>
      <w:r>
        <w:rPr>
          <w:iCs/>
          <w:rFonts w:ascii="Calibri" w:hAnsi="Calibri" w:cs="Calibri" w:eastAsia="Calibri"/>
          <w:i/>
          <w:color w:val="000000"/>
          <w:sz w:val="24"/>
        </w:rPr>
        <w:t xml:space="preserve">European Journal of General Practice, 24</w:t>
      </w:r>
      <w:r>
        <w:rPr>
          <w:rFonts w:ascii="Calibri" w:hAnsi="Calibri" w:cs="Calibri" w:eastAsia="Calibri"/>
          <w:color w:val="000000"/>
          <w:sz w:val="24"/>
        </w:rPr>
        <w:t xml:space="preserve">(1), 120–124. https://doi.org/10.1080/13814788.2017.1375092</w:t>
      </w:r>
    </w:p>
    <w:p>
      <w:pPr>
        <w:pStyle w:val="BodyText"/>
        <w:spacing w:line="240" w:lineRule="auto" w:before="0" w:after="120"/>
        <w:ind w:left="567" w:hanging="567"/>
        <w:jc w:val="left"/>
      </w:pPr>
      <w:r>
        <w:rPr>
          <w:rFonts w:ascii="Calibri" w:hAnsi="Calibri" w:cs="Calibri" w:eastAsia="Calibri"/>
          <w:color w:val="000000"/>
          <w:sz w:val="24"/>
        </w:rPr>
        <w:t xml:space="preserve">Koynoğlu, Z. N. ve Şenel Çoruhlu, T. (2026). Sınıf öğretmeni adaylarının “yapay zekâ” kavramına ilişkin metaforik algılarının incelenmesi. </w:t>
      </w:r>
      <w:r>
        <w:rPr>
          <w:iCs/>
          <w:rFonts w:ascii="Calibri" w:hAnsi="Calibri" w:cs="Calibri" w:eastAsia="Calibri"/>
          <w:i/>
          <w:color w:val="000000"/>
          <w:sz w:val="24"/>
        </w:rPr>
        <w:t xml:space="preserve">Manisa Celal Bayar Üniversitesi Eğitim Fakültesi Dergisi, 14</w:t>
      </w:r>
      <w:r>
        <w:rPr>
          <w:rFonts w:ascii="Calibri" w:hAnsi="Calibri" w:cs="Calibri" w:eastAsia="Calibri"/>
          <w:color w:val="000000"/>
          <w:sz w:val="24"/>
        </w:rPr>
        <w:t xml:space="preserve">(1), 206–225. https://doi.org/10.52826/mcbuefd.1772671</w:t>
      </w:r>
    </w:p>
    <w:p>
      <w:pPr>
        <w:pStyle w:val="BodyText"/>
        <w:spacing w:line="240" w:lineRule="auto" w:before="0" w:after="120"/>
        <w:ind w:left="567" w:hanging="567"/>
        <w:jc w:val="left"/>
      </w:pPr>
      <w:r>
        <w:rPr>
          <w:rFonts w:ascii="Calibri" w:hAnsi="Calibri" w:cs="Calibri" w:eastAsia="Calibri"/>
          <w:color w:val="000000"/>
          <w:sz w:val="24"/>
        </w:rPr>
        <w:t xml:space="preserve">Kozyreva, A., Lorenz-Spreen, P., Herzog, S. M., Ecker, U. K. H., Lewandowsky, S., Hertwig, R., Ali, A., Bak-Coleman, J., Barzilai, S., Basol, M., Berinsky, A. J., Betsch, C., Cook, J., Fazio, L. K., Geers, M., Guess, A. M., Huang, H., Larreguy, H., Maertens, R., . . . Wineburg, S. (2024). Toolbox of individual-level interventions against online misinformation. </w:t>
      </w:r>
      <w:r>
        <w:rPr>
          <w:iCs/>
          <w:rFonts w:ascii="Calibri" w:hAnsi="Calibri" w:cs="Calibri" w:eastAsia="Calibri"/>
          <w:i/>
          <w:color w:val="000000"/>
          <w:sz w:val="24"/>
        </w:rPr>
        <w:t xml:space="preserve">Nature Human Behaviour, 8</w:t>
      </w:r>
      <w:r>
        <w:rPr>
          <w:rFonts w:ascii="Calibri" w:hAnsi="Calibri" w:cs="Calibri" w:eastAsia="Calibri"/>
          <w:color w:val="000000"/>
          <w:sz w:val="24"/>
        </w:rPr>
        <w:t xml:space="preserve">(6), 1044–1052. https://doi.org/10.1038/s41562-024-01881-0</w:t>
      </w:r>
    </w:p>
    <w:p>
      <w:pPr>
        <w:pStyle w:val="BodyText"/>
        <w:spacing w:line="240" w:lineRule="auto" w:before="0" w:after="120"/>
        <w:ind w:left="567" w:hanging="567"/>
        <w:jc w:val="left"/>
      </w:pPr>
      <w:r>
        <w:rPr>
          <w:rFonts w:ascii="Calibri" w:hAnsi="Calibri" w:cs="Calibri" w:eastAsia="Calibri"/>
          <w:color w:val="000000"/>
          <w:sz w:val="24"/>
        </w:rPr>
        <w:t xml:space="preserve">Körükçü, M. ve Kaya, İ. (2026). Sosyal bilgiler öğretmen adaylarının yapay zekâ araçlarına yönelik görüşleri. </w:t>
      </w:r>
      <w:r>
        <w:rPr>
          <w:iCs/>
          <w:rFonts w:ascii="Calibri" w:hAnsi="Calibri" w:cs="Calibri" w:eastAsia="Calibri"/>
          <w:i/>
          <w:color w:val="000000"/>
          <w:sz w:val="24"/>
        </w:rPr>
        <w:t xml:space="preserve">Üçüncü Sektör Sosyal Ekonomi Dergisi, 61</w:t>
      </w:r>
      <w:r>
        <w:rPr>
          <w:rFonts w:ascii="Calibri" w:hAnsi="Calibri" w:cs="Calibri" w:eastAsia="Calibri"/>
          <w:color w:val="000000"/>
          <w:sz w:val="24"/>
        </w:rPr>
        <w:t xml:space="preserve">(3), 3966–3990. https://doi.org/10.63556/tisej.2026.1932</w:t>
      </w:r>
    </w:p>
    <w:p>
      <w:pPr>
        <w:pStyle w:val="BodyText"/>
        <w:spacing w:line="240" w:lineRule="auto" w:before="0" w:after="120"/>
        <w:ind w:left="567" w:hanging="567"/>
        <w:jc w:val="left"/>
      </w:pPr>
      <w:r>
        <w:rPr>
          <w:rFonts w:ascii="Calibri" w:hAnsi="Calibri" w:cs="Calibri" w:eastAsia="Calibri"/>
          <w:color w:val="000000"/>
          <w:sz w:val="24"/>
        </w:rPr>
        <w:t xml:space="preserve">Krupp, L., Steinert, S., Kiefer-Emmanouilidis, M., Avila, K. E., Lukowicz, P., Kuhn, J., Küchemann, S. ve Karolus, J. (2024). Unreflected acceptance: Investigating the negative consequences of ChatGPT-assisted problem solving in physics education. In </w:t>
      </w:r>
      <w:r>
        <w:rPr>
          <w:iCs/>
          <w:rFonts w:ascii="Calibri" w:hAnsi="Calibri" w:cs="Calibri" w:eastAsia="Calibri"/>
          <w:i/>
          <w:color w:val="000000"/>
          <w:sz w:val="24"/>
        </w:rPr>
        <w:t xml:space="preserve">HHAI 2024: Hybrid human AI systems for the social good</w:t>
      </w:r>
      <w:r>
        <w:rPr>
          <w:rFonts w:ascii="Calibri" w:hAnsi="Calibri" w:cs="Calibri" w:eastAsia="Calibri"/>
          <w:color w:val="000000"/>
          <w:sz w:val="24"/>
        </w:rPr>
        <w:t xml:space="preserve"> (pp. 199–212). IOS Press. https://doi.org/10.3233/FAIA240195</w:t>
      </w:r>
    </w:p>
    <w:p>
      <w:pPr>
        <w:pStyle w:val="BodyText"/>
        <w:spacing w:line="240" w:lineRule="auto" w:before="0" w:after="120"/>
        <w:ind w:left="567" w:hanging="567"/>
        <w:jc w:val="left"/>
      </w:pPr>
      <w:r>
        <w:rPr>
          <w:rFonts w:ascii="Calibri" w:hAnsi="Calibri" w:cs="Calibri" w:eastAsia="Calibri"/>
          <w:color w:val="000000"/>
          <w:sz w:val="24"/>
        </w:rPr>
        <w:t xml:space="preserve">Kyngäs, H. ve Kaakinen, P. (2020). Deductive content analysis. In H. Kyngäs, K. Mikkonen ve M. Kääriäinen (Eds.), </w:t>
      </w:r>
      <w:r>
        <w:rPr>
          <w:iCs/>
          <w:rFonts w:ascii="Calibri" w:hAnsi="Calibri" w:cs="Calibri" w:eastAsia="Calibri"/>
          <w:i/>
          <w:color w:val="000000"/>
          <w:sz w:val="24"/>
        </w:rPr>
        <w:t xml:space="preserve">The application of content analysis in nursing science research</w:t>
      </w:r>
      <w:r>
        <w:rPr>
          <w:rFonts w:ascii="Calibri" w:hAnsi="Calibri" w:cs="Calibri" w:eastAsia="Calibri"/>
          <w:color w:val="000000"/>
          <w:sz w:val="24"/>
        </w:rPr>
        <w:t xml:space="preserve"> (pp. 23–30). Springer. https://doi.org/10.1007/978-3-030-30199-6_3</w:t>
      </w:r>
    </w:p>
    <w:p>
      <w:pPr>
        <w:pStyle w:val="BodyText"/>
        <w:spacing w:line="240" w:lineRule="auto" w:before="0" w:after="120"/>
        <w:ind w:left="567" w:hanging="567"/>
        <w:jc w:val="left"/>
      </w:pPr>
      <w:r>
        <w:rPr>
          <w:rFonts w:ascii="Calibri" w:hAnsi="Calibri" w:cs="Calibri" w:eastAsia="Calibri"/>
          <w:color w:val="000000"/>
          <w:sz w:val="24"/>
        </w:rPr>
        <w:t xml:space="preserve">LaDonna, K. A., Taylor, T. ve Lingard, L. (2018). Why open-ended survey questions are unlikely to support rigorous qualitative insights. </w:t>
      </w:r>
      <w:r>
        <w:rPr>
          <w:iCs/>
          <w:rFonts w:ascii="Calibri" w:hAnsi="Calibri" w:cs="Calibri" w:eastAsia="Calibri"/>
          <w:i/>
          <w:color w:val="000000"/>
          <w:sz w:val="24"/>
        </w:rPr>
        <w:t xml:space="preserve">Academic Medicine, 93</w:t>
      </w:r>
      <w:r>
        <w:rPr>
          <w:rFonts w:ascii="Calibri" w:hAnsi="Calibri" w:cs="Calibri" w:eastAsia="Calibri"/>
          <w:color w:val="000000"/>
          <w:sz w:val="24"/>
        </w:rPr>
        <w:t xml:space="preserve">(3), 347–349. https://doi.org/10.1097/ACM.0000000000002088</w:t>
      </w:r>
    </w:p>
    <w:p>
      <w:pPr>
        <w:pStyle w:val="BodyText"/>
        <w:spacing w:line="240" w:lineRule="auto" w:before="0" w:after="120"/>
        <w:ind w:left="567" w:hanging="567"/>
        <w:jc w:val="left"/>
      </w:pPr>
      <w:r>
        <w:rPr>
          <w:rFonts w:ascii="Calibri" w:hAnsi="Calibri" w:cs="Calibri" w:eastAsia="Calibri"/>
          <w:color w:val="000000"/>
          <w:sz w:val="24"/>
        </w:rPr>
        <w:t xml:space="preserve">Lau, G. R., Low, W. Y., Tay, L., Guevarra, Y. A., Gašević, D. ve Hartanto, A. (2026). Understanding critical thinking in generative artificial intelligence use: Development, validation, and correlates of the critical thinking in AI use scale. </w:t>
      </w:r>
      <w:r>
        <w:rPr>
          <w:iCs/>
          <w:rFonts w:ascii="Calibri" w:hAnsi="Calibri" w:cs="Calibri" w:eastAsia="Calibri"/>
          <w:i/>
          <w:color w:val="000000"/>
          <w:sz w:val="24"/>
        </w:rPr>
        <w:t xml:space="preserve">Computers in Human Behavior Reports, 22</w:t>
      </w:r>
      <w:r>
        <w:rPr>
          <w:rFonts w:ascii="Calibri" w:hAnsi="Calibri" w:cs="Calibri" w:eastAsia="Calibri"/>
          <w:color w:val="000000"/>
          <w:sz w:val="24"/>
        </w:rPr>
        <w:t xml:space="preserve">, Article 101103. https://doi.org/10.1016/j.chbr.2026.101103</w:t>
      </w:r>
    </w:p>
    <w:p>
      <w:pPr>
        <w:pStyle w:val="BodyText"/>
        <w:spacing w:line="240" w:lineRule="auto" w:before="0" w:after="120"/>
        <w:ind w:left="567" w:hanging="567"/>
        <w:jc w:val="left"/>
      </w:pPr>
      <w:r>
        <w:rPr>
          <w:rFonts w:ascii="Calibri" w:hAnsi="Calibri" w:cs="Calibri" w:eastAsia="Calibri"/>
          <w:color w:val="000000"/>
          <w:sz w:val="24"/>
        </w:rPr>
        <w:t xml:space="preserve">. Advance online publication. https://doi.org/10.1111/bjet.70047</w:t>
      </w:r>
    </w:p>
    <w:p>
      <w:pPr>
        <w:pStyle w:val="BodyText"/>
        <w:spacing w:line="240" w:lineRule="auto" w:before="0" w:after="120"/>
        <w:ind w:left="567" w:hanging="567"/>
        <w:jc w:val="left"/>
      </w:pPr>
      <w:r>
        <w:rPr>
          <w:rFonts w:ascii="Calibri" w:hAnsi="Calibri" w:cs="Calibri" w:eastAsia="Calibri"/>
          <w:color w:val="000000"/>
          <w:sz w:val="24"/>
        </w:rPr>
        <w:t xml:space="preserve">Lee, H.-P., Sarkar, A., Tankelevitch, L., Drosos, I., Rintel, S., Banks, R. ve Wilson, N. (2025). The impact of generative AI on critical thinking: Self-reported reductions in cognitive effort and confidence effects from a survey of knowledge workers. In </w:t>
      </w:r>
      <w:r>
        <w:rPr>
          <w:iCs/>
          <w:rFonts w:ascii="Calibri" w:hAnsi="Calibri" w:cs="Calibri" w:eastAsia="Calibri"/>
          <w:i/>
          <w:color w:val="000000"/>
          <w:sz w:val="24"/>
        </w:rPr>
        <w:t xml:space="preserve">Proceedings of the 2025 CHI Conference on Human Factors in Computing Systems</w:t>
      </w:r>
      <w:r>
        <w:rPr>
          <w:rFonts w:ascii="Calibri" w:hAnsi="Calibri" w:cs="Calibri" w:eastAsia="Calibri"/>
          <w:color w:val="000000"/>
          <w:sz w:val="24"/>
        </w:rPr>
        <w:t xml:space="preserve"> (CHI ’25) (pp. 1–22). Association for Computing Machinery. https://doi.org/10.1145/3706598.3713778</w:t>
      </w:r>
    </w:p>
    <w:p>
      <w:pPr>
        <w:pStyle w:val="BodyText"/>
        <w:spacing w:line="240" w:lineRule="auto" w:before="0" w:after="120"/>
        <w:ind w:left="567" w:hanging="567"/>
        <w:jc w:val="left"/>
      </w:pPr>
      <w:r>
        <w:rPr>
          <w:rFonts w:ascii="Calibri" w:hAnsi="Calibri" w:cs="Calibri" w:eastAsia="Calibri"/>
          <w:color w:val="000000"/>
          <w:sz w:val="24"/>
        </w:rPr>
        <w:t xml:space="preserve">Lee, J. D. ve See, K. A. (2004). Trust in automation: Designing for appropriate reliance. </w:t>
      </w:r>
      <w:r>
        <w:rPr>
          <w:iCs/>
          <w:rFonts w:ascii="Calibri" w:hAnsi="Calibri" w:cs="Calibri" w:eastAsia="Calibri"/>
          <w:i/>
          <w:color w:val="000000"/>
          <w:sz w:val="24"/>
        </w:rPr>
        <w:t xml:space="preserve">Human Factors, 46</w:t>
      </w:r>
      <w:r>
        <w:rPr>
          <w:rFonts w:ascii="Calibri" w:hAnsi="Calibri" w:cs="Calibri" w:eastAsia="Calibri"/>
          <w:color w:val="000000"/>
          <w:sz w:val="24"/>
        </w:rPr>
        <w:t xml:space="preserve">(1), 50–80. https://doi.org/10.1518/hfes.46.1.50_30392</w:t>
      </w:r>
    </w:p>
    <w:p>
      <w:pPr>
        <w:pStyle w:val="BodyText"/>
        <w:spacing w:line="240" w:lineRule="auto" w:before="0" w:after="120"/>
        <w:ind w:left="567" w:hanging="567"/>
        <w:jc w:val="left"/>
      </w:pPr>
      <w:r>
        <w:rPr>
          <w:rFonts w:ascii="Calibri" w:hAnsi="Calibri" w:cs="Calibri" w:eastAsia="Calibri"/>
          <w:color w:val="000000"/>
          <w:sz w:val="24"/>
        </w:rPr>
        <w:t xml:space="preserve">Levitt, H. M., Bamberg, M., Creswell, J. W., Frost, D. M., Josselson, R. ve Suárez-Orozco, C. (2018). Journal article reporting standards for qualitative primary, qualitative meta-analytic, and mixed methods research in psychology: The APA Publications and Communications Board task force report. </w:t>
      </w:r>
      <w:r>
        <w:rPr>
          <w:iCs/>
          <w:rFonts w:ascii="Calibri" w:hAnsi="Calibri" w:cs="Calibri" w:eastAsia="Calibri"/>
          <w:i/>
          <w:color w:val="000000"/>
          <w:sz w:val="24"/>
        </w:rPr>
        <w:t xml:space="preserve">American Psychologist, 73</w:t>
      </w:r>
      <w:r>
        <w:rPr>
          <w:rFonts w:ascii="Calibri" w:hAnsi="Calibri" w:cs="Calibri" w:eastAsia="Calibri"/>
          <w:color w:val="000000"/>
          <w:sz w:val="24"/>
        </w:rPr>
        <w:t xml:space="preserve">(1), 26–46. https://doi.org/10.1037/amp0000151</w:t>
      </w:r>
    </w:p>
    <w:p>
      <w:pPr>
        <w:pStyle w:val="BodyText"/>
        <w:spacing w:line="240" w:lineRule="auto" w:before="0" w:after="120"/>
        <w:ind w:left="567" w:hanging="567"/>
        <w:jc w:val="left"/>
      </w:pPr>
      <w:r>
        <w:rPr>
          <w:rFonts w:ascii="Calibri" w:hAnsi="Calibri" w:cs="Calibri" w:eastAsia="Calibri"/>
          <w:color w:val="000000"/>
          <w:sz w:val="24"/>
        </w:rPr>
        <w:t xml:space="preserve">Li, S. ve Liu, J. (2026). Mapping the distribution and depth of metacognitive processes in generative AI-assisted learning: Evidence from interaction logs and concurrent think-aloud protocols. </w:t>
      </w:r>
      <w:r>
        <w:rPr>
          <w:iCs/>
          <w:rFonts w:ascii="Calibri" w:hAnsi="Calibri" w:cs="Calibri" w:eastAsia="Calibri"/>
          <w:i/>
          <w:color w:val="000000"/>
          <w:sz w:val="24"/>
        </w:rPr>
        <w:t xml:space="preserve">Behavioral Sciences, 16</w:t>
      </w:r>
      <w:r>
        <w:rPr>
          <w:rFonts w:ascii="Calibri" w:hAnsi="Calibri" w:cs="Calibri" w:eastAsia="Calibri"/>
          <w:color w:val="000000"/>
          <w:sz w:val="24"/>
        </w:rPr>
        <w:t xml:space="preserve">(8), Article 1365. https://doi.org/10.3390/bs16081365</w:t>
      </w:r>
    </w:p>
    <w:p>
      <w:pPr>
        <w:pStyle w:val="BodyText"/>
        <w:spacing w:line="240" w:lineRule="auto" w:before="0" w:after="120"/>
        <w:ind w:left="567" w:hanging="567"/>
        <w:jc w:val="left"/>
      </w:pPr>
      <w:r>
        <w:rPr>
          <w:rFonts w:ascii="Calibri" w:hAnsi="Calibri" w:cs="Calibri" w:eastAsia="Calibri"/>
          <w:color w:val="000000"/>
          <w:sz w:val="24"/>
        </w:rPr>
        <w:t xml:space="preserve">Lincoln, Y. S. ve Guba, E. G. (1985). </w:t>
      </w:r>
      <w:r>
        <w:rPr>
          <w:iCs/>
          <w:rFonts w:ascii="Calibri" w:hAnsi="Calibri" w:cs="Calibri" w:eastAsia="Calibri"/>
          <w:i/>
          <w:color w:val="000000"/>
          <w:sz w:val="24"/>
        </w:rPr>
        <w:t xml:space="preserve">Naturalistic inquiry</w:t>
      </w:r>
      <w:r>
        <w:rPr>
          <w:rFonts w:ascii="Calibri" w:hAnsi="Calibri" w:cs="Calibri" w:eastAsia="Calibri"/>
          <w:color w:val="000000"/>
          <w:sz w:val="24"/>
        </w:rPr>
        <w:t xml:space="preserve">. Sage.</w:t>
      </w:r>
    </w:p>
    <w:p>
      <w:pPr>
        <w:pStyle w:val="BodyText"/>
        <w:spacing w:line="240" w:lineRule="auto" w:before="0" w:after="120"/>
        <w:ind w:left="567" w:hanging="567"/>
        <w:jc w:val="left"/>
      </w:pPr>
      <w:r>
        <w:rPr>
          <w:rFonts w:ascii="Calibri" w:hAnsi="Calibri" w:cs="Calibri" w:eastAsia="Calibri"/>
          <w:color w:val="000000"/>
          <w:sz w:val="24"/>
        </w:rPr>
        <w:t xml:space="preserve">Liu, Y., Sun, J. ve Zhang, W. (2026). AI learning self-efficacy and self-perceived digital creative functioning: A conditional indirect-association model. </w:t>
      </w:r>
      <w:r>
        <w:rPr>
          <w:iCs/>
          <w:rFonts w:ascii="Calibri" w:hAnsi="Calibri" w:cs="Calibri" w:eastAsia="Calibri"/>
          <w:i/>
          <w:color w:val="000000"/>
          <w:sz w:val="24"/>
        </w:rPr>
        <w:t xml:space="preserve">Journal of Intelligence, 14</w:t>
      </w:r>
      <w:r>
        <w:rPr>
          <w:rFonts w:ascii="Calibri" w:hAnsi="Calibri" w:cs="Calibri" w:eastAsia="Calibri"/>
          <w:color w:val="000000"/>
          <w:sz w:val="24"/>
        </w:rPr>
        <w:t xml:space="preserve">(9), Article 213. https://doi.org/10.3390/jintelligence14090213</w:t>
      </w:r>
    </w:p>
    <w:p>
      <w:pPr>
        <w:pStyle w:val="BodyText"/>
        <w:spacing w:line="240" w:lineRule="auto" w:before="0" w:after="120"/>
        <w:ind w:left="567" w:hanging="567"/>
        <w:jc w:val="left"/>
      </w:pPr>
      <w:r>
        <w:rPr>
          <w:rFonts w:ascii="Calibri" w:hAnsi="Calibri" w:cs="Calibri" w:eastAsia="Calibri"/>
          <w:color w:val="000000"/>
          <w:sz w:val="24"/>
        </w:rPr>
        <w:t xml:space="preserve">Lodge, J. M., Yang, S., Furze, L. ve Dawson, P. (2023). It’s not like a calculator, so what is the relationship between learners and generative artificial intelligence? </w:t>
      </w:r>
      <w:r>
        <w:rPr>
          <w:iCs/>
          <w:rFonts w:ascii="Calibri" w:hAnsi="Calibri" w:cs="Calibri" w:eastAsia="Calibri"/>
          <w:i/>
          <w:color w:val="000000"/>
          <w:sz w:val="24"/>
        </w:rPr>
        <w:t xml:space="preserve">Learning: Research and Practice, 9</w:t>
      </w:r>
      <w:r>
        <w:rPr>
          <w:rFonts w:ascii="Calibri" w:hAnsi="Calibri" w:cs="Calibri" w:eastAsia="Calibri"/>
          <w:color w:val="000000"/>
          <w:sz w:val="24"/>
        </w:rPr>
        <w:t xml:space="preserve">(2), 117–124. https://doi.org/10.1080/23735082.2023.2261106</w:t>
      </w:r>
    </w:p>
    <w:p>
      <w:pPr>
        <w:pStyle w:val="BodyText"/>
        <w:spacing w:line="240" w:lineRule="auto" w:before="0" w:after="120"/>
        <w:ind w:left="567" w:hanging="567"/>
        <w:jc w:val="left"/>
      </w:pPr>
      <w:r>
        <w:rPr>
          <w:rFonts w:ascii="Calibri" w:hAnsi="Calibri" w:cs="Calibri" w:eastAsia="Calibri"/>
          <w:color w:val="000000"/>
          <w:sz w:val="24"/>
        </w:rPr>
        <w:t xml:space="preserve">Macnamara, B. N., Berber, I., Çavuşoğlu, M. C., Krupinski, E. A., Nallapareddy, N., Nelson, N. E., Smith, P. J., Wilson-Delfosse, A. L. ve Ray, S. (2024). Does using artificial intelligence assistance accelerate skill decay and hinder skill development without performers’ awareness? </w:t>
      </w:r>
      <w:r>
        <w:rPr>
          <w:iCs/>
          <w:rFonts w:ascii="Calibri" w:hAnsi="Calibri" w:cs="Calibri" w:eastAsia="Calibri"/>
          <w:i/>
          <w:color w:val="000000"/>
          <w:sz w:val="24"/>
        </w:rPr>
        <w:t xml:space="preserve">Cognitive Research: Principles and Implications, 9</w:t>
      </w:r>
      <w:r>
        <w:rPr>
          <w:rFonts w:ascii="Calibri" w:hAnsi="Calibri" w:cs="Calibri" w:eastAsia="Calibri"/>
          <w:color w:val="000000"/>
          <w:sz w:val="24"/>
        </w:rPr>
        <w:t xml:space="preserve">(1), Article 46. https://doi.org/10.1186/s41235-024-00572-8</w:t>
      </w:r>
    </w:p>
    <w:p>
      <w:pPr>
        <w:pStyle w:val="BodyText"/>
        <w:spacing w:line="240" w:lineRule="auto" w:before="0" w:after="120"/>
        <w:ind w:left="567" w:hanging="567"/>
        <w:jc w:val="left"/>
      </w:pPr>
      <w:r>
        <w:rPr>
          <w:rFonts w:ascii="Calibri" w:hAnsi="Calibri" w:cs="Calibri" w:eastAsia="Calibri"/>
          <w:color w:val="000000"/>
          <w:sz w:val="24"/>
        </w:rPr>
        <w:t xml:space="preserve">MacPhail, C., Khoza, N., Abler, L. ve Ranganathan, M. (2016). Process guidelines for establishing intercoder reliability in qualitative studies. </w:t>
      </w:r>
      <w:r>
        <w:rPr>
          <w:iCs/>
          <w:rFonts w:ascii="Calibri" w:hAnsi="Calibri" w:cs="Calibri" w:eastAsia="Calibri"/>
          <w:i/>
          <w:color w:val="000000"/>
          <w:sz w:val="24"/>
        </w:rPr>
        <w:t xml:space="preserve">Qualitative Research, 16</w:t>
      </w:r>
      <w:r>
        <w:rPr>
          <w:rFonts w:ascii="Calibri" w:hAnsi="Calibri" w:cs="Calibri" w:eastAsia="Calibri"/>
          <w:color w:val="000000"/>
          <w:sz w:val="24"/>
        </w:rPr>
        <w:t xml:space="preserve">(2), 198–212. https://doi.org/10.1177/1468794115577012</w:t>
      </w:r>
    </w:p>
    <w:p>
      <w:pPr>
        <w:pStyle w:val="BodyText"/>
        <w:spacing w:line="240" w:lineRule="auto" w:before="0" w:after="120"/>
        <w:ind w:left="567" w:hanging="567"/>
        <w:jc w:val="left"/>
      </w:pPr>
      <w:r>
        <w:rPr>
          <w:rFonts w:ascii="Calibri" w:hAnsi="Calibri" w:cs="Calibri" w:eastAsia="Calibri"/>
          <w:color w:val="000000"/>
          <w:sz w:val="24"/>
        </w:rPr>
        <w:t xml:space="preserve">Madhavan, P., Wiegmann, D. A. ve Lacson, F. C. (2006). Automation failures on tasks easily performed by operators undermine trust in automated aids. </w:t>
      </w:r>
      <w:r>
        <w:rPr>
          <w:iCs/>
          <w:rFonts w:ascii="Calibri" w:hAnsi="Calibri" w:cs="Calibri" w:eastAsia="Calibri"/>
          <w:i/>
          <w:color w:val="000000"/>
          <w:sz w:val="24"/>
        </w:rPr>
        <w:t xml:space="preserve">Human Factors, 48</w:t>
      </w:r>
      <w:r>
        <w:rPr>
          <w:rFonts w:ascii="Calibri" w:hAnsi="Calibri" w:cs="Calibri" w:eastAsia="Calibri"/>
          <w:color w:val="000000"/>
          <w:sz w:val="24"/>
        </w:rPr>
        <w:t xml:space="preserve">(2), 241–256. https://doi.org/10.1518/001872006777724408</w:t>
      </w:r>
    </w:p>
    <w:p>
      <w:pPr>
        <w:pStyle w:val="BodyText"/>
        <w:spacing w:line="240" w:lineRule="auto" w:before="0" w:after="120"/>
        <w:ind w:left="567" w:hanging="567"/>
        <w:jc w:val="left"/>
      </w:pPr>
      <w:r>
        <w:rPr>
          <w:rFonts w:ascii="Calibri" w:hAnsi="Calibri" w:cs="Calibri" w:eastAsia="Calibri"/>
          <w:color w:val="000000"/>
          <w:sz w:val="24"/>
        </w:rPr>
        <w:t xml:space="preserve">Malterud, K., Siersma, V. D. ve Guassora, A. D. (2016). Sample size in qualitative interview studies: Guided by information power. </w:t>
      </w:r>
      <w:r>
        <w:rPr>
          <w:iCs/>
          <w:rFonts w:ascii="Calibri" w:hAnsi="Calibri" w:cs="Calibri" w:eastAsia="Calibri"/>
          <w:i/>
          <w:color w:val="000000"/>
          <w:sz w:val="24"/>
        </w:rPr>
        <w:t xml:space="preserve">Qualitative Health Research, 26</w:t>
      </w:r>
      <w:r>
        <w:rPr>
          <w:rFonts w:ascii="Calibri" w:hAnsi="Calibri" w:cs="Calibri" w:eastAsia="Calibri"/>
          <w:color w:val="000000"/>
          <w:sz w:val="24"/>
        </w:rPr>
        <w:t xml:space="preserve">(13), 1753–1760. https://doi.org/10.1177/1049732315617444</w:t>
      </w:r>
    </w:p>
    <w:p>
      <w:pPr>
        <w:pStyle w:val="BodyText"/>
        <w:spacing w:line="240" w:lineRule="auto" w:before="0" w:after="120"/>
        <w:ind w:left="567" w:hanging="567"/>
        <w:jc w:val="left"/>
      </w:pPr>
      <w:r>
        <w:rPr>
          <w:rFonts w:ascii="Calibri" w:hAnsi="Calibri" w:cs="Calibri" w:eastAsia="Calibri"/>
          <w:color w:val="000000"/>
          <w:sz w:val="24"/>
        </w:rPr>
        <w:t xml:space="preserve">Maxwell, J. A. (2010). Using numbers in qualitative research. </w:t>
      </w:r>
      <w:r>
        <w:rPr>
          <w:iCs/>
          <w:rFonts w:ascii="Calibri" w:hAnsi="Calibri" w:cs="Calibri" w:eastAsia="Calibri"/>
          <w:i/>
          <w:color w:val="000000"/>
          <w:sz w:val="24"/>
        </w:rPr>
        <w:t xml:space="preserve">Qualitative Inquiry, 16</w:t>
      </w:r>
      <w:r>
        <w:rPr>
          <w:rFonts w:ascii="Calibri" w:hAnsi="Calibri" w:cs="Calibri" w:eastAsia="Calibri"/>
          <w:color w:val="000000"/>
          <w:sz w:val="24"/>
        </w:rPr>
        <w:t xml:space="preserve">(6), 475–482. https://doi.org/10.1177/1077800410364740</w:t>
      </w:r>
    </w:p>
    <w:p>
      <w:pPr>
        <w:pStyle w:val="BodyText"/>
        <w:spacing w:line="240" w:lineRule="auto" w:before="0" w:after="120"/>
        <w:ind w:left="567" w:hanging="567"/>
        <w:jc w:val="left"/>
      </w:pPr>
      <w:r>
        <w:rPr>
          <w:rFonts w:ascii="Calibri" w:hAnsi="Calibri" w:cs="Calibri" w:eastAsia="Calibri"/>
          <w:color w:val="000000"/>
          <w:sz w:val="24"/>
        </w:rPr>
        <w:t xml:space="preserve">Mayring, P. (2014). </w:t>
      </w:r>
      <w:r>
        <w:rPr>
          <w:iCs/>
          <w:rFonts w:ascii="Calibri" w:hAnsi="Calibri" w:cs="Calibri" w:eastAsia="Calibri"/>
          <w:i/>
          <w:color w:val="000000"/>
          <w:sz w:val="24"/>
        </w:rPr>
        <w:t xml:space="preserve">Qualitative content analysis: Theoretical foundation, basic procedures and software solution</w:t>
      </w:r>
      <w:r>
        <w:rPr>
          <w:rFonts w:ascii="Calibri" w:hAnsi="Calibri" w:cs="Calibri" w:eastAsia="Calibri"/>
          <w:color w:val="000000"/>
          <w:sz w:val="24"/>
        </w:rPr>
        <w:t xml:space="preserve">. SSOAR. https://nbn-resolving.org/urn:nbn:de:0168-ssoar-395173</w:t>
      </w:r>
    </w:p>
    <w:p>
      <w:pPr>
        <w:pStyle w:val="BodyText"/>
        <w:spacing w:line="240" w:lineRule="auto" w:before="0" w:after="120"/>
        <w:ind w:left="567" w:hanging="567"/>
        <w:jc w:val="left"/>
      </w:pPr>
      <w:r>
        <w:rPr>
          <w:rFonts w:ascii="Calibri" w:hAnsi="Calibri" w:cs="Calibri" w:eastAsia="Calibri"/>
          <w:color w:val="000000"/>
          <w:sz w:val="24"/>
        </w:rPr>
        <w:t xml:space="preserve">McDonald, N., Johri, A., Ali, A. ve Collier, A. H. (2025). Generative artificial intelligence in higher education: Evidence from an analysis of institutional policies and guidelines. </w:t>
      </w:r>
      <w:r>
        <w:rPr>
          <w:iCs/>
          <w:rFonts w:ascii="Calibri" w:hAnsi="Calibri" w:cs="Calibri" w:eastAsia="Calibri"/>
          <w:i/>
          <w:color w:val="000000"/>
          <w:sz w:val="24"/>
        </w:rPr>
        <w:t xml:space="preserve">Computers in Human Behavior: Artificial Humans, 3</w:t>
      </w:r>
      <w:r>
        <w:rPr>
          <w:rFonts w:ascii="Calibri" w:hAnsi="Calibri" w:cs="Calibri" w:eastAsia="Calibri"/>
          <w:color w:val="000000"/>
          <w:sz w:val="24"/>
        </w:rPr>
        <w:t xml:space="preserve">, Article 100121. https://doi.org/10.1016/j.chbah.2025.100121</w:t>
      </w:r>
    </w:p>
    <w:p>
      <w:pPr>
        <w:pStyle w:val="BodyText"/>
        <w:spacing w:line="240" w:lineRule="auto" w:before="0" w:after="120"/>
        <w:ind w:left="567" w:hanging="567"/>
        <w:jc w:val="left"/>
      </w:pPr>
      <w:r>
        <w:rPr>
          <w:rFonts w:ascii="Calibri" w:hAnsi="Calibri" w:cs="Calibri" w:eastAsia="Calibri"/>
          <w:color w:val="000000"/>
          <w:sz w:val="24"/>
        </w:rPr>
        <w:t xml:space="preserve">McGrew, S. (2024). Teaching lateral reading: Interventions to help people read like fact checkers. </w:t>
      </w:r>
      <w:r>
        <w:rPr>
          <w:iCs/>
          <w:rFonts w:ascii="Calibri" w:hAnsi="Calibri" w:cs="Calibri" w:eastAsia="Calibri"/>
          <w:i/>
          <w:color w:val="000000"/>
          <w:sz w:val="24"/>
        </w:rPr>
        <w:t xml:space="preserve">Current Opinion in Psychology, 55</w:t>
      </w:r>
      <w:r>
        <w:rPr>
          <w:rFonts w:ascii="Calibri" w:hAnsi="Calibri" w:cs="Calibri" w:eastAsia="Calibri"/>
          <w:color w:val="000000"/>
          <w:sz w:val="24"/>
        </w:rPr>
        <w:t xml:space="preserve">, Article 101737. https://doi.org/10.1016/j.copsyc.2023.101737</w:t>
      </w:r>
    </w:p>
    <w:p>
      <w:pPr>
        <w:pStyle w:val="BodyText"/>
        <w:spacing w:line="240" w:lineRule="auto" w:before="0" w:after="120"/>
        <w:ind w:left="567" w:hanging="567"/>
        <w:jc w:val="left"/>
      </w:pPr>
      <w:r>
        <w:rPr>
          <w:rFonts w:ascii="Calibri" w:hAnsi="Calibri" w:cs="Calibri" w:eastAsia="Calibri"/>
          <w:color w:val="000000"/>
          <w:sz w:val="24"/>
        </w:rPr>
        <w:t xml:space="preserve">McHugh, M. L. (2012). Interrater reliability: The kappa statistic. </w:t>
      </w:r>
      <w:r>
        <w:rPr>
          <w:iCs/>
          <w:rFonts w:ascii="Calibri" w:hAnsi="Calibri" w:cs="Calibri" w:eastAsia="Calibri"/>
          <w:i/>
          <w:color w:val="000000"/>
          <w:sz w:val="24"/>
        </w:rPr>
        <w:t xml:space="preserve">Biochemia Medica, 22</w:t>
      </w:r>
      <w:r>
        <w:rPr>
          <w:rFonts w:ascii="Calibri" w:hAnsi="Calibri" w:cs="Calibri" w:eastAsia="Calibri"/>
          <w:color w:val="000000"/>
          <w:sz w:val="24"/>
        </w:rPr>
        <w:t xml:space="preserve">(3), 276–282. https://doi.org/10.11613/BM.2012.031</w:t>
      </w:r>
    </w:p>
    <w:p>
      <w:pPr>
        <w:pStyle w:val="BodyText"/>
        <w:spacing w:line="240" w:lineRule="auto" w:before="0" w:after="120"/>
        <w:ind w:left="567" w:hanging="567"/>
        <w:jc w:val="left"/>
      </w:pPr>
      <w:r>
        <w:rPr>
          <w:rFonts w:ascii="Calibri" w:hAnsi="Calibri" w:cs="Calibri" w:eastAsia="Calibri"/>
          <w:color w:val="000000"/>
          <w:sz w:val="24"/>
        </w:rPr>
        <w:t xml:space="preserve">Merriam, S. B. ve Tisdell, E. J. (2016). </w:t>
      </w:r>
      <w:r>
        <w:rPr>
          <w:iCs/>
          <w:rFonts w:ascii="Calibri" w:hAnsi="Calibri" w:cs="Calibri" w:eastAsia="Calibri"/>
          <w:i/>
          <w:color w:val="000000"/>
          <w:sz w:val="24"/>
        </w:rPr>
        <w:t xml:space="preserve">Qualitative research: A guide to design and implementation</w:t>
      </w:r>
      <w:r>
        <w:rPr>
          <w:rFonts w:ascii="Calibri" w:hAnsi="Calibri" w:cs="Calibri" w:eastAsia="Calibri"/>
          <w:color w:val="000000"/>
          <w:sz w:val="24"/>
        </w:rPr>
        <w:t xml:space="preserve"> (4th ed.). Jossey-Bass.</w:t>
      </w:r>
    </w:p>
    <w:p>
      <w:pPr>
        <w:pStyle w:val="BodyText"/>
        <w:spacing w:line="240" w:lineRule="auto" w:before="0" w:after="120"/>
        <w:ind w:left="567" w:hanging="567"/>
        <w:jc w:val="left"/>
      </w:pPr>
      <w:r>
        <w:rPr>
          <w:rFonts w:ascii="Calibri" w:hAnsi="Calibri" w:cs="Calibri" w:eastAsia="Calibri"/>
          <w:color w:val="000000"/>
          <w:sz w:val="24"/>
        </w:rPr>
        <w:t xml:space="preserve">Millî Eğitim Bakanlığı. (2025). </w:t>
      </w:r>
      <w:r>
        <w:rPr>
          <w:iCs/>
          <w:rFonts w:ascii="Calibri" w:hAnsi="Calibri" w:cs="Calibri" w:eastAsia="Calibri"/>
          <w:i/>
          <w:color w:val="000000"/>
          <w:sz w:val="24"/>
        </w:rPr>
        <w:t xml:space="preserve">Eğitimde yapay zekâ politika belgesi ve eylem planı (2025–2029)</w:t>
      </w:r>
      <w:r>
        <w:rPr>
          <w:rFonts w:ascii="Calibri" w:hAnsi="Calibri" w:cs="Calibri" w:eastAsia="Calibri"/>
          <w:color w:val="000000"/>
          <w:sz w:val="24"/>
        </w:rPr>
        <w:t xml:space="preserve">. Yenilik ve Eğitim Teknolojileri Genel Müdürlüğü. https://yegitek.meb.gov.tr/meb_iys_dosyalar/2025_06/17092340_egitimdeyapayzekapolitikabelgesiveeylemplani202520291.pdf</w:t>
      </w:r>
    </w:p>
    <w:p>
      <w:pPr>
        <w:pStyle w:val="BodyText"/>
        <w:spacing w:line="240" w:lineRule="auto" w:before="0" w:after="120"/>
        <w:ind w:left="567" w:hanging="567"/>
        <w:jc w:val="left"/>
      </w:pPr>
      <w:r>
        <w:rPr>
          <w:rFonts w:ascii="Calibri" w:hAnsi="Calibri" w:cs="Calibri" w:eastAsia="Calibri"/>
          <w:color w:val="000000"/>
          <w:sz w:val="24"/>
        </w:rPr>
        <w:t xml:space="preserve">Moorhouse, B. L., Yeo, M. A. ve Wan, Y. (2023). Generative AI tools and assessment: Guidelines of the world’s top-ranking universities. </w:t>
      </w:r>
      <w:r>
        <w:rPr>
          <w:iCs/>
          <w:rFonts w:ascii="Calibri" w:hAnsi="Calibri" w:cs="Calibri" w:eastAsia="Calibri"/>
          <w:i/>
          <w:color w:val="000000"/>
          <w:sz w:val="24"/>
        </w:rPr>
        <w:t xml:space="preserve">Computers and Education Open, 5</w:t>
      </w:r>
      <w:r>
        <w:rPr>
          <w:rFonts w:ascii="Calibri" w:hAnsi="Calibri" w:cs="Calibri" w:eastAsia="Calibri"/>
          <w:color w:val="000000"/>
          <w:sz w:val="24"/>
        </w:rPr>
        <w:t xml:space="preserve">, Article 100151. https://doi.org/10.1016/j.caeo.2023.100151</w:t>
      </w:r>
    </w:p>
    <w:p>
      <w:pPr>
        <w:pStyle w:val="BodyText"/>
        <w:spacing w:line="240" w:lineRule="auto" w:before="0" w:after="120"/>
        <w:ind w:left="567" w:hanging="567"/>
        <w:jc w:val="left"/>
      </w:pPr>
      <w:r>
        <w:rPr>
          <w:rFonts w:ascii="Calibri" w:hAnsi="Calibri" w:cs="Calibri" w:eastAsia="Calibri"/>
          <w:color w:val="000000"/>
          <w:sz w:val="24"/>
        </w:rPr>
        <w:t xml:space="preserve">Morgan, D. L. (2023). Exploring the use of artificial intelligence for qualitative data analysis: The case of ChatGPT. </w:t>
      </w:r>
      <w:r>
        <w:rPr>
          <w:iCs/>
          <w:rFonts w:ascii="Calibri" w:hAnsi="Calibri" w:cs="Calibri" w:eastAsia="Calibri"/>
          <w:i/>
          <w:color w:val="000000"/>
          <w:sz w:val="24"/>
        </w:rPr>
        <w:t xml:space="preserve">International Journal of Qualitative Methods, 22</w:t>
      </w:r>
      <w:r>
        <w:rPr>
          <w:rFonts w:ascii="Calibri" w:hAnsi="Calibri" w:cs="Calibri" w:eastAsia="Calibri"/>
          <w:color w:val="000000"/>
          <w:sz w:val="24"/>
        </w:rPr>
        <w:t xml:space="preserve">, 1–10. https://doi.org/10.1177/16094069231211248</w:t>
      </w:r>
    </w:p>
    <w:p>
      <w:pPr>
        <w:pStyle w:val="BodyText"/>
        <w:spacing w:line="240" w:lineRule="auto" w:before="0" w:after="120"/>
        <w:ind w:left="567" w:hanging="567"/>
        <w:jc w:val="left"/>
      </w:pPr>
      <w:r>
        <w:rPr>
          <w:rFonts w:ascii="Calibri" w:hAnsi="Calibri" w:cs="Calibri" w:eastAsia="Calibri"/>
          <w:color w:val="000000"/>
          <w:sz w:val="24"/>
        </w:rPr>
        <w:t xml:space="preserve">Neale, J., Miller, P. ve West, R. (2014). Reporting quantitative information in qualitative research: Guidance for authors and reviewers. </w:t>
      </w:r>
      <w:r>
        <w:rPr>
          <w:iCs/>
          <w:rFonts w:ascii="Calibri" w:hAnsi="Calibri" w:cs="Calibri" w:eastAsia="Calibri"/>
          <w:i/>
          <w:color w:val="000000"/>
          <w:sz w:val="24"/>
        </w:rPr>
        <w:t xml:space="preserve">Addiction, 109</w:t>
      </w:r>
      <w:r>
        <w:rPr>
          <w:rFonts w:ascii="Calibri" w:hAnsi="Calibri" w:cs="Calibri" w:eastAsia="Calibri"/>
          <w:color w:val="000000"/>
          <w:sz w:val="24"/>
        </w:rPr>
        <w:t xml:space="preserve">(2), 175–176. https://doi.org/10.1111/add.12408</w:t>
      </w:r>
    </w:p>
    <w:p>
      <w:pPr>
        <w:pStyle w:val="BodyText"/>
        <w:spacing w:line="240" w:lineRule="auto" w:before="0" w:after="120"/>
        <w:ind w:left="567" w:hanging="567"/>
        <w:jc w:val="left"/>
      </w:pPr>
      <w:r>
        <w:rPr>
          <w:rFonts w:ascii="Calibri" w:hAnsi="Calibri" w:cs="Calibri" w:eastAsia="Calibri"/>
          <w:color w:val="000000"/>
          <w:sz w:val="24"/>
        </w:rPr>
        <w:t xml:space="preserve">Neergaard, M. A., Olesen, F., Andersen, R. S. ve Sondergaard, J. (2009). Qualitative description: The poor cousin of health research? </w:t>
      </w:r>
      <w:r>
        <w:rPr>
          <w:iCs/>
          <w:rFonts w:ascii="Calibri" w:hAnsi="Calibri" w:cs="Calibri" w:eastAsia="Calibri"/>
          <w:i/>
          <w:color w:val="000000"/>
          <w:sz w:val="24"/>
        </w:rPr>
        <w:t xml:space="preserve">BMC Medical Research Methodology, 9</w:t>
      </w:r>
      <w:r>
        <w:rPr>
          <w:rFonts w:ascii="Calibri" w:hAnsi="Calibri" w:cs="Calibri" w:eastAsia="Calibri"/>
          <w:color w:val="000000"/>
          <w:sz w:val="24"/>
        </w:rPr>
        <w:t xml:space="preserve">(1), Article 52. https://doi.org/10.1186/1471-2288-9-52</w:t>
      </w:r>
    </w:p>
    <w:p>
      <w:pPr>
        <w:pStyle w:val="BodyText"/>
        <w:spacing w:line="240" w:lineRule="auto" w:before="0" w:after="120"/>
        <w:ind w:left="567" w:hanging="567"/>
        <w:jc w:val="left"/>
      </w:pPr>
      <w:r>
        <w:rPr>
          <w:rFonts w:ascii="Calibri" w:hAnsi="Calibri" w:cs="Calibri" w:eastAsia="Calibri"/>
          <w:color w:val="000000"/>
          <w:sz w:val="24"/>
        </w:rPr>
        <w:t xml:space="preserve">Nelson-Le Gall, S. (1981). Help-seeking: An understudied problem-solving skill in children. </w:t>
      </w:r>
      <w:r>
        <w:rPr>
          <w:iCs/>
          <w:rFonts w:ascii="Calibri" w:hAnsi="Calibri" w:cs="Calibri" w:eastAsia="Calibri"/>
          <w:i/>
          <w:color w:val="000000"/>
          <w:sz w:val="24"/>
        </w:rPr>
        <w:t xml:space="preserve">Developmental Review, 1</w:t>
      </w:r>
      <w:r>
        <w:rPr>
          <w:rFonts w:ascii="Calibri" w:hAnsi="Calibri" w:cs="Calibri" w:eastAsia="Calibri"/>
          <w:color w:val="000000"/>
          <w:sz w:val="24"/>
        </w:rPr>
        <w:t xml:space="preserve">(3), 224–246. https://doi.org/10.1016/0273-2297(81)90019-8</w:t>
      </w:r>
    </w:p>
    <w:p>
      <w:pPr>
        <w:pStyle w:val="BodyText"/>
        <w:spacing w:line="240" w:lineRule="auto" w:before="0" w:after="120"/>
        <w:ind w:left="567" w:hanging="567"/>
        <w:jc w:val="left"/>
      </w:pPr>
      <w:r>
        <w:rPr>
          <w:rFonts w:ascii="Calibri" w:hAnsi="Calibri" w:cs="Calibri" w:eastAsia="Calibri"/>
          <w:color w:val="000000"/>
          <w:sz w:val="24"/>
        </w:rPr>
        <w:t xml:space="preserve">Nelson-Le Gall, S. (1985). Help-seeking behavior in learning. </w:t>
      </w:r>
      <w:r>
        <w:rPr>
          <w:iCs/>
          <w:rFonts w:ascii="Calibri" w:hAnsi="Calibri" w:cs="Calibri" w:eastAsia="Calibri"/>
          <w:i/>
          <w:color w:val="000000"/>
          <w:sz w:val="24"/>
        </w:rPr>
        <w:t xml:space="preserve">Review of Research in Education, 12</w:t>
      </w:r>
      <w:r>
        <w:rPr>
          <w:rFonts w:ascii="Calibri" w:hAnsi="Calibri" w:cs="Calibri" w:eastAsia="Calibri"/>
          <w:color w:val="000000"/>
          <w:sz w:val="24"/>
        </w:rPr>
        <w:t xml:space="preserve">(1), 55–90. https://doi.org/10.3102/0091732X012001055</w:t>
      </w:r>
    </w:p>
    <w:p>
      <w:pPr>
        <w:pStyle w:val="BodyText"/>
        <w:spacing w:line="240" w:lineRule="auto" w:before="0" w:after="120"/>
        <w:ind w:left="567" w:hanging="567"/>
        <w:jc w:val="left"/>
      </w:pPr>
      <w:r>
        <w:rPr>
          <w:rFonts w:ascii="Calibri" w:hAnsi="Calibri" w:cs="Calibri" w:eastAsia="Calibri"/>
          <w:color w:val="000000"/>
          <w:sz w:val="24"/>
        </w:rPr>
        <w:t xml:space="preserve">Newman, R. S. (2002). How self-regulated learners cope with academic difficulty: The role of adaptive help seeking. </w:t>
      </w:r>
      <w:r>
        <w:rPr>
          <w:iCs/>
          <w:rFonts w:ascii="Calibri" w:hAnsi="Calibri" w:cs="Calibri" w:eastAsia="Calibri"/>
          <w:i/>
          <w:color w:val="000000"/>
          <w:sz w:val="24"/>
        </w:rPr>
        <w:t xml:space="preserve">Theory Into Practice, 41</w:t>
      </w:r>
      <w:r>
        <w:rPr>
          <w:rFonts w:ascii="Calibri" w:hAnsi="Calibri" w:cs="Calibri" w:eastAsia="Calibri"/>
          <w:color w:val="000000"/>
          <w:sz w:val="24"/>
        </w:rPr>
        <w:t xml:space="preserve">(2), 132–138. https://doi.org/10.1207/s15430421tip4102_10</w:t>
      </w:r>
    </w:p>
    <w:p>
      <w:pPr>
        <w:pStyle w:val="BodyText"/>
        <w:spacing w:line="240" w:lineRule="auto" w:before="0" w:after="120"/>
        <w:ind w:left="567" w:hanging="567"/>
        <w:jc w:val="left"/>
      </w:pPr>
      <w:r>
        <w:rPr>
          <w:rFonts w:ascii="Calibri" w:hAnsi="Calibri" w:cs="Calibri" w:eastAsia="Calibri"/>
          <w:color w:val="000000"/>
          <w:sz w:val="24"/>
        </w:rPr>
        <w:t xml:space="preserve">Ng, D. T. K., Leung, J. K. L., Chu, S. K. W. ve Qiao, M. S. (2021). Conceptualizing AI literacy: An exploratory review. </w:t>
      </w:r>
      <w:r>
        <w:rPr>
          <w:iCs/>
          <w:rFonts w:ascii="Calibri" w:hAnsi="Calibri" w:cs="Calibri" w:eastAsia="Calibri"/>
          <w:i/>
          <w:color w:val="000000"/>
          <w:sz w:val="24"/>
        </w:rPr>
        <w:t xml:space="preserve">Computers and Education: Artificial Intelligence, 2</w:t>
      </w:r>
      <w:r>
        <w:rPr>
          <w:rFonts w:ascii="Calibri" w:hAnsi="Calibri" w:cs="Calibri" w:eastAsia="Calibri"/>
          <w:color w:val="000000"/>
          <w:sz w:val="24"/>
        </w:rPr>
        <w:t xml:space="preserve">, Article 100041. https://doi.org/10.1016/j.caeai.2021.100041</w:t>
      </w:r>
    </w:p>
    <w:p>
      <w:pPr>
        <w:pStyle w:val="BodyText"/>
        <w:spacing w:line="240" w:lineRule="auto" w:before="0" w:after="120"/>
        <w:ind w:left="567" w:hanging="567"/>
        <w:jc w:val="left"/>
      </w:pPr>
      <w:r>
        <w:rPr>
          <w:rFonts w:ascii="Calibri" w:hAnsi="Calibri" w:cs="Calibri" w:eastAsia="Calibri"/>
          <w:color w:val="000000"/>
          <w:sz w:val="24"/>
        </w:rPr>
        <w:t xml:space="preserve">Nowell, L. S., Norris, J. M., White, D. E. ve Moules, N. J. (2017). Thematic analysis: Striving to meet the trustworthiness criteria. </w:t>
      </w:r>
      <w:r>
        <w:rPr>
          <w:iCs/>
          <w:rFonts w:ascii="Calibri" w:hAnsi="Calibri" w:cs="Calibri" w:eastAsia="Calibri"/>
          <w:i/>
          <w:color w:val="000000"/>
          <w:sz w:val="24"/>
        </w:rPr>
        <w:t xml:space="preserve">International Journal of Qualitative Methods, 16</w:t>
      </w:r>
      <w:r>
        <w:rPr>
          <w:rFonts w:ascii="Calibri" w:hAnsi="Calibri" w:cs="Calibri" w:eastAsia="Calibri"/>
          <w:color w:val="000000"/>
          <w:sz w:val="24"/>
        </w:rPr>
        <w:t xml:space="preserve">(1), Article 1609406917733847. https://doi.org/10.1177/1609406917733847</w:t>
      </w:r>
    </w:p>
    <w:p>
      <w:pPr>
        <w:pStyle w:val="BodyText"/>
        <w:spacing w:line="240" w:lineRule="auto" w:before="0" w:after="120"/>
        <w:ind w:left="567" w:hanging="567"/>
        <w:jc w:val="left"/>
      </w:pPr>
      <w:r>
        <w:rPr>
          <w:rFonts w:ascii="Calibri" w:hAnsi="Calibri" w:cs="Calibri" w:eastAsia="Calibri"/>
          <w:color w:val="000000"/>
          <w:sz w:val="24"/>
        </w:rPr>
        <w:t xml:space="preserve">O’Brien, B. C., Harris, I. B., Beckman, T. J., Reed, D. A. ve Cook, D. A. (2014). Standards for reporting qualitative research: A synthesis of recommendations. </w:t>
      </w:r>
      <w:r>
        <w:rPr>
          <w:iCs/>
          <w:rFonts w:ascii="Calibri" w:hAnsi="Calibri" w:cs="Calibri" w:eastAsia="Calibri"/>
          <w:i/>
          <w:color w:val="000000"/>
          <w:sz w:val="24"/>
        </w:rPr>
        <w:t xml:space="preserve">Academic Medicine, 89</w:t>
      </w:r>
      <w:r>
        <w:rPr>
          <w:rFonts w:ascii="Calibri" w:hAnsi="Calibri" w:cs="Calibri" w:eastAsia="Calibri"/>
          <w:color w:val="000000"/>
          <w:sz w:val="24"/>
        </w:rPr>
        <w:t xml:space="preserve">(9), 1245–1251. https://doi.org/10.1097/ACM.0000000000000388</w:t>
      </w:r>
    </w:p>
    <w:p>
      <w:pPr>
        <w:pStyle w:val="BodyText"/>
        <w:spacing w:line="240" w:lineRule="auto" w:before="0" w:after="120"/>
        <w:ind w:left="567" w:hanging="567"/>
        <w:jc w:val="left"/>
      </w:pPr>
      <w:r>
        <w:rPr>
          <w:rFonts w:ascii="Calibri" w:hAnsi="Calibri" w:cs="Calibri" w:eastAsia="Calibri"/>
          <w:color w:val="000000"/>
          <w:sz w:val="24"/>
        </w:rPr>
        <w:t xml:space="preserve">O’Cathain, A. ve Thomas, K. J. (2004). “Any other comments?” Open questions on questionnaires: A bane or a bonus to research? </w:t>
      </w:r>
      <w:r>
        <w:rPr>
          <w:iCs/>
          <w:rFonts w:ascii="Calibri" w:hAnsi="Calibri" w:cs="Calibri" w:eastAsia="Calibri"/>
          <w:i/>
          <w:color w:val="000000"/>
          <w:sz w:val="24"/>
        </w:rPr>
        <w:t xml:space="preserve">BMC Medical Research Methodology, 4</w:t>
      </w:r>
      <w:r>
        <w:rPr>
          <w:rFonts w:ascii="Calibri" w:hAnsi="Calibri" w:cs="Calibri" w:eastAsia="Calibri"/>
          <w:color w:val="000000"/>
          <w:sz w:val="24"/>
        </w:rPr>
        <w:t xml:space="preserve">(1), Article 25. https://doi.org/10.1186/1471-2288-4-25</w:t>
      </w:r>
    </w:p>
    <w:p>
      <w:pPr>
        <w:pStyle w:val="BodyText"/>
        <w:spacing w:line="240" w:lineRule="auto" w:before="0" w:after="120"/>
        <w:ind w:left="567" w:hanging="567"/>
        <w:jc w:val="left"/>
      </w:pPr>
      <w:r>
        <w:rPr>
          <w:rFonts w:ascii="Calibri" w:hAnsi="Calibri" w:cs="Calibri" w:eastAsia="Calibri"/>
          <w:color w:val="000000"/>
          <w:sz w:val="24"/>
        </w:rPr>
        <w:t xml:space="preserve">O’Connor, C. ve Joffe, H. (2020). Intercoder reliability in qualitative research: Debates and practical guidelines. </w:t>
      </w:r>
      <w:r>
        <w:rPr>
          <w:iCs/>
          <w:rFonts w:ascii="Calibri" w:hAnsi="Calibri" w:cs="Calibri" w:eastAsia="Calibri"/>
          <w:i/>
          <w:color w:val="000000"/>
          <w:sz w:val="24"/>
        </w:rPr>
        <w:t xml:space="preserve">International Journal of Qualitative Methods, 19</w:t>
      </w:r>
      <w:r>
        <w:rPr>
          <w:rFonts w:ascii="Calibri" w:hAnsi="Calibri" w:cs="Calibri" w:eastAsia="Calibri"/>
          <w:color w:val="000000"/>
          <w:sz w:val="24"/>
        </w:rPr>
        <w:t xml:space="preserve">, Article 1609406919899220. https://doi.org/10.1177/1609406919899220</w:t>
      </w:r>
    </w:p>
    <w:p>
      <w:pPr>
        <w:pStyle w:val="BodyText"/>
        <w:spacing w:line="240" w:lineRule="auto" w:before="0" w:after="120"/>
        <w:ind w:left="567" w:hanging="567"/>
        <w:jc w:val="left"/>
      </w:pPr>
      <w:r>
        <w:rPr>
          <w:rFonts w:ascii="Calibri" w:hAnsi="Calibri" w:cs="Calibri" w:eastAsia="Calibri"/>
          <w:color w:val="000000"/>
          <w:sz w:val="24"/>
        </w:rPr>
        <w:t xml:space="preserve">OECD. (2026a). </w:t>
      </w:r>
      <w:r>
        <w:rPr>
          <w:iCs/>
          <w:rFonts w:ascii="Calibri" w:hAnsi="Calibri" w:cs="Calibri" w:eastAsia="Calibri"/>
          <w:i/>
          <w:color w:val="000000"/>
          <w:sz w:val="24"/>
        </w:rPr>
        <w:t xml:space="preserve">PISA 2025 results (Volume I): Country notes: Türkiye</w:t>
      </w:r>
      <w:r>
        <w:rPr>
          <w:rFonts w:ascii="Calibri" w:hAnsi="Calibri" w:cs="Calibri" w:eastAsia="Calibri"/>
          <w:color w:val="000000"/>
          <w:sz w:val="24"/>
        </w:rPr>
        <w:t xml:space="preserve">. OECD Publishing. https://www.oecd.org/en/publications/pisa-2025-results-volume-i-country-notes_2d4ff9ea-en/turkiye_3f140b0d-en.html</w:t>
      </w:r>
    </w:p>
    <w:p>
      <w:pPr>
        <w:pStyle w:val="BodyText"/>
        <w:spacing w:line="240" w:lineRule="auto" w:before="0" w:after="120"/>
        <w:ind w:left="567" w:hanging="567"/>
        <w:jc w:val="left"/>
      </w:pPr>
      <w:r>
        <w:rPr>
          <w:rFonts w:ascii="Calibri" w:hAnsi="Calibri" w:cs="Calibri" w:eastAsia="Calibri"/>
          <w:color w:val="000000"/>
          <w:sz w:val="24"/>
        </w:rPr>
        <w:t xml:space="preserve">OECD. (2026b). </w:t>
      </w:r>
      <w:r>
        <w:rPr>
          <w:iCs/>
          <w:rFonts w:ascii="Calibri" w:hAnsi="Calibri" w:cs="Calibri" w:eastAsia="Calibri"/>
          <w:i/>
          <w:color w:val="000000"/>
          <w:sz w:val="24"/>
        </w:rPr>
        <w:t xml:space="preserve">PISA 2025 results (Volume I): Future-ready students</w:t>
      </w:r>
      <w:r>
        <w:rPr>
          <w:rFonts w:ascii="Calibri" w:hAnsi="Calibri" w:cs="Calibri" w:eastAsia="Calibri"/>
          <w:color w:val="000000"/>
          <w:sz w:val="24"/>
        </w:rPr>
        <w:t xml:space="preserve">. OECD Publishing. https://doi.org/10.1787/73451bc5-en</w:t>
      </w:r>
    </w:p>
    <w:p>
      <w:pPr>
        <w:pStyle w:val="BodyText"/>
        <w:spacing w:line="240" w:lineRule="auto" w:before="0" w:after="120"/>
        <w:ind w:left="567" w:hanging="567"/>
        <w:jc w:val="left"/>
      </w:pPr>
      <w:r>
        <w:rPr>
          <w:rFonts w:ascii="Calibri" w:hAnsi="Calibri" w:cs="Calibri" w:eastAsia="Calibri"/>
          <w:color w:val="000000"/>
          <w:sz w:val="24"/>
        </w:rPr>
        <w:t xml:space="preserve">Oleas, D., Rodas, J. A. ve Alarcón Rubio, D. (2026). Academic AI overreliance scale: Development and preliminary psychometric validation in health sciences university students. </w:t>
      </w:r>
      <w:r>
        <w:rPr>
          <w:iCs/>
          <w:rFonts w:ascii="Calibri" w:hAnsi="Calibri" w:cs="Calibri" w:eastAsia="Calibri"/>
          <w:i/>
          <w:color w:val="000000"/>
          <w:sz w:val="24"/>
        </w:rPr>
        <w:t xml:space="preserve">Frontiers in Digital Health, 8</w:t>
      </w:r>
      <w:r>
        <w:rPr>
          <w:rFonts w:ascii="Calibri" w:hAnsi="Calibri" w:cs="Calibri" w:eastAsia="Calibri"/>
          <w:color w:val="000000"/>
          <w:sz w:val="24"/>
        </w:rPr>
        <w:t xml:space="preserve">, Article 1882677. https://doi.org/10.3389/fdgth.2026.1882677</w:t>
      </w:r>
    </w:p>
    <w:p>
      <w:pPr>
        <w:pStyle w:val="BodyText"/>
        <w:spacing w:line="240" w:lineRule="auto" w:before="0" w:after="120"/>
        <w:ind w:left="567" w:hanging="567"/>
        <w:jc w:val="left"/>
      </w:pPr>
      <w:r>
        <w:rPr>
          <w:rFonts w:ascii="Calibri" w:hAnsi="Calibri" w:cs="Calibri" w:eastAsia="Calibri"/>
          <w:color w:val="000000"/>
          <w:sz w:val="24"/>
        </w:rPr>
        <w:t xml:space="preserve">Ölmez, İ. Z. ve Özçakır Sümen, Ö. (2026). Sınıf öğretmeni adaylarının ChatGPT’ye ilişkin metaforik algılarının incelenmesi. </w:t>
      </w:r>
      <w:r>
        <w:rPr>
          <w:iCs/>
          <w:rFonts w:ascii="Calibri" w:hAnsi="Calibri" w:cs="Calibri" w:eastAsia="Calibri"/>
          <w:i/>
          <w:color w:val="000000"/>
          <w:sz w:val="24"/>
        </w:rPr>
        <w:t xml:space="preserve">MANAS Sosyal Araştırmalar Dergisi, 15</w:t>
      </w:r>
      <w:r>
        <w:rPr>
          <w:rFonts w:ascii="Calibri" w:hAnsi="Calibri" w:cs="Calibri" w:eastAsia="Calibri"/>
          <w:color w:val="000000"/>
          <w:sz w:val="24"/>
        </w:rPr>
        <w:t xml:space="preserve">(2), 492–507. https://doi.org/10.33206/mjss.1714792</w:t>
      </w:r>
    </w:p>
    <w:p>
      <w:pPr>
        <w:pStyle w:val="BodyText"/>
        <w:spacing w:line="240" w:lineRule="auto" w:before="0" w:after="120"/>
        <w:ind w:left="567" w:hanging="567"/>
        <w:jc w:val="left"/>
      </w:pPr>
      <w:r>
        <w:rPr>
          <w:rFonts w:ascii="Calibri" w:hAnsi="Calibri" w:cs="Calibri" w:eastAsia="Calibri"/>
          <w:color w:val="000000"/>
          <w:sz w:val="24"/>
        </w:rPr>
        <w:t xml:space="preserve">Özaydın Aydoğdu, Y. ve Aydoğdu, Ş. (2025). Yapay zekâ araçlarının kullanımının öğretmen adaylarının tutumlarına ve görüşlerine etkisi. </w:t>
      </w:r>
      <w:r>
        <w:rPr>
          <w:iCs/>
          <w:rFonts w:ascii="Calibri" w:hAnsi="Calibri" w:cs="Calibri" w:eastAsia="Calibri"/>
          <w:i/>
          <w:color w:val="000000"/>
          <w:sz w:val="24"/>
        </w:rPr>
        <w:t xml:space="preserve">Uludağ Üniversitesi Eğitim Fakültesi Dergisi, 38</w:t>
      </w:r>
      <w:r>
        <w:rPr>
          <w:rFonts w:ascii="Calibri" w:hAnsi="Calibri" w:cs="Calibri" w:eastAsia="Calibri"/>
          <w:color w:val="000000"/>
          <w:sz w:val="24"/>
        </w:rPr>
        <w:t xml:space="preserve">(Özel Sayı), 63–95. https://dergipark.org.tr/tr/pub/uefad/article/1609070</w:t>
      </w:r>
    </w:p>
    <w:p>
      <w:pPr>
        <w:pStyle w:val="BodyText"/>
        <w:spacing w:line="240" w:lineRule="auto" w:before="0" w:after="120"/>
        <w:ind w:left="567" w:hanging="567"/>
        <w:jc w:val="left"/>
      </w:pPr>
      <w:r>
        <w:rPr>
          <w:rFonts w:ascii="Calibri" w:hAnsi="Calibri" w:cs="Calibri" w:eastAsia="Calibri"/>
          <w:color w:val="000000"/>
          <w:sz w:val="24"/>
        </w:rPr>
        <w:t xml:space="preserve">Özberk, E. H. (2026). </w:t>
      </w:r>
      <w:r>
        <w:rPr>
          <w:iCs/>
          <w:rFonts w:ascii="Calibri" w:hAnsi="Calibri" w:cs="Calibri" w:eastAsia="Calibri"/>
          <w:i/>
          <w:color w:val="000000"/>
          <w:sz w:val="24"/>
        </w:rPr>
        <w:t xml:space="preserve">Yapay zekâ alışkanlıkları ve öğrenme: PISA 2025 bulguları ışığında Türkiye’de yapay zekânın geleceği</w:t>
      </w:r>
      <w:r>
        <w:rPr>
          <w:rFonts w:ascii="Calibri" w:hAnsi="Calibri" w:cs="Calibri" w:eastAsia="Calibri"/>
          <w:color w:val="000000"/>
          <w:sz w:val="24"/>
        </w:rPr>
        <w:t xml:space="preserve"> (Politika Notu No. 09). Enstitü Sosyal. https://enstitusosyal.org/uploads/publications_module/file-1790150725955055140.pdf</w:t>
      </w:r>
    </w:p>
    <w:p>
      <w:pPr>
        <w:pStyle w:val="BodyText"/>
        <w:spacing w:line="240" w:lineRule="auto" w:before="0" w:after="120"/>
        <w:ind w:left="567" w:hanging="567"/>
        <w:jc w:val="left"/>
      </w:pPr>
      <w:r>
        <w:rPr>
          <w:rFonts w:ascii="Calibri" w:hAnsi="Calibri" w:cs="Calibri" w:eastAsia="Calibri"/>
          <w:color w:val="000000"/>
          <w:sz w:val="24"/>
        </w:rPr>
        <w:t xml:space="preserve">Özden, M., Özdemir Özden, D. ve Biçer, B. (2015). Akademik usulsüzlük: Öğretmen adaylarının görüşleri ve deneyimleri. </w:t>
      </w:r>
      <w:r>
        <w:rPr>
          <w:iCs/>
          <w:rFonts w:ascii="Calibri" w:hAnsi="Calibri" w:cs="Calibri" w:eastAsia="Calibri"/>
          <w:i/>
          <w:color w:val="000000"/>
          <w:sz w:val="24"/>
        </w:rPr>
        <w:t xml:space="preserve">Mersin Üniversitesi Eğitim Fakültesi Dergisi, 11</w:t>
      </w:r>
      <w:r>
        <w:rPr>
          <w:rFonts w:ascii="Calibri" w:hAnsi="Calibri" w:cs="Calibri" w:eastAsia="Calibri"/>
          <w:color w:val="000000"/>
          <w:sz w:val="24"/>
        </w:rPr>
        <w:t xml:space="preserve">(2), 505–525. https://doi.org/10.17860/efd.43453</w:t>
      </w:r>
    </w:p>
    <w:p>
      <w:pPr>
        <w:pStyle w:val="BodyText"/>
        <w:spacing w:line="240" w:lineRule="auto" w:before="0" w:after="120"/>
        <w:ind w:left="567" w:hanging="567"/>
        <w:jc w:val="left"/>
      </w:pPr>
      <w:r>
        <w:rPr>
          <w:rFonts w:ascii="Calibri" w:hAnsi="Calibri" w:cs="Calibri" w:eastAsia="Calibri"/>
          <w:color w:val="000000"/>
          <w:sz w:val="24"/>
        </w:rPr>
        <w:t xml:space="preserve">Parasuraman, R. ve Manzey, D. H. (2010). Complacency and bias in human use of automation: An attentional integration. </w:t>
      </w:r>
      <w:r>
        <w:rPr>
          <w:iCs/>
          <w:rFonts w:ascii="Calibri" w:hAnsi="Calibri" w:cs="Calibri" w:eastAsia="Calibri"/>
          <w:i/>
          <w:color w:val="000000"/>
          <w:sz w:val="24"/>
        </w:rPr>
        <w:t xml:space="preserve">Human Factors, 52</w:t>
      </w:r>
      <w:r>
        <w:rPr>
          <w:rFonts w:ascii="Calibri" w:hAnsi="Calibri" w:cs="Calibri" w:eastAsia="Calibri"/>
          <w:color w:val="000000"/>
          <w:sz w:val="24"/>
        </w:rPr>
        <w:t xml:space="preserve">(3), 381–410. https://doi.org/10.1177/0018720810376055</w:t>
      </w:r>
    </w:p>
    <w:p>
      <w:pPr>
        <w:pStyle w:val="BodyText"/>
        <w:spacing w:line="240" w:lineRule="auto" w:before="0" w:after="120"/>
        <w:ind w:left="567" w:hanging="567"/>
        <w:jc w:val="left"/>
      </w:pPr>
      <w:r>
        <w:rPr>
          <w:rFonts w:ascii="Calibri" w:hAnsi="Calibri" w:cs="Calibri" w:eastAsia="Calibri"/>
          <w:color w:val="000000"/>
          <w:sz w:val="24"/>
        </w:rPr>
        <w:t xml:space="preserve">Pei, B., Lu, J. ve Jing, X. (2025). Empowering preservice teachers’ AI literacy: Current understanding, influential factors, and strategies for improvement. </w:t>
      </w:r>
      <w:r>
        <w:rPr>
          <w:iCs/>
          <w:rFonts w:ascii="Calibri" w:hAnsi="Calibri" w:cs="Calibri" w:eastAsia="Calibri"/>
          <w:i/>
          <w:color w:val="000000"/>
          <w:sz w:val="24"/>
        </w:rPr>
        <w:t xml:space="preserve">Computers and Education: Artificial Intelligence, 8</w:t>
      </w:r>
      <w:r>
        <w:rPr>
          <w:rFonts w:ascii="Calibri" w:hAnsi="Calibri" w:cs="Calibri" w:eastAsia="Calibri"/>
          <w:color w:val="000000"/>
          <w:sz w:val="24"/>
        </w:rPr>
        <w:t xml:space="preserve">, Article 100406. https://doi.org/10.1016/j.caeai.2025.100406</w:t>
      </w:r>
    </w:p>
    <w:p>
      <w:pPr>
        <w:pStyle w:val="BodyText"/>
        <w:spacing w:line="240" w:lineRule="auto" w:before="0" w:after="120"/>
        <w:ind w:left="567" w:hanging="567"/>
        <w:jc w:val="left"/>
      </w:pPr>
      <w:r>
        <w:rPr>
          <w:rFonts w:ascii="Calibri" w:hAnsi="Calibri" w:cs="Calibri" w:eastAsia="Calibri"/>
          <w:color w:val="000000"/>
          <w:sz w:val="24"/>
        </w:rPr>
        <w:t xml:space="preserve">Penney, J., Acharya, P., Hilbert, P., Parekh, P., Sarma, A., Steinmacher, I. ve Gerosa, M. (2025). Understanding programming students’ help-seeking preferences in the era of generative AI. In </w:t>
      </w:r>
      <w:r>
        <w:rPr>
          <w:iCs/>
          <w:rFonts w:ascii="Calibri" w:hAnsi="Calibri" w:cs="Calibri" w:eastAsia="Calibri"/>
          <w:i/>
          <w:color w:val="000000"/>
          <w:sz w:val="24"/>
        </w:rPr>
        <w:t xml:space="preserve">Proceedings of the ACM Global Computing Education Conference 2025</w:t>
      </w:r>
      <w:r>
        <w:rPr>
          <w:rFonts w:ascii="Calibri" w:hAnsi="Calibri" w:cs="Calibri" w:eastAsia="Calibri"/>
          <w:color w:val="000000"/>
          <w:sz w:val="24"/>
        </w:rPr>
        <w:t xml:space="preserve"> (Vol. 1, pp. 15–21). Association for Computing Machinery. https://doi.org/10.1145/3736181.3747165</w:t>
      </w:r>
    </w:p>
    <w:p>
      <w:pPr>
        <w:pStyle w:val="BodyText"/>
        <w:spacing w:line="240" w:lineRule="auto" w:before="0" w:after="120"/>
        <w:ind w:left="567" w:hanging="567"/>
        <w:jc w:val="left"/>
      </w:pPr>
      <w:r>
        <w:rPr>
          <w:rFonts w:ascii="Calibri" w:hAnsi="Calibri" w:cs="Calibri" w:eastAsia="Calibri"/>
          <w:color w:val="000000"/>
          <w:sz w:val="24"/>
        </w:rPr>
        <w:t xml:space="preserve">Pew Research Center. (2026, 17 Haziran). </w:t>
      </w:r>
      <w:r>
        <w:rPr>
          <w:iCs/>
          <w:rFonts w:ascii="Calibri" w:hAnsi="Calibri" w:cs="Calibri" w:eastAsia="Calibri"/>
          <w:i/>
          <w:color w:val="000000"/>
          <w:sz w:val="24"/>
        </w:rPr>
        <w:t xml:space="preserve">Americans and AI 2026: Chatbots, smart devices and views on impact</w:t>
      </w:r>
      <w:r>
        <w:rPr>
          <w:rFonts w:ascii="Calibri" w:hAnsi="Calibri" w:cs="Calibri" w:eastAsia="Calibri"/>
          <w:color w:val="000000"/>
          <w:sz w:val="24"/>
        </w:rPr>
        <w:t xml:space="preserve">. Pew Research Center. https://www.pewresearch.org/internet/2026/06/17/americans-and-ai-2026-chatbots-smart-devices-and-views-on-impact/</w:t>
      </w:r>
    </w:p>
    <w:p>
      <w:pPr>
        <w:pStyle w:val="BodyText"/>
        <w:spacing w:line="240" w:lineRule="auto" w:before="0" w:after="120"/>
        <w:ind w:left="567" w:hanging="567"/>
        <w:jc w:val="left"/>
      </w:pPr>
      <w:r>
        <w:rPr>
          <w:rFonts w:ascii="Calibri" w:hAnsi="Calibri" w:cs="Calibri" w:eastAsia="Calibri"/>
          <w:color w:val="000000"/>
          <w:sz w:val="24"/>
        </w:rPr>
        <w:t xml:space="preserve">Pişkin Tunç, M. (2024). Examining pre-service mathematics teachers’ purposes of using ChatGPT in lesson plan development. </w:t>
      </w:r>
      <w:r>
        <w:rPr>
          <w:iCs/>
          <w:rFonts w:ascii="Calibri" w:hAnsi="Calibri" w:cs="Calibri" w:eastAsia="Calibri"/>
          <w:i/>
          <w:color w:val="000000"/>
          <w:sz w:val="24"/>
        </w:rPr>
        <w:t xml:space="preserve">Sakarya University Journal of Education, 14</w:t>
      </w:r>
      <w:r>
        <w:rPr>
          <w:rFonts w:ascii="Calibri" w:hAnsi="Calibri" w:cs="Calibri" w:eastAsia="Calibri"/>
          <w:color w:val="000000"/>
          <w:sz w:val="24"/>
        </w:rPr>
        <w:t xml:space="preserve">(2), 391–406. https://doi.org/10.19126/suje.1476326</w:t>
      </w:r>
    </w:p>
    <w:p>
      <w:pPr>
        <w:pStyle w:val="BodyText"/>
        <w:spacing w:line="240" w:lineRule="auto" w:before="0" w:after="120"/>
        <w:ind w:left="567" w:hanging="567"/>
        <w:jc w:val="left"/>
      </w:pPr>
      <w:r>
        <w:rPr>
          <w:rFonts w:ascii="Calibri" w:hAnsi="Calibri" w:cs="Calibri" w:eastAsia="Calibri"/>
          <w:color w:val="000000"/>
          <w:sz w:val="24"/>
        </w:rPr>
        <w:t xml:space="preserve">Polat, E. (2026). Proje planı hazırlama sürecinde üretken yapay zekâ araçlarının kullanımı: Öğrenci görüşleri ve deneyimleri. </w:t>
      </w:r>
      <w:r>
        <w:rPr>
          <w:iCs/>
          <w:rFonts w:ascii="Calibri" w:hAnsi="Calibri" w:cs="Calibri" w:eastAsia="Calibri"/>
          <w:i/>
          <w:color w:val="000000"/>
          <w:sz w:val="24"/>
        </w:rPr>
        <w:t xml:space="preserve">Eskişehir Osmangazi Üniversitesi Sosyal Bilimler Dergisi, 27</w:t>
      </w:r>
      <w:r>
        <w:rPr>
          <w:rFonts w:ascii="Calibri" w:hAnsi="Calibri" w:cs="Calibri" w:eastAsia="Calibri"/>
          <w:color w:val="000000"/>
          <w:sz w:val="24"/>
        </w:rPr>
        <w:t xml:space="preserve">(1), 501–532. https://doi.org/10.17494/ogusbd.1754914</w:t>
      </w:r>
    </w:p>
    <w:p>
      <w:pPr>
        <w:pStyle w:val="BodyText"/>
        <w:spacing w:line="240" w:lineRule="auto" w:before="0" w:after="120"/>
        <w:ind w:left="567" w:hanging="567"/>
        <w:jc w:val="left"/>
      </w:pPr>
      <w:r>
        <w:rPr>
          <w:rFonts w:ascii="Calibri" w:hAnsi="Calibri" w:cs="Calibri" w:eastAsia="Calibri"/>
          <w:color w:val="000000"/>
          <w:sz w:val="24"/>
        </w:rPr>
        <w:t xml:space="preserve">Prather, J., Reeves, B. N., Leinonen, J., MacNeil, S., Randrianasolo, A. S., Becker, B. A., Kimmel, B., Wright, J. ve Briggs, B. (2024). The widening gap: The benefits and harms of generative AI for novice programmers. In </w:t>
      </w:r>
      <w:r>
        <w:rPr>
          <w:iCs/>
          <w:rFonts w:ascii="Calibri" w:hAnsi="Calibri" w:cs="Calibri" w:eastAsia="Calibri"/>
          <w:i/>
          <w:color w:val="000000"/>
          <w:sz w:val="24"/>
        </w:rPr>
        <w:t xml:space="preserve">Proceedings of the 2024 ACM Conference on International Computing Education Research</w:t>
      </w:r>
      <w:r>
        <w:rPr>
          <w:rFonts w:ascii="Calibri" w:hAnsi="Calibri" w:cs="Calibri" w:eastAsia="Calibri"/>
          <w:color w:val="000000"/>
          <w:sz w:val="24"/>
        </w:rPr>
        <w:t xml:space="preserve"> (Vol. 1, pp. 469–486). Association for Computing Machinery. https://doi.org/10.1145/3632620.3671116</w:t>
      </w:r>
    </w:p>
    <w:p>
      <w:pPr>
        <w:pStyle w:val="BodyText"/>
        <w:spacing w:line="240" w:lineRule="auto" w:before="0" w:after="120"/>
        <w:ind w:left="567" w:hanging="567"/>
        <w:jc w:val="left"/>
      </w:pPr>
      <w:r>
        <w:rPr>
          <w:rFonts w:ascii="Calibri" w:hAnsi="Calibri" w:cs="Calibri" w:eastAsia="Calibri"/>
          <w:color w:val="000000"/>
          <w:sz w:val="24"/>
        </w:rPr>
        <w:t xml:space="preserve">Qi, L. ve Zhao, L. (2026). Social friction vs. cognitive efficiency: A comparative analysis of help-seeking behaviors in human communities and generative AI. </w:t>
      </w:r>
      <w:r>
        <w:rPr>
          <w:iCs/>
          <w:rFonts w:ascii="Calibri" w:hAnsi="Calibri" w:cs="Calibri" w:eastAsia="Calibri"/>
          <w:i/>
          <w:color w:val="000000"/>
          <w:sz w:val="24"/>
        </w:rPr>
        <w:t xml:space="preserve">PLOS One, 21</w:t>
      </w:r>
      <w:r>
        <w:rPr>
          <w:rFonts w:ascii="Calibri" w:hAnsi="Calibri" w:cs="Calibri" w:eastAsia="Calibri"/>
          <w:color w:val="000000"/>
          <w:sz w:val="24"/>
        </w:rPr>
        <w:t xml:space="preserve">(4), Article e0348441. https://doi.org/10.1371/journal.pone.0348441</w:t>
      </w:r>
    </w:p>
    <w:p>
      <w:pPr>
        <w:pStyle w:val="BodyText"/>
        <w:spacing w:line="240" w:lineRule="auto" w:before="0" w:after="120"/>
        <w:ind w:left="567" w:hanging="567"/>
        <w:jc w:val="left"/>
      </w:pPr>
      <w:r>
        <w:rPr>
          <w:rFonts w:ascii="Calibri" w:hAnsi="Calibri" w:cs="Calibri" w:eastAsia="Calibri"/>
          <w:color w:val="000000"/>
          <w:sz w:val="24"/>
        </w:rPr>
        <w:t xml:space="preserve">Ravšelj, D., Keržič, D., Tomaževič, N., Umek, L., Brezovar, N., Iahad, N. A., Abdulla, A. A., Akopyan, A., Aldana Segura, M. W., AlHumaid, J., Allam, M. F., Alló, M., Andoh, R. P. K., Andronic, O., Arthur, Y. D., Aydın, F., Badran, A., Balbontín-Alvarado, R., Ben Saad, H., . . . Aristovnik, A. (2025). Higher education students’ perceptions of ChatGPT: A global study of early reactions. </w:t>
      </w:r>
      <w:r>
        <w:rPr>
          <w:iCs/>
          <w:rFonts w:ascii="Calibri" w:hAnsi="Calibri" w:cs="Calibri" w:eastAsia="Calibri"/>
          <w:i/>
          <w:color w:val="000000"/>
          <w:sz w:val="24"/>
        </w:rPr>
        <w:t xml:space="preserve">PLOS ONE, 20</w:t>
      </w:r>
      <w:r>
        <w:rPr>
          <w:rFonts w:ascii="Calibri" w:hAnsi="Calibri" w:cs="Calibri" w:eastAsia="Calibri"/>
          <w:color w:val="000000"/>
          <w:sz w:val="24"/>
        </w:rPr>
        <w:t xml:space="preserve">(2), Article e0315011. https://doi.org/10.1371/journal.pone.0315011</w:t>
      </w:r>
    </w:p>
    <w:p>
      <w:pPr>
        <w:pStyle w:val="BodyText"/>
        <w:spacing w:line="240" w:lineRule="auto" w:before="0" w:after="120"/>
        <w:ind w:left="567" w:hanging="567"/>
        <w:jc w:val="left"/>
      </w:pPr>
      <w:r>
        <w:rPr>
          <w:rFonts w:ascii="Calibri" w:hAnsi="Calibri" w:cs="Calibri" w:eastAsia="Calibri"/>
          <w:color w:val="000000"/>
          <w:sz w:val="24"/>
        </w:rPr>
        <w:t xml:space="preserve">Reber, R. ve Schwarz, N. (1999). Effects of perceptual fluency on judgments of truth. </w:t>
      </w:r>
      <w:r>
        <w:rPr>
          <w:iCs/>
          <w:rFonts w:ascii="Calibri" w:hAnsi="Calibri" w:cs="Calibri" w:eastAsia="Calibri"/>
          <w:i/>
          <w:color w:val="000000"/>
          <w:sz w:val="24"/>
        </w:rPr>
        <w:t xml:space="preserve">Consciousness and Cognition, 8</w:t>
      </w:r>
      <w:r>
        <w:rPr>
          <w:rFonts w:ascii="Calibri" w:hAnsi="Calibri" w:cs="Calibri" w:eastAsia="Calibri"/>
          <w:color w:val="000000"/>
          <w:sz w:val="24"/>
        </w:rPr>
        <w:t xml:space="preserve">(3), 338–342. https://doi.org/10.1006/ccog.1999.0386</w:t>
      </w:r>
    </w:p>
    <w:p>
      <w:pPr>
        <w:pStyle w:val="BodyText"/>
        <w:spacing w:line="240" w:lineRule="auto" w:before="0" w:after="120"/>
        <w:ind w:left="567" w:hanging="567"/>
        <w:jc w:val="left"/>
      </w:pPr>
      <w:r>
        <w:rPr>
          <w:rFonts w:ascii="Calibri" w:hAnsi="Calibri" w:cs="Calibri" w:eastAsia="Calibri"/>
          <w:color w:val="000000"/>
          <w:sz w:val="24"/>
        </w:rPr>
        <w:t xml:space="preserve">Reif, J. A., Larrick, R. P. ve Soll, J. B. (2025). Evidence of a social evaluation penalty for using AI. </w:t>
      </w:r>
      <w:r>
        <w:rPr>
          <w:iCs/>
          <w:rFonts w:ascii="Calibri" w:hAnsi="Calibri" w:cs="Calibri" w:eastAsia="Calibri"/>
          <w:i/>
          <w:color w:val="000000"/>
          <w:sz w:val="24"/>
        </w:rPr>
        <w:t xml:space="preserve">Proceedings of the National Academy of Sciences, 122</w:t>
      </w:r>
      <w:r>
        <w:rPr>
          <w:rFonts w:ascii="Calibri" w:hAnsi="Calibri" w:cs="Calibri" w:eastAsia="Calibri"/>
          <w:color w:val="000000"/>
          <w:sz w:val="24"/>
        </w:rPr>
        <w:t xml:space="preserve">(19), Article e2426766122. https://doi.org/10.1073/pnas.2426766122</w:t>
      </w:r>
    </w:p>
    <w:p>
      <w:pPr>
        <w:pStyle w:val="BodyText"/>
        <w:spacing w:line="240" w:lineRule="auto" w:before="0" w:after="120"/>
        <w:ind w:left="567" w:hanging="567"/>
        <w:jc w:val="left"/>
      </w:pPr>
      <w:r>
        <w:rPr>
          <w:rFonts w:ascii="Calibri" w:hAnsi="Calibri" w:cs="Calibri" w:eastAsia="Calibri"/>
          <w:color w:val="000000"/>
          <w:sz w:val="24"/>
        </w:rPr>
        <w:t xml:space="preserve">Resnik, D. B. ve Hosseini, M. (2025). The ethics of using artificial intelligence in scientific research: New guidance needed for a new tool. </w:t>
      </w:r>
      <w:r>
        <w:rPr>
          <w:iCs/>
          <w:rFonts w:ascii="Calibri" w:hAnsi="Calibri" w:cs="Calibri" w:eastAsia="Calibri"/>
          <w:i/>
          <w:color w:val="000000"/>
          <w:sz w:val="24"/>
        </w:rPr>
        <w:t xml:space="preserve">AI and Ethics, 5</w:t>
      </w:r>
      <w:r>
        <w:rPr>
          <w:rFonts w:ascii="Calibri" w:hAnsi="Calibri" w:cs="Calibri" w:eastAsia="Calibri"/>
          <w:color w:val="000000"/>
          <w:sz w:val="24"/>
        </w:rPr>
        <w:t xml:space="preserve">(2), 1499–1521. https://doi.org/10.1007/s43681-024-00493-8</w:t>
      </w:r>
    </w:p>
    <w:p>
      <w:pPr>
        <w:pStyle w:val="BodyText"/>
        <w:spacing w:line="240" w:lineRule="auto" w:before="0" w:after="120"/>
        <w:ind w:left="567" w:hanging="567"/>
        <w:jc w:val="left"/>
      </w:pPr>
      <w:r>
        <w:rPr>
          <w:rFonts w:ascii="Calibri" w:hAnsi="Calibri" w:cs="Calibri" w:eastAsia="Calibri"/>
          <w:color w:val="000000"/>
          <w:sz w:val="24"/>
        </w:rPr>
        <w:t xml:space="preserve">Risko, E. F. ve Gilbert, S. J. (2016). Cognitive offloading. </w:t>
      </w:r>
      <w:r>
        <w:rPr>
          <w:iCs/>
          <w:rFonts w:ascii="Calibri" w:hAnsi="Calibri" w:cs="Calibri" w:eastAsia="Calibri"/>
          <w:i/>
          <w:color w:val="000000"/>
          <w:sz w:val="24"/>
        </w:rPr>
        <w:t xml:space="preserve">Trends in Cognitive Sciences, 20</w:t>
      </w:r>
      <w:r>
        <w:rPr>
          <w:rFonts w:ascii="Calibri" w:hAnsi="Calibri" w:cs="Calibri" w:eastAsia="Calibri"/>
          <w:color w:val="000000"/>
          <w:sz w:val="24"/>
        </w:rPr>
        <w:t xml:space="preserve">(9), 676–688. https://doi.org/10.1016/j.tics.2016.07.002</w:t>
      </w:r>
    </w:p>
    <w:p>
      <w:pPr>
        <w:pStyle w:val="BodyText"/>
        <w:spacing w:line="240" w:lineRule="auto" w:before="0" w:after="120"/>
        <w:ind w:left="567" w:hanging="567"/>
        <w:jc w:val="left"/>
      </w:pPr>
      <w:r>
        <w:rPr>
          <w:rFonts w:ascii="Calibri" w:hAnsi="Calibri" w:cs="Calibri" w:eastAsia="Calibri"/>
          <w:color w:val="000000"/>
          <w:sz w:val="24"/>
        </w:rPr>
        <w:t xml:space="preserve">Rouder, J., Saucier, O., Kinder, R. ve Jans, M. (2021). What to do with all those open-ended responses? Data visualization techniques for survey researchers. </w:t>
      </w:r>
      <w:r>
        <w:rPr>
          <w:iCs/>
          <w:rFonts w:ascii="Calibri" w:hAnsi="Calibri" w:cs="Calibri" w:eastAsia="Calibri"/>
          <w:i/>
          <w:color w:val="000000"/>
          <w:sz w:val="24"/>
        </w:rPr>
        <w:t xml:space="preserve">Survey Practice, 14</w:t>
      </w:r>
      <w:r>
        <w:rPr>
          <w:rFonts w:ascii="Calibri" w:hAnsi="Calibri" w:cs="Calibri" w:eastAsia="Calibri"/>
          <w:color w:val="000000"/>
          <w:sz w:val="24"/>
        </w:rPr>
        <w:t xml:space="preserve">(1), 1–9. https://doi.org/10.29115/SP-2021-0008</w:t>
      </w:r>
    </w:p>
    <w:p>
      <w:pPr>
        <w:pStyle w:val="BodyText"/>
        <w:spacing w:line="240" w:lineRule="auto" w:before="0" w:after="120"/>
        <w:ind w:left="567" w:hanging="567"/>
        <w:jc w:val="left"/>
      </w:pPr>
      <w:r>
        <w:rPr>
          <w:rFonts w:ascii="Calibri" w:hAnsi="Calibri" w:cs="Calibri" w:eastAsia="Calibri"/>
          <w:color w:val="000000"/>
          <w:sz w:val="24"/>
        </w:rPr>
        <w:t xml:space="preserve">Ryan, A. M. ve Pintrich, P. R. (1997). “Should I ask for help?” The role of motivation and attitudes in adolescents’ help seeking in math class. </w:t>
      </w:r>
      <w:r>
        <w:rPr>
          <w:iCs/>
          <w:rFonts w:ascii="Calibri" w:hAnsi="Calibri" w:cs="Calibri" w:eastAsia="Calibri"/>
          <w:i/>
          <w:color w:val="000000"/>
          <w:sz w:val="24"/>
        </w:rPr>
        <w:t xml:space="preserve">Journal of Educational Psychology, 89</w:t>
      </w:r>
      <w:r>
        <w:rPr>
          <w:rFonts w:ascii="Calibri" w:hAnsi="Calibri" w:cs="Calibri" w:eastAsia="Calibri"/>
          <w:color w:val="000000"/>
          <w:sz w:val="24"/>
        </w:rPr>
        <w:t xml:space="preserve">(2), 329–341. https://doi.org/10.1037/0022-0663.89.2.329</w:t>
      </w:r>
    </w:p>
    <w:p>
      <w:pPr>
        <w:pStyle w:val="BodyText"/>
        <w:spacing w:line="240" w:lineRule="auto" w:before="0" w:after="120"/>
        <w:ind w:left="567" w:hanging="567"/>
        <w:jc w:val="left"/>
      </w:pPr>
      <w:r>
        <w:rPr>
          <w:rFonts w:ascii="Calibri" w:hAnsi="Calibri" w:cs="Calibri" w:eastAsia="Calibri"/>
          <w:color w:val="000000"/>
          <w:sz w:val="24"/>
        </w:rPr>
        <w:t xml:space="preserve">Ryan, A. M., Pintrich, P. R. ve Midgley, C. (2001). Avoiding seeking help in the classroom: Who and why? </w:t>
      </w:r>
      <w:r>
        <w:rPr>
          <w:iCs/>
          <w:rFonts w:ascii="Calibri" w:hAnsi="Calibri" w:cs="Calibri" w:eastAsia="Calibri"/>
          <w:i/>
          <w:color w:val="000000"/>
          <w:sz w:val="24"/>
        </w:rPr>
        <w:t xml:space="preserve">Educational Psychology Review, 13</w:t>
      </w:r>
      <w:r>
        <w:rPr>
          <w:rFonts w:ascii="Calibri" w:hAnsi="Calibri" w:cs="Calibri" w:eastAsia="Calibri"/>
          <w:color w:val="000000"/>
          <w:sz w:val="24"/>
        </w:rPr>
        <w:t xml:space="preserve">(2), 93–114. https://doi.org/10.1023/A:1009013420053</w:t>
      </w:r>
    </w:p>
    <w:p>
      <w:pPr>
        <w:pStyle w:val="BodyText"/>
        <w:spacing w:line="240" w:lineRule="auto" w:before="0" w:after="120"/>
        <w:ind w:left="567" w:hanging="567"/>
        <w:jc w:val="left"/>
      </w:pPr>
      <w:r>
        <w:rPr>
          <w:rFonts w:ascii="Calibri" w:hAnsi="Calibri" w:cs="Calibri" w:eastAsia="Calibri"/>
          <w:color w:val="000000"/>
          <w:sz w:val="24"/>
        </w:rPr>
        <w:t xml:space="preserve">Safran, E. ve Çalı, A. (2025). Fabricated or accurate? Ethical concerns and citation hallucination in AI-generated scientific writing on musculoskeletal topics. </w:t>
      </w:r>
      <w:r>
        <w:rPr>
          <w:iCs/>
          <w:rFonts w:ascii="Calibri" w:hAnsi="Calibri" w:cs="Calibri" w:eastAsia="Calibri"/>
          <w:i/>
          <w:color w:val="000000"/>
          <w:sz w:val="24"/>
        </w:rPr>
        <w:t xml:space="preserve">Anatolian Current Medical Journal, 7</w:t>
      </w:r>
      <w:r>
        <w:rPr>
          <w:rFonts w:ascii="Calibri" w:hAnsi="Calibri" w:cs="Calibri" w:eastAsia="Calibri"/>
          <w:color w:val="000000"/>
          <w:sz w:val="24"/>
        </w:rPr>
        <w:t xml:space="preserve">(5), 695–702. https://doi.org/10.38053/acmj.1746227</w:t>
      </w:r>
    </w:p>
    <w:p>
      <w:pPr>
        <w:pStyle w:val="BodyText"/>
        <w:spacing w:line="240" w:lineRule="auto" w:before="0" w:after="120"/>
        <w:ind w:left="567" w:hanging="567"/>
        <w:jc w:val="left"/>
      </w:pPr>
      <w:r>
        <w:rPr>
          <w:rFonts w:ascii="Calibri" w:hAnsi="Calibri" w:cs="Calibri" w:eastAsia="Calibri"/>
          <w:color w:val="000000"/>
          <w:sz w:val="24"/>
        </w:rPr>
        <w:t xml:space="preserve">Sandelowski, M. (2000). Whatever happened to qualitative description? </w:t>
      </w:r>
      <w:r>
        <w:rPr>
          <w:iCs/>
          <w:rFonts w:ascii="Calibri" w:hAnsi="Calibri" w:cs="Calibri" w:eastAsia="Calibri"/>
          <w:i/>
          <w:color w:val="000000"/>
          <w:sz w:val="24"/>
        </w:rPr>
        <w:t xml:space="preserve">Research in Nursing &amp; Health, 23</w:t>
      </w:r>
      <w:r>
        <w:rPr>
          <w:rFonts w:ascii="Calibri" w:hAnsi="Calibri" w:cs="Calibri" w:eastAsia="Calibri"/>
          <w:color w:val="000000"/>
          <w:sz w:val="24"/>
        </w:rPr>
        <w:t xml:space="preserve">(4), 334–340. https://doi.org/10.1002/1098-240X(200008)23:4&lt;334::AID-NUR9&gt;3.0.CO;2-G</w:t>
      </w:r>
    </w:p>
    <w:p>
      <w:pPr>
        <w:pStyle w:val="BodyText"/>
        <w:spacing w:line="240" w:lineRule="auto" w:before="0" w:after="120"/>
        <w:ind w:left="567" w:hanging="567"/>
        <w:jc w:val="left"/>
      </w:pPr>
      <w:r>
        <w:rPr>
          <w:rFonts w:ascii="Calibri" w:hAnsi="Calibri" w:cs="Calibri" w:eastAsia="Calibri"/>
          <w:color w:val="000000"/>
          <w:sz w:val="24"/>
        </w:rPr>
        <w:t xml:space="preserve">Sandelowski, M. (2001). Real qualitative researchers do not count: The use of numbers in qualitative research. </w:t>
      </w:r>
      <w:r>
        <w:rPr>
          <w:iCs/>
          <w:rFonts w:ascii="Calibri" w:hAnsi="Calibri" w:cs="Calibri" w:eastAsia="Calibri"/>
          <w:i/>
          <w:color w:val="000000"/>
          <w:sz w:val="24"/>
        </w:rPr>
        <w:t xml:space="preserve">Research in Nursing &amp; Health, 24</w:t>
      </w:r>
      <w:r>
        <w:rPr>
          <w:rFonts w:ascii="Calibri" w:hAnsi="Calibri" w:cs="Calibri" w:eastAsia="Calibri"/>
          <w:color w:val="000000"/>
          <w:sz w:val="24"/>
        </w:rPr>
        <w:t xml:space="preserve">(3), 230–240. https://doi.org/10.1002/nur.1025</w:t>
      </w:r>
    </w:p>
    <w:p>
      <w:pPr>
        <w:pStyle w:val="BodyText"/>
        <w:spacing w:line="240" w:lineRule="auto" w:before="0" w:after="120"/>
        <w:ind w:left="567" w:hanging="567"/>
        <w:jc w:val="left"/>
      </w:pPr>
      <w:r>
        <w:rPr>
          <w:rFonts w:ascii="Calibri" w:hAnsi="Calibri" w:cs="Calibri" w:eastAsia="Calibri"/>
          <w:color w:val="000000"/>
          <w:sz w:val="24"/>
        </w:rPr>
        <w:t xml:space="preserve">Sandelowski, M. (2010). What’s in a name? Qualitative description revisited. </w:t>
      </w:r>
      <w:r>
        <w:rPr>
          <w:iCs/>
          <w:rFonts w:ascii="Calibri" w:hAnsi="Calibri" w:cs="Calibri" w:eastAsia="Calibri"/>
          <w:i/>
          <w:color w:val="000000"/>
          <w:sz w:val="24"/>
        </w:rPr>
        <w:t xml:space="preserve">Research in Nursing &amp; Health, 33</w:t>
      </w:r>
      <w:r>
        <w:rPr>
          <w:rFonts w:ascii="Calibri" w:hAnsi="Calibri" w:cs="Calibri" w:eastAsia="Calibri"/>
          <w:color w:val="000000"/>
          <w:sz w:val="24"/>
        </w:rPr>
        <w:t xml:space="preserve">(1), 77–84. https://doi.org/10.1002/nur.20362</w:t>
      </w:r>
    </w:p>
    <w:p>
      <w:pPr>
        <w:pStyle w:val="BodyText"/>
        <w:spacing w:line="240" w:lineRule="auto" w:before="0" w:after="120"/>
        <w:ind w:left="567" w:hanging="567"/>
        <w:jc w:val="left"/>
      </w:pPr>
      <w:r>
        <w:rPr>
          <w:rFonts w:ascii="Calibri" w:hAnsi="Calibri" w:cs="Calibri" w:eastAsia="Calibri"/>
          <w:color w:val="000000"/>
          <w:sz w:val="24"/>
        </w:rPr>
        <w:t xml:space="preserve">Sandelowski, M., Voils, C. I. ve Knafl, G. (2009). On quantitizing. </w:t>
      </w:r>
      <w:r>
        <w:rPr>
          <w:iCs/>
          <w:rFonts w:ascii="Calibri" w:hAnsi="Calibri" w:cs="Calibri" w:eastAsia="Calibri"/>
          <w:i/>
          <w:color w:val="000000"/>
          <w:sz w:val="24"/>
        </w:rPr>
        <w:t xml:space="preserve">Journal of Mixed Methods Research, 3</w:t>
      </w:r>
      <w:r>
        <w:rPr>
          <w:rFonts w:ascii="Calibri" w:hAnsi="Calibri" w:cs="Calibri" w:eastAsia="Calibri"/>
          <w:color w:val="000000"/>
          <w:sz w:val="24"/>
        </w:rPr>
        <w:t xml:space="preserve">(3), 208–222. https://doi.org/10.1177/1558689809334210</w:t>
      </w:r>
    </w:p>
    <w:p>
      <w:pPr>
        <w:pStyle w:val="BodyText"/>
        <w:spacing w:line="240" w:lineRule="auto" w:before="0" w:after="120"/>
        <w:ind w:left="567" w:hanging="567"/>
        <w:jc w:val="left"/>
      </w:pPr>
      <w:r>
        <w:rPr>
          <w:rFonts w:ascii="Calibri" w:hAnsi="Calibri" w:cs="Calibri" w:eastAsia="Calibri"/>
          <w:color w:val="000000"/>
          <w:sz w:val="24"/>
        </w:rPr>
        <w:t xml:space="preserve">Sarıaslan, F. ve Aslan, A. M. (2026). Perceived social support and artificial intelligent chatbot addiction among university students: The parallel mediating roles of loneliness and social anxiety. </w:t>
      </w:r>
      <w:r>
        <w:rPr>
          <w:iCs/>
          <w:rFonts w:ascii="Calibri" w:hAnsi="Calibri" w:cs="Calibri" w:eastAsia="Calibri"/>
          <w:i/>
          <w:color w:val="000000"/>
          <w:sz w:val="24"/>
        </w:rPr>
        <w:t xml:space="preserve">Research on Education and Psychology, 10</w:t>
      </w:r>
      <w:r>
        <w:rPr>
          <w:rFonts w:ascii="Calibri" w:hAnsi="Calibri" w:cs="Calibri" w:eastAsia="Calibri"/>
          <w:color w:val="000000"/>
          <w:sz w:val="24"/>
        </w:rPr>
        <w:t xml:space="preserve">, 346–367. https://doi.org/10.54535/rep.1989072</w:t>
      </w:r>
    </w:p>
    <w:p>
      <w:pPr>
        <w:pStyle w:val="BodyText"/>
        <w:spacing w:line="240" w:lineRule="auto" w:before="0" w:after="120"/>
        <w:ind w:left="567" w:hanging="567"/>
        <w:jc w:val="left"/>
      </w:pPr>
      <w:r>
        <w:rPr>
          <w:rFonts w:ascii="Calibri" w:hAnsi="Calibri" w:cs="Calibri" w:eastAsia="Calibri"/>
          <w:color w:val="000000"/>
          <w:sz w:val="24"/>
        </w:rPr>
        <w:t xml:space="preserve">Saunders, B., Sim, J., Kingstone, T., Baker, S., Waterfield, J., Bartlam, B., Burroughs, H. ve Jinks, C. (2018). Saturation in qualitative research: Exploring its conceptualization and operationalization. </w:t>
      </w:r>
      <w:r>
        <w:rPr>
          <w:iCs/>
          <w:rFonts w:ascii="Calibri" w:hAnsi="Calibri" w:cs="Calibri" w:eastAsia="Calibri"/>
          <w:i/>
          <w:color w:val="000000"/>
          <w:sz w:val="24"/>
        </w:rPr>
        <w:t xml:space="preserve">Quality &amp; Quantity, 52</w:t>
      </w:r>
      <w:r>
        <w:rPr>
          <w:rFonts w:ascii="Calibri" w:hAnsi="Calibri" w:cs="Calibri" w:eastAsia="Calibri"/>
          <w:color w:val="000000"/>
          <w:sz w:val="24"/>
        </w:rPr>
        <w:t xml:space="preserve">(4), 1893–1907. https://doi.org/10.1007/s11135-017-0574-8</w:t>
      </w:r>
    </w:p>
    <w:p>
      <w:pPr>
        <w:pStyle w:val="BodyText"/>
        <w:spacing w:line="240" w:lineRule="auto" w:before="0" w:after="120"/>
        <w:ind w:left="567" w:hanging="567"/>
        <w:jc w:val="left"/>
      </w:pPr>
      <w:r>
        <w:rPr>
          <w:rFonts w:ascii="Calibri" w:hAnsi="Calibri" w:cs="Calibri" w:eastAsia="Calibri"/>
          <w:color w:val="000000"/>
          <w:sz w:val="24"/>
        </w:rPr>
        <w:t xml:space="preserve">Savaş, B. Ç. (2024). Yapay zekâya bağımlılık ölçeğinin Türkçe’ye uyarlanması: Geçerlik ve güvenirlik çalışması. </w:t>
      </w:r>
      <w:r>
        <w:rPr>
          <w:iCs/>
          <w:rFonts w:ascii="Calibri" w:hAnsi="Calibri" w:cs="Calibri" w:eastAsia="Calibri"/>
          <w:i/>
          <w:color w:val="000000"/>
          <w:sz w:val="24"/>
        </w:rPr>
        <w:t xml:space="preserve">Herkes için Spor ve Rekreasyon Dergisi, 6</w:t>
      </w:r>
      <w:r>
        <w:rPr>
          <w:rFonts w:ascii="Calibri" w:hAnsi="Calibri" w:cs="Calibri" w:eastAsia="Calibri"/>
          <w:color w:val="000000"/>
          <w:sz w:val="24"/>
        </w:rPr>
        <w:t xml:space="preserve">(3), 306–315. https://doi.org/10.56639/jsar.1509301</w:t>
      </w:r>
    </w:p>
    <w:p>
      <w:pPr>
        <w:pStyle w:val="BodyText"/>
        <w:spacing w:line="240" w:lineRule="auto" w:before="0" w:after="120"/>
        <w:ind w:left="567" w:hanging="567"/>
        <w:jc w:val="left"/>
      </w:pPr>
      <w:r>
        <w:rPr>
          <w:rFonts w:ascii="Calibri" w:hAnsi="Calibri" w:cs="Calibri" w:eastAsia="Calibri"/>
          <w:color w:val="000000"/>
          <w:sz w:val="24"/>
        </w:rPr>
        <w:t xml:space="preserve">Schemmer, M., Kühl, N., Benz, C., Bartos, A. ve Satzger, G. (2023). Appropriate reliance on AI advice: Conceptualization and the effect of explanations. In </w:t>
      </w:r>
      <w:r>
        <w:rPr>
          <w:iCs/>
          <w:rFonts w:ascii="Calibri" w:hAnsi="Calibri" w:cs="Calibri" w:eastAsia="Calibri"/>
          <w:i/>
          <w:color w:val="000000"/>
          <w:sz w:val="24"/>
        </w:rPr>
        <w:t xml:space="preserve">Proceedings of the 28th International Conference on Intelligent User Interfaces</w:t>
      </w:r>
      <w:r>
        <w:rPr>
          <w:rFonts w:ascii="Calibri" w:hAnsi="Calibri" w:cs="Calibri" w:eastAsia="Calibri"/>
          <w:color w:val="000000"/>
          <w:sz w:val="24"/>
        </w:rPr>
        <w:t xml:space="preserve"> (IUI ’23) (pp. 410–422). Association for Computing Machinery. https://doi.org/10.1145/3581641.3584066</w:t>
      </w:r>
    </w:p>
    <w:p>
      <w:pPr>
        <w:pStyle w:val="BodyText"/>
        <w:spacing w:line="240" w:lineRule="auto" w:before="0" w:after="120"/>
        <w:ind w:left="567" w:hanging="567"/>
        <w:jc w:val="left"/>
      </w:pPr>
      <w:r>
        <w:rPr>
          <w:rFonts w:ascii="Calibri" w:hAnsi="Calibri" w:cs="Calibri" w:eastAsia="Calibri"/>
          <w:color w:val="000000"/>
          <w:sz w:val="24"/>
        </w:rPr>
        <w:t xml:space="preserve">Schilke, O. ve Reimann, M. (2025). The transparency dilemma: How AI disclosure erodes trust. </w:t>
      </w:r>
      <w:r>
        <w:rPr>
          <w:iCs/>
          <w:rFonts w:ascii="Calibri" w:hAnsi="Calibri" w:cs="Calibri" w:eastAsia="Calibri"/>
          <w:i/>
          <w:color w:val="000000"/>
          <w:sz w:val="24"/>
        </w:rPr>
        <w:t xml:space="preserve">Organizational Behavior and Human Decision Processes, 188</w:t>
      </w:r>
      <w:r>
        <w:rPr>
          <w:rFonts w:ascii="Calibri" w:hAnsi="Calibri" w:cs="Calibri" w:eastAsia="Calibri"/>
          <w:color w:val="000000"/>
          <w:sz w:val="24"/>
        </w:rPr>
        <w:t xml:space="preserve">, Article 104405. https://doi.org/10.1016/j.obhdp.2025.104405</w:t>
      </w:r>
    </w:p>
    <w:p>
      <w:pPr>
        <w:pStyle w:val="BodyText"/>
        <w:spacing w:line="240" w:lineRule="auto" w:before="0" w:after="120"/>
        <w:ind w:left="567" w:hanging="567"/>
        <w:jc w:val="left"/>
      </w:pPr>
      <w:r>
        <w:rPr>
          <w:rFonts w:ascii="Calibri" w:hAnsi="Calibri" w:cs="Calibri" w:eastAsia="Calibri"/>
          <w:color w:val="000000"/>
          <w:sz w:val="24"/>
        </w:rPr>
        <w:t xml:space="preserve">Seki, T., Şimşir Gökalp, Z., Abdilamitova, Z., Küçükdere, R. T. ve Bayat, A. (2026). Turkish version of the generative AI dependency scale: Validity, reliability, and psychometric properties. </w:t>
      </w:r>
      <w:r>
        <w:rPr>
          <w:iCs/>
          <w:rFonts w:ascii="Calibri" w:hAnsi="Calibri" w:cs="Calibri" w:eastAsia="Calibri"/>
          <w:i/>
          <w:color w:val="000000"/>
          <w:sz w:val="24"/>
        </w:rPr>
        <w:t xml:space="preserve">Research on Education and Psychology, 10</w:t>
      </w:r>
      <w:r>
        <w:rPr>
          <w:rFonts w:ascii="Calibri" w:hAnsi="Calibri" w:cs="Calibri" w:eastAsia="Calibri"/>
          <w:color w:val="000000"/>
          <w:sz w:val="24"/>
        </w:rPr>
        <w:t xml:space="preserve">. https://doi.org/10.54535/rep.1886848</w:t>
      </w:r>
    </w:p>
    <w:p>
      <w:pPr>
        <w:pStyle w:val="BodyText"/>
        <w:spacing w:line="240" w:lineRule="auto" w:before="0" w:after="120"/>
        <w:ind w:left="567" w:hanging="567"/>
        <w:jc w:val="left"/>
      </w:pPr>
      <w:r>
        <w:rPr>
          <w:rFonts w:ascii="Calibri" w:hAnsi="Calibri" w:cs="Calibri" w:eastAsia="Calibri"/>
          <w:color w:val="000000"/>
          <w:sz w:val="24"/>
        </w:rPr>
        <w:t xml:space="preserve">Shenton, A. K. (2004). Strategies for ensuring trustworthiness in qualitative research projects. </w:t>
      </w:r>
      <w:r>
        <w:rPr>
          <w:iCs/>
          <w:rFonts w:ascii="Calibri" w:hAnsi="Calibri" w:cs="Calibri" w:eastAsia="Calibri"/>
          <w:i/>
          <w:color w:val="000000"/>
          <w:sz w:val="24"/>
        </w:rPr>
        <w:t xml:space="preserve">Education for Information, 22</w:t>
      </w:r>
      <w:r>
        <w:rPr>
          <w:rFonts w:ascii="Calibri" w:hAnsi="Calibri" w:cs="Calibri" w:eastAsia="Calibri"/>
          <w:color w:val="000000"/>
          <w:sz w:val="24"/>
        </w:rPr>
        <w:t xml:space="preserve">(2), 63–75. https://doi.org/10.3233/EFI-2004-22201</w:t>
      </w:r>
    </w:p>
    <w:p>
      <w:pPr>
        <w:pStyle w:val="BodyText"/>
        <w:spacing w:line="240" w:lineRule="auto" w:before="0" w:after="120"/>
        <w:ind w:left="567" w:hanging="567"/>
        <w:jc w:val="left"/>
      </w:pPr>
      <w:r>
        <w:rPr>
          <w:rFonts w:ascii="Calibri" w:hAnsi="Calibri" w:cs="Calibri" w:eastAsia="Calibri"/>
          <w:color w:val="000000"/>
          <w:sz w:val="24"/>
        </w:rPr>
        <w:t xml:space="preserve">Si, C., Goyal, N., Wu, T., Zhao, C., Feng, S., Daumé, H., III ve Boyd-Graber, J. (2024). Large language models help humans verify truthfulness, except when they are convincingly wrong. In </w:t>
      </w:r>
      <w:r>
        <w:rPr>
          <w:iCs/>
          <w:rFonts w:ascii="Calibri" w:hAnsi="Calibri" w:cs="Calibri" w:eastAsia="Calibri"/>
          <w:i/>
          <w:color w:val="000000"/>
          <w:sz w:val="24"/>
        </w:rPr>
        <w:t xml:space="preserve">Proceedings of the 2024 Conference of the North American Chapter of the Association for Computational Linguistics: Human Language Technologies</w:t>
      </w:r>
      <w:r>
        <w:rPr>
          <w:rFonts w:ascii="Calibri" w:hAnsi="Calibri" w:cs="Calibri" w:eastAsia="Calibri"/>
          <w:color w:val="000000"/>
          <w:sz w:val="24"/>
        </w:rPr>
        <w:t xml:space="preserve"> (Vol. 1, pp. 1459–1474). Association for Computational Linguistics. https://doi.org/10.18653/v1/2024.naacl-long.81</w:t>
      </w:r>
    </w:p>
    <w:p>
      <w:pPr>
        <w:pStyle w:val="BodyText"/>
        <w:spacing w:line="240" w:lineRule="auto" w:before="0" w:after="120"/>
        <w:ind w:left="567" w:hanging="567"/>
        <w:jc w:val="left"/>
      </w:pPr>
      <w:r>
        <w:rPr>
          <w:rFonts w:ascii="Calibri" w:hAnsi="Calibri" w:cs="Calibri" w:eastAsia="Calibri"/>
          <w:color w:val="000000"/>
          <w:sz w:val="24"/>
        </w:rPr>
        <w:t xml:space="preserve">Simkute, A., Tankelevitch, L., Kewenig, V., Scott, A. E., Sellen, A. ve Rintel, S. (2024). Ironies of generative AI: Understanding and mitigating productivity loss in human-AI interaction. </w:t>
      </w:r>
      <w:r>
        <w:rPr>
          <w:iCs/>
          <w:rFonts w:ascii="Calibri" w:hAnsi="Calibri" w:cs="Calibri" w:eastAsia="Calibri"/>
          <w:i/>
          <w:color w:val="000000"/>
          <w:sz w:val="24"/>
        </w:rPr>
        <w:t xml:space="preserve">International Journal of Human-Computer Interaction</w:t>
      </w:r>
      <w:r>
        <w:rPr>
          <w:rFonts w:ascii="Calibri" w:hAnsi="Calibri" w:cs="Calibri" w:eastAsia="Calibri"/>
          <w:color w:val="000000"/>
          <w:sz w:val="24"/>
        </w:rPr>
        <w:t xml:space="preserve">. Advance online publication. https://doi.org/10.1080/10447318.2024.2405782</w:t>
      </w:r>
    </w:p>
    <w:p>
      <w:pPr>
        <w:pStyle w:val="BodyText"/>
        <w:spacing w:line="240" w:lineRule="auto" w:before="0" w:after="120"/>
        <w:ind w:left="567" w:hanging="567"/>
        <w:jc w:val="left"/>
      </w:pPr>
      <w:r>
        <w:rPr>
          <w:rFonts w:ascii="Calibri" w:hAnsi="Calibri" w:cs="Calibri" w:eastAsia="Calibri"/>
          <w:color w:val="000000"/>
          <w:sz w:val="24"/>
        </w:rPr>
        <w:t xml:space="preserve">Sireci, S. ve Faulkner-Bond, M. (2014). Validity evidence based on test content. </w:t>
      </w:r>
      <w:r>
        <w:rPr>
          <w:iCs/>
          <w:rFonts w:ascii="Calibri" w:hAnsi="Calibri" w:cs="Calibri" w:eastAsia="Calibri"/>
          <w:i/>
          <w:color w:val="000000"/>
          <w:sz w:val="24"/>
        </w:rPr>
        <w:t xml:space="preserve">Psicothema, 26</w:t>
      </w:r>
      <w:r>
        <w:rPr>
          <w:rFonts w:ascii="Calibri" w:hAnsi="Calibri" w:cs="Calibri" w:eastAsia="Calibri"/>
          <w:color w:val="000000"/>
          <w:sz w:val="24"/>
        </w:rPr>
        <w:t xml:space="preserve">(1), 100–107. https://doi.org/10.7334/psicothema2013.256</w:t>
      </w:r>
    </w:p>
    <w:p>
      <w:pPr>
        <w:pStyle w:val="BodyText"/>
        <w:spacing w:line="240" w:lineRule="auto" w:before="0" w:after="120"/>
        <w:ind w:left="567" w:hanging="567"/>
        <w:jc w:val="left"/>
      </w:pPr>
      <w:r>
        <w:rPr>
          <w:rFonts w:ascii="Calibri" w:hAnsi="Calibri" w:cs="Calibri" w:eastAsia="Calibri"/>
          <w:color w:val="000000"/>
          <w:sz w:val="24"/>
        </w:rPr>
        <w:t xml:space="preserve">Soderstrom, N. C. ve Bjork, R. A. (2015). Learning versus performance: An integrative review. </w:t>
      </w:r>
      <w:r>
        <w:rPr>
          <w:iCs/>
          <w:rFonts w:ascii="Calibri" w:hAnsi="Calibri" w:cs="Calibri" w:eastAsia="Calibri"/>
          <w:i/>
          <w:color w:val="000000"/>
          <w:sz w:val="24"/>
        </w:rPr>
        <w:t xml:space="preserve">Perspectives on Psychological Science, 10</w:t>
      </w:r>
      <w:r>
        <w:rPr>
          <w:rFonts w:ascii="Calibri" w:hAnsi="Calibri" w:cs="Calibri" w:eastAsia="Calibri"/>
          <w:color w:val="000000"/>
          <w:sz w:val="24"/>
        </w:rPr>
        <w:t xml:space="preserve">(2), 176–199. https://doi.org/10.1177/1745691615569000</w:t>
      </w:r>
    </w:p>
    <w:p>
      <w:pPr>
        <w:pStyle w:val="BodyText"/>
        <w:spacing w:line="240" w:lineRule="auto" w:before="0" w:after="120"/>
        <w:ind w:left="567" w:hanging="567"/>
        <w:jc w:val="left"/>
      </w:pPr>
      <w:r>
        <w:rPr>
          <w:rFonts w:ascii="Calibri" w:hAnsi="Calibri" w:cs="Calibri" w:eastAsia="Calibri"/>
          <w:color w:val="000000"/>
          <w:sz w:val="24"/>
        </w:rPr>
        <w:t xml:space="preserve">Stadler, M., Bannert, M. ve Sailer, M. (2024). Cognitive ease at a cost: LLMs reduce mental effort but compromise depth in student scientific inquiry. </w:t>
      </w:r>
      <w:r>
        <w:rPr>
          <w:iCs/>
          <w:rFonts w:ascii="Calibri" w:hAnsi="Calibri" w:cs="Calibri" w:eastAsia="Calibri"/>
          <w:i/>
          <w:color w:val="000000"/>
          <w:sz w:val="24"/>
        </w:rPr>
        <w:t xml:space="preserve">Computers in Human Behavior, 160</w:t>
      </w:r>
      <w:r>
        <w:rPr>
          <w:rFonts w:ascii="Calibri" w:hAnsi="Calibri" w:cs="Calibri" w:eastAsia="Calibri"/>
          <w:color w:val="000000"/>
          <w:sz w:val="24"/>
        </w:rPr>
        <w:t xml:space="preserve">, Article 108386. https://doi.org/10.1016/j.chb.2024.108386</w:t>
      </w:r>
    </w:p>
    <w:p>
      <w:pPr>
        <w:pStyle w:val="BodyText"/>
        <w:spacing w:line="240" w:lineRule="auto" w:before="0" w:after="120"/>
        <w:ind w:left="567" w:hanging="567"/>
        <w:jc w:val="left"/>
      </w:pPr>
      <w:r>
        <w:rPr>
          <w:rFonts w:ascii="Calibri" w:hAnsi="Calibri" w:cs="Calibri" w:eastAsia="Calibri"/>
          <w:color w:val="000000"/>
          <w:sz w:val="24"/>
        </w:rPr>
        <w:t xml:space="preserve">Stephenson, R. ve Armstrong, C. (2026). </w:t>
      </w:r>
      <w:r>
        <w:rPr>
          <w:iCs/>
          <w:rFonts w:ascii="Calibri" w:hAnsi="Calibri" w:cs="Calibri" w:eastAsia="Calibri"/>
          <w:i/>
          <w:color w:val="000000"/>
          <w:sz w:val="24"/>
        </w:rPr>
        <w:t xml:space="preserve">Student generative artificial intelligence survey 2026</w:t>
      </w:r>
      <w:r>
        <w:rPr>
          <w:rFonts w:ascii="Calibri" w:hAnsi="Calibri" w:cs="Calibri" w:eastAsia="Calibri"/>
          <w:color w:val="000000"/>
          <w:sz w:val="24"/>
        </w:rPr>
        <w:t xml:space="preserve"> (HEPI Report 199). Higher Education Policy Institute. https://www.hepi.ac.uk/reports/student-generative-ai-survey-2026/</w:t>
      </w:r>
    </w:p>
    <w:p>
      <w:pPr>
        <w:pStyle w:val="BodyText"/>
        <w:spacing w:line="240" w:lineRule="auto" w:before="0" w:after="120"/>
        <w:ind w:left="567" w:hanging="567"/>
        <w:jc w:val="left"/>
      </w:pPr>
      <w:r>
        <w:rPr>
          <w:rFonts w:ascii="Calibri" w:hAnsi="Calibri" w:cs="Calibri" w:eastAsia="Calibri"/>
          <w:color w:val="000000"/>
          <w:sz w:val="24"/>
        </w:rPr>
        <w:t xml:space="preserve">Steyvers, M., Tejeda, H., Kumar, A., Belem, C., Karny, S., Hu, X., Mayer, L. W. ve Smyth, P. (2025). What large language models know and what people think they know. </w:t>
      </w:r>
      <w:r>
        <w:rPr>
          <w:iCs/>
          <w:rFonts w:ascii="Calibri" w:hAnsi="Calibri" w:cs="Calibri" w:eastAsia="Calibri"/>
          <w:i/>
          <w:color w:val="000000"/>
          <w:sz w:val="24"/>
        </w:rPr>
        <w:t xml:space="preserve">Nature Machine Intelligence, 7</w:t>
      </w:r>
      <w:r>
        <w:rPr>
          <w:rFonts w:ascii="Calibri" w:hAnsi="Calibri" w:cs="Calibri" w:eastAsia="Calibri"/>
          <w:color w:val="000000"/>
          <w:sz w:val="24"/>
        </w:rPr>
        <w:t xml:space="preserve">(2), 221–231. https://doi.org/10.1038/s42256-024-00976-7</w:t>
      </w:r>
    </w:p>
    <w:p>
      <w:pPr>
        <w:pStyle w:val="BodyText"/>
        <w:spacing w:line="240" w:lineRule="auto" w:before="0" w:after="120"/>
        <w:ind w:left="567" w:hanging="567"/>
        <w:jc w:val="left"/>
      </w:pPr>
      <w:r>
        <w:rPr>
          <w:rFonts w:ascii="Calibri" w:hAnsi="Calibri" w:cs="Calibri" w:eastAsia="Calibri"/>
          <w:color w:val="000000"/>
          <w:sz w:val="24"/>
        </w:rPr>
        <w:t xml:space="preserve">Storm, B. C., Stone, S. M. ve Benjamin, A. S. (2017). Using the Internet to access information inflates future use of the Internet to access other information. </w:t>
      </w:r>
      <w:r>
        <w:rPr>
          <w:iCs/>
          <w:rFonts w:ascii="Calibri" w:hAnsi="Calibri" w:cs="Calibri" w:eastAsia="Calibri"/>
          <w:i/>
          <w:color w:val="000000"/>
          <w:sz w:val="24"/>
        </w:rPr>
        <w:t xml:space="preserve">Memory, 25</w:t>
      </w:r>
      <w:r>
        <w:rPr>
          <w:rFonts w:ascii="Calibri" w:hAnsi="Calibri" w:cs="Calibri" w:eastAsia="Calibri"/>
          <w:color w:val="000000"/>
          <w:sz w:val="24"/>
        </w:rPr>
        <w:t xml:space="preserve">(6), 717–723. https://doi.org/10.1080/09658211.2016.1210171</w:t>
      </w:r>
    </w:p>
    <w:p>
      <w:pPr>
        <w:pStyle w:val="BodyText"/>
        <w:spacing w:line="240" w:lineRule="auto" w:before="0" w:after="120"/>
        <w:ind w:left="567" w:hanging="567"/>
        <w:jc w:val="left"/>
      </w:pPr>
      <w:r>
        <w:rPr>
          <w:rFonts w:ascii="Calibri" w:hAnsi="Calibri" w:cs="Calibri" w:eastAsia="Calibri"/>
          <w:color w:val="000000"/>
          <w:sz w:val="24"/>
        </w:rPr>
        <w:t xml:space="preserve">Stöhr, C., Ou, A. W. ve Malmström, H. (2024). Perceptions and usage of AI chatbots among students in higher education across genders, academic levels and fields of study. </w:t>
      </w:r>
      <w:r>
        <w:rPr>
          <w:iCs/>
          <w:rFonts w:ascii="Calibri" w:hAnsi="Calibri" w:cs="Calibri" w:eastAsia="Calibri"/>
          <w:i/>
          <w:color w:val="000000"/>
          <w:sz w:val="24"/>
        </w:rPr>
        <w:t xml:space="preserve">Computers and Education: Artificial Intelligence, 7</w:t>
      </w:r>
      <w:r>
        <w:rPr>
          <w:rFonts w:ascii="Calibri" w:hAnsi="Calibri" w:cs="Calibri" w:eastAsia="Calibri"/>
          <w:color w:val="000000"/>
          <w:sz w:val="24"/>
        </w:rPr>
        <w:t xml:space="preserve">, Article 100259. https://doi.org/10.1016/j.caeai.2024.100259</w:t>
      </w:r>
    </w:p>
    <w:p>
      <w:pPr>
        <w:pStyle w:val="BodyText"/>
        <w:spacing w:line="240" w:lineRule="auto" w:before="0" w:after="120"/>
        <w:ind w:left="567" w:hanging="567"/>
        <w:jc w:val="left"/>
      </w:pPr>
      <w:r>
        <w:rPr>
          <w:rFonts w:ascii="Calibri" w:hAnsi="Calibri" w:cs="Calibri" w:eastAsia="Calibri"/>
          <w:color w:val="000000"/>
          <w:sz w:val="24"/>
        </w:rPr>
        <w:t xml:space="preserve">Strzelecki, A. (2024). To use or not to use ChatGPT in higher education? A study of students’ acceptance and use of technology. </w:t>
      </w:r>
      <w:r>
        <w:rPr>
          <w:iCs/>
          <w:rFonts w:ascii="Calibri" w:hAnsi="Calibri" w:cs="Calibri" w:eastAsia="Calibri"/>
          <w:i/>
          <w:color w:val="000000"/>
          <w:sz w:val="24"/>
        </w:rPr>
        <w:t xml:space="preserve">Interactive Learning Environments, 32</w:t>
      </w:r>
      <w:r>
        <w:rPr>
          <w:rFonts w:ascii="Calibri" w:hAnsi="Calibri" w:cs="Calibri" w:eastAsia="Calibri"/>
          <w:color w:val="000000"/>
          <w:sz w:val="24"/>
        </w:rPr>
        <w:t xml:space="preserve">(9), 5142–5155. https://doi.org/10.1080/10494820.2023.2209881</w:t>
      </w:r>
    </w:p>
    <w:p>
      <w:pPr>
        <w:pStyle w:val="BodyText"/>
        <w:spacing w:line="240" w:lineRule="auto" w:before="0" w:after="120"/>
        <w:ind w:left="567" w:hanging="567"/>
        <w:jc w:val="left"/>
      </w:pPr>
      <w:r>
        <w:rPr>
          <w:rFonts w:ascii="Calibri" w:hAnsi="Calibri" w:cs="Calibri" w:eastAsia="Calibri"/>
          <w:color w:val="000000"/>
          <w:sz w:val="24"/>
        </w:rPr>
        <w:t xml:space="preserve">Sung, W. ve Thomas, C. L. (2025). The mediating role of academic help-seeking in the relationship between achievement goals and help-seeking from ChatGPT. </w:t>
      </w:r>
      <w:r>
        <w:rPr>
          <w:iCs/>
          <w:rFonts w:ascii="Calibri" w:hAnsi="Calibri" w:cs="Calibri" w:eastAsia="Calibri"/>
          <w:i/>
          <w:color w:val="000000"/>
          <w:sz w:val="24"/>
        </w:rPr>
        <w:t xml:space="preserve">Social Psychology of Education, 28</w:t>
      </w:r>
      <w:r>
        <w:rPr>
          <w:rFonts w:ascii="Calibri" w:hAnsi="Calibri" w:cs="Calibri" w:eastAsia="Calibri"/>
          <w:color w:val="000000"/>
          <w:sz w:val="24"/>
        </w:rPr>
        <w:t xml:space="preserve">(1), Article 155. https://doi.org/10.1007/s11218-025-10108-7</w:t>
      </w:r>
    </w:p>
    <w:p>
      <w:pPr>
        <w:pStyle w:val="BodyText"/>
        <w:spacing w:line="240" w:lineRule="auto" w:before="0" w:after="120"/>
        <w:ind w:left="567" w:hanging="567"/>
        <w:jc w:val="left"/>
      </w:pPr>
      <w:r>
        <w:rPr>
          <w:rFonts w:ascii="Calibri" w:hAnsi="Calibri" w:cs="Calibri" w:eastAsia="Calibri"/>
          <w:color w:val="000000"/>
          <w:sz w:val="24"/>
        </w:rPr>
        <w:t xml:space="preserve">Tai, J., Ajjawi, R., Boud, D., Dawson, P. ve Panadero, E. (2018). Developing evaluative judgement: Enabling students to make decisions about the quality of work. </w:t>
      </w:r>
      <w:r>
        <w:rPr>
          <w:iCs/>
          <w:rFonts w:ascii="Calibri" w:hAnsi="Calibri" w:cs="Calibri" w:eastAsia="Calibri"/>
          <w:i/>
          <w:color w:val="000000"/>
          <w:sz w:val="24"/>
        </w:rPr>
        <w:t xml:space="preserve">Higher Education, 76</w:t>
      </w:r>
      <w:r>
        <w:rPr>
          <w:rFonts w:ascii="Calibri" w:hAnsi="Calibri" w:cs="Calibri" w:eastAsia="Calibri"/>
          <w:color w:val="000000"/>
          <w:sz w:val="24"/>
        </w:rPr>
        <w:t xml:space="preserve">(3), 467–481. https://doi.org/10.1007/s10734-017-0220-3</w:t>
      </w:r>
    </w:p>
    <w:p>
      <w:pPr>
        <w:pStyle w:val="BodyText"/>
        <w:spacing w:line="240" w:lineRule="auto" w:before="0" w:after="120"/>
        <w:ind w:left="567" w:hanging="567"/>
        <w:jc w:val="left"/>
      </w:pPr>
      <w:r>
        <w:rPr>
          <w:rFonts w:ascii="Calibri" w:hAnsi="Calibri" w:cs="Calibri" w:eastAsia="Calibri"/>
          <w:color w:val="000000"/>
          <w:sz w:val="24"/>
        </w:rPr>
        <w:t xml:space="preserve">Tankelevitch, L., Kewenig, V., Simkute, A., Scott, A. E., Sarkar, A., Sellen, A. ve Rintel, S. (2024). The metacognitive demands and opportunities of generative AI. In </w:t>
      </w:r>
      <w:r>
        <w:rPr>
          <w:iCs/>
          <w:rFonts w:ascii="Calibri" w:hAnsi="Calibri" w:cs="Calibri" w:eastAsia="Calibri"/>
          <w:i/>
          <w:color w:val="000000"/>
          <w:sz w:val="24"/>
        </w:rPr>
        <w:t xml:space="preserve">Proceedings of the 2024 CHI Conference on Human Factors in Computing Systems</w:t>
      </w:r>
      <w:r>
        <w:rPr>
          <w:rFonts w:ascii="Calibri" w:hAnsi="Calibri" w:cs="Calibri" w:eastAsia="Calibri"/>
          <w:color w:val="000000"/>
          <w:sz w:val="24"/>
        </w:rPr>
        <w:t xml:space="preserve"> (Article 680, pp. 1–24). Association for Computing Machinery. https://doi.org/10.1145/3613904.3642902</w:t>
      </w:r>
    </w:p>
    <w:p>
      <w:pPr>
        <w:pStyle w:val="BodyText"/>
        <w:spacing w:line="240" w:lineRule="auto" w:before="0" w:after="120"/>
        <w:ind w:left="567" w:hanging="567"/>
        <w:jc w:val="left"/>
      </w:pPr>
      <w:r>
        <w:rPr>
          <w:rFonts w:ascii="Calibri" w:hAnsi="Calibri" w:cs="Calibri" w:eastAsia="Calibri"/>
          <w:color w:val="000000"/>
          <w:sz w:val="24"/>
        </w:rPr>
        <w:t xml:space="preserve">Tapan Broutin, M. S. (2024). Exploring mathematics teacher candidates’ instrumentation process of generative artificial intelligence for developing lesson plans. </w:t>
      </w:r>
      <w:r>
        <w:rPr>
          <w:iCs/>
          <w:rFonts w:ascii="Calibri" w:hAnsi="Calibri" w:cs="Calibri" w:eastAsia="Calibri"/>
          <w:i/>
          <w:color w:val="000000"/>
          <w:sz w:val="24"/>
        </w:rPr>
        <w:t xml:space="preserve">Yükseköğretim Dergisi, 14</w:t>
      </w:r>
      <w:r>
        <w:rPr>
          <w:rFonts w:ascii="Calibri" w:hAnsi="Calibri" w:cs="Calibri" w:eastAsia="Calibri"/>
          <w:color w:val="000000"/>
          <w:sz w:val="24"/>
        </w:rPr>
        <w:t xml:space="preserve">(1), 165–176. https://doi.org/10.53478/yuksekogretim.1347061</w:t>
      </w:r>
    </w:p>
    <w:p>
      <w:pPr>
        <w:pStyle w:val="BodyText"/>
        <w:spacing w:line="240" w:lineRule="auto" w:before="0" w:after="120"/>
        <w:ind w:left="567" w:hanging="567"/>
        <w:jc w:val="left"/>
      </w:pPr>
      <w:r>
        <w:rPr>
          <w:rFonts w:ascii="Calibri" w:hAnsi="Calibri" w:cs="Calibri" w:eastAsia="Calibri"/>
          <w:color w:val="000000"/>
          <w:sz w:val="24"/>
        </w:rPr>
        <w:t xml:space="preserve">Totan, T., Demir, A. N. ve Topaloğlu, T. (2026). Yapay zekâya bağımlı davranışlar: Davranışsal kontrolsüzlük, duygusal bağlanma ve bilişsel zayıflama. </w:t>
      </w:r>
      <w:r>
        <w:rPr>
          <w:iCs/>
          <w:rFonts w:ascii="Calibri" w:hAnsi="Calibri" w:cs="Calibri" w:eastAsia="Calibri"/>
          <w:i/>
          <w:color w:val="000000"/>
          <w:sz w:val="24"/>
        </w:rPr>
        <w:t xml:space="preserve">Journal of Psychometric Research, 4</w:t>
      </w:r>
      <w:r>
        <w:rPr>
          <w:rFonts w:ascii="Calibri" w:hAnsi="Calibri" w:cs="Calibri" w:eastAsia="Calibri"/>
          <w:color w:val="000000"/>
          <w:sz w:val="24"/>
        </w:rPr>
        <w:t xml:space="preserve">(2), 105–119. https://doi.org/10.62425/jopres.1880071</w:t>
      </w:r>
    </w:p>
    <w:p>
      <w:pPr>
        <w:pStyle w:val="BodyText"/>
        <w:spacing w:line="240" w:lineRule="auto" w:before="0" w:after="120"/>
        <w:ind w:left="567" w:hanging="567"/>
        <w:jc w:val="left"/>
      </w:pPr>
      <w:r>
        <w:rPr>
          <w:rFonts w:ascii="Calibri" w:hAnsi="Calibri" w:cs="Calibri" w:eastAsia="Calibri"/>
          <w:color w:val="000000"/>
          <w:sz w:val="24"/>
        </w:rPr>
        <w:t xml:space="preserve">Türkiye İstatistik Kurumu. (2025, 1 Ekim). </w:t>
      </w:r>
      <w:r>
        <w:rPr>
          <w:iCs/>
          <w:rFonts w:ascii="Calibri" w:hAnsi="Calibri" w:cs="Calibri" w:eastAsia="Calibri"/>
          <w:i/>
          <w:color w:val="000000"/>
          <w:sz w:val="24"/>
        </w:rPr>
        <w:t xml:space="preserve">Yapay zeka istatistikleri, 2025</w:t>
      </w:r>
      <w:r>
        <w:rPr>
          <w:rFonts w:ascii="Calibri" w:hAnsi="Calibri" w:cs="Calibri" w:eastAsia="Calibri"/>
          <w:color w:val="000000"/>
          <w:sz w:val="24"/>
        </w:rPr>
        <w:t xml:space="preserve"> (Haber Bülteni Sayı 57945). https://data.tuik.gov.tr/Bulten/Index?p=Yapay-Zeka-Istatistikleri-2025-57945</w:t>
      </w:r>
    </w:p>
    <w:p>
      <w:pPr>
        <w:pStyle w:val="BodyText"/>
        <w:spacing w:line="240" w:lineRule="auto" w:before="0" w:after="120"/>
        <w:ind w:left="567" w:hanging="567"/>
        <w:jc w:val="left"/>
      </w:pPr>
      <w:r>
        <w:rPr>
          <w:rFonts w:ascii="Calibri" w:hAnsi="Calibri" w:cs="Calibri" w:eastAsia="Calibri"/>
          <w:color w:val="000000"/>
          <w:sz w:val="24"/>
        </w:rPr>
        <w:t xml:space="preserve">Uçar, F. M. ve Uçar, M. B. (2025). Yapay zekâ destekli bilim tarihi öğretimi: Öğretmen adaylarının 21. yüzyıl becerileri ve öğrenme deneyimleri üzerine bir inceleme. </w:t>
      </w:r>
      <w:r>
        <w:rPr>
          <w:iCs/>
          <w:rFonts w:ascii="Calibri" w:hAnsi="Calibri" w:cs="Calibri" w:eastAsia="Calibri"/>
          <w:i/>
          <w:color w:val="000000"/>
          <w:sz w:val="24"/>
        </w:rPr>
        <w:t xml:space="preserve">Başkent University Journal of Education, 12</w:t>
      </w:r>
      <w:r>
        <w:rPr>
          <w:rFonts w:ascii="Calibri" w:hAnsi="Calibri" w:cs="Calibri" w:eastAsia="Calibri"/>
          <w:color w:val="000000"/>
          <w:sz w:val="24"/>
        </w:rPr>
        <w:t xml:space="preserve">(Özel Sayı), 95–114. https://dergipark.org.tr/tr/pub/bujoe/article/1755617</w:t>
      </w:r>
    </w:p>
    <w:p>
      <w:pPr>
        <w:pStyle w:val="BodyText"/>
        <w:spacing w:line="240" w:lineRule="auto" w:before="0" w:after="120"/>
        <w:ind w:left="567" w:hanging="567"/>
        <w:jc w:val="left"/>
      </w:pPr>
      <w:r>
        <w:rPr>
          <w:rFonts w:ascii="Calibri" w:hAnsi="Calibri" w:cs="Calibri" w:eastAsia="Calibri"/>
          <w:color w:val="000000"/>
          <w:sz w:val="24"/>
        </w:rPr>
        <w:t xml:space="preserve">Uğuz, Ö., Doğan, S. ve Güngör, D. (2026). Loneliness and AI chatbot dependence in young adults: The mediating role of perceived social support. </w:t>
      </w:r>
      <w:r>
        <w:rPr>
          <w:iCs/>
          <w:rFonts w:ascii="Calibri" w:hAnsi="Calibri" w:cs="Calibri" w:eastAsia="Calibri"/>
          <w:i/>
          <w:color w:val="000000"/>
          <w:sz w:val="24"/>
        </w:rPr>
        <w:t xml:space="preserve">BMC Psychology, 14</w:t>
      </w:r>
      <w:r>
        <w:rPr>
          <w:rFonts w:ascii="Calibri" w:hAnsi="Calibri" w:cs="Calibri" w:eastAsia="Calibri"/>
          <w:color w:val="000000"/>
          <w:sz w:val="24"/>
        </w:rPr>
        <w:t xml:space="preserve">(1), Article 1184. https://doi.org/10.1186/s40359-026-04916-5</w:t>
      </w:r>
    </w:p>
    <w:p>
      <w:pPr>
        <w:pStyle w:val="BodyText"/>
        <w:spacing w:line="240" w:lineRule="auto" w:before="0" w:after="120"/>
        <w:ind w:left="567" w:hanging="567"/>
        <w:jc w:val="left"/>
      </w:pPr>
      <w:r>
        <w:rPr>
          <w:rFonts w:ascii="Calibri" w:hAnsi="Calibri" w:cs="Calibri" w:eastAsia="Calibri"/>
          <w:color w:val="000000"/>
          <w:sz w:val="24"/>
        </w:rPr>
        <w:t xml:space="preserve">Vaismoradi, M., Turunen, H. ve Bondas, T. (2013). Content analysis and thematic analysis: Implications for conducting a qualitative descriptive study. </w:t>
      </w:r>
      <w:r>
        <w:rPr>
          <w:iCs/>
          <w:rFonts w:ascii="Calibri" w:hAnsi="Calibri" w:cs="Calibri" w:eastAsia="Calibri"/>
          <w:i/>
          <w:color w:val="000000"/>
          <w:sz w:val="24"/>
        </w:rPr>
        <w:t xml:space="preserve">Nursing &amp; Health Sciences, 15</w:t>
      </w:r>
      <w:r>
        <w:rPr>
          <w:rFonts w:ascii="Calibri" w:hAnsi="Calibri" w:cs="Calibri" w:eastAsia="Calibri"/>
          <w:color w:val="000000"/>
          <w:sz w:val="24"/>
        </w:rPr>
        <w:t xml:space="preserve">(3), 398–405. https://doi.org/10.1111/nhs.12048</w:t>
      </w:r>
    </w:p>
    <w:p>
      <w:pPr>
        <w:pStyle w:val="BodyText"/>
        <w:spacing w:line="240" w:lineRule="auto" w:before="0" w:after="120"/>
        <w:ind w:left="567" w:hanging="567"/>
        <w:jc w:val="left"/>
      </w:pPr>
      <w:r>
        <w:rPr>
          <w:rFonts w:ascii="Calibri" w:hAnsi="Calibri" w:cs="Calibri" w:eastAsia="Calibri"/>
          <w:color w:val="000000"/>
          <w:sz w:val="24"/>
        </w:rPr>
        <w:t xml:space="preserve">Varlı, S., Çalışır, M., Sellüm, F. S. ve Bektaş, M. (2026). Sınıf öğretmenleri ve sınıf öğretmeni adaylarının ChatGPT’ye yönelik metaforik algılarının incelenmesi. </w:t>
      </w:r>
      <w:r>
        <w:rPr>
          <w:iCs/>
          <w:rFonts w:ascii="Calibri" w:hAnsi="Calibri" w:cs="Calibri" w:eastAsia="Calibri"/>
          <w:i/>
          <w:color w:val="000000"/>
          <w:sz w:val="24"/>
        </w:rPr>
        <w:t xml:space="preserve">Çukurova Üniversitesi Eğitim Fakültesi Dergisi, 55</w:t>
      </w:r>
      <w:r>
        <w:rPr>
          <w:rFonts w:ascii="Calibri" w:hAnsi="Calibri" w:cs="Calibri" w:eastAsia="Calibri"/>
          <w:color w:val="000000"/>
          <w:sz w:val="24"/>
        </w:rPr>
        <w:t xml:space="preserve">(1), 218–249. https://doi.org/10.14812/cuefd.1671001</w:t>
      </w:r>
    </w:p>
    <w:p>
      <w:pPr>
        <w:pStyle w:val="BodyText"/>
        <w:spacing w:line="240" w:lineRule="auto" w:before="0" w:after="120"/>
        <w:ind w:left="567" w:hanging="567"/>
        <w:jc w:val="left"/>
      </w:pPr>
      <w:r>
        <w:rPr>
          <w:rFonts w:ascii="Calibri" w:hAnsi="Calibri" w:cs="Calibri" w:eastAsia="Calibri"/>
          <w:color w:val="000000"/>
          <w:sz w:val="24"/>
        </w:rPr>
        <w:t xml:space="preserve">Vasconcelos, H., Jörke, M., Grunde-McLaughlin, M., Gerstenberg, T., Bernstein, M. S. ve Krishna, R. (2023). Explanations can reduce overreliance on AI systems during decision-making. </w:t>
      </w:r>
      <w:r>
        <w:rPr>
          <w:iCs/>
          <w:rFonts w:ascii="Calibri" w:hAnsi="Calibri" w:cs="Calibri" w:eastAsia="Calibri"/>
          <w:i/>
          <w:color w:val="000000"/>
          <w:sz w:val="24"/>
        </w:rPr>
        <w:t xml:space="preserve">Proceedings of the ACM on Human-Computer Interaction, 7</w:t>
      </w:r>
      <w:r>
        <w:rPr>
          <w:rFonts w:ascii="Calibri" w:hAnsi="Calibri" w:cs="Calibri" w:eastAsia="Calibri"/>
          <w:color w:val="000000"/>
          <w:sz w:val="24"/>
        </w:rPr>
        <w:t xml:space="preserve">(CSCW1), 1–38. https://doi.org/10.1145/3579605</w:t>
      </w:r>
    </w:p>
    <w:p>
      <w:pPr>
        <w:pStyle w:val="BodyText"/>
        <w:spacing w:line="240" w:lineRule="auto" w:before="0" w:after="120"/>
        <w:ind w:left="567" w:hanging="567"/>
        <w:jc w:val="left"/>
      </w:pPr>
      <w:r>
        <w:rPr>
          <w:rFonts w:ascii="Calibri" w:hAnsi="Calibri" w:cs="Calibri" w:eastAsia="Calibri"/>
          <w:color w:val="000000"/>
          <w:sz w:val="24"/>
        </w:rPr>
        <w:t xml:space="preserve">Viberg, O., Feldman-Maggor, Y. ve Wong, J. (2026). Efficiency vs. effectiveness: Self-regulated learning with LLM-mediated help-seeking. </w:t>
      </w:r>
      <w:r>
        <w:rPr>
          <w:iCs/>
          <w:rFonts w:ascii="Calibri" w:hAnsi="Calibri" w:cs="Calibri" w:eastAsia="Calibri"/>
          <w:i/>
          <w:color w:val="000000"/>
          <w:sz w:val="24"/>
        </w:rPr>
        <w:t xml:space="preserve">Learning Letters, 8</w:t>
      </w:r>
      <w:r>
        <w:rPr>
          <w:rFonts w:ascii="Calibri" w:hAnsi="Calibri" w:cs="Calibri" w:eastAsia="Calibri"/>
          <w:color w:val="000000"/>
          <w:sz w:val="24"/>
        </w:rPr>
        <w:t xml:space="preserve">, Article 60. https://doi.org/10.20851/ll.v8.60</w:t>
      </w:r>
    </w:p>
    <w:p>
      <w:pPr>
        <w:pStyle w:val="BodyText"/>
        <w:spacing w:line="240" w:lineRule="auto" w:before="0" w:after="120"/>
        <w:ind w:left="567" w:hanging="567"/>
        <w:jc w:val="left"/>
      </w:pPr>
      <w:r>
        <w:rPr>
          <w:rFonts w:ascii="Calibri" w:hAnsi="Calibri" w:cs="Calibri" w:eastAsia="Calibri"/>
          <w:color w:val="000000"/>
          <w:sz w:val="24"/>
        </w:rPr>
        <w:t xml:space="preserve">von Garrel, J. ve Mayer, J. (2023). Artificial intelligence in studies: Use of ChatGPT and AI-based tools among students in Germany. </w:t>
      </w:r>
      <w:r>
        <w:rPr>
          <w:iCs/>
          <w:rFonts w:ascii="Calibri" w:hAnsi="Calibri" w:cs="Calibri" w:eastAsia="Calibri"/>
          <w:i/>
          <w:color w:val="000000"/>
          <w:sz w:val="24"/>
        </w:rPr>
        <w:t xml:space="preserve">Humanities and Social Sciences Communications, 10</w:t>
      </w:r>
      <w:r>
        <w:rPr>
          <w:rFonts w:ascii="Calibri" w:hAnsi="Calibri" w:cs="Calibri" w:eastAsia="Calibri"/>
          <w:color w:val="000000"/>
          <w:sz w:val="24"/>
        </w:rPr>
        <w:t xml:space="preserve">(1), Article 799. https://doi.org/10.1057/s41599-023-02304-7</w:t>
      </w:r>
    </w:p>
    <w:p>
      <w:pPr>
        <w:pStyle w:val="BodyText"/>
        <w:spacing w:line="240" w:lineRule="auto" w:before="0" w:after="120"/>
        <w:ind w:left="567" w:hanging="567"/>
        <w:jc w:val="left"/>
      </w:pPr>
      <w:r>
        <w:rPr>
          <w:rFonts w:ascii="Calibri" w:hAnsi="Calibri" w:cs="Calibri" w:eastAsia="Calibri"/>
          <w:color w:val="000000"/>
          <w:sz w:val="24"/>
        </w:rPr>
        <w:t xml:space="preserve">Wachinger, J., Bärnighausen, K., Schäfer, L. N., Scott, K. ve McMahon, S. A. (2025). Prompts, pearls, imperfections: Comparing ChatGPT and a human researcher in qualitative data analysis. </w:t>
      </w:r>
      <w:r>
        <w:rPr>
          <w:iCs/>
          <w:rFonts w:ascii="Calibri" w:hAnsi="Calibri" w:cs="Calibri" w:eastAsia="Calibri"/>
          <w:i/>
          <w:color w:val="000000"/>
          <w:sz w:val="24"/>
        </w:rPr>
        <w:t xml:space="preserve">Qualitative Health Research, 35</w:t>
      </w:r>
      <w:r>
        <w:rPr>
          <w:rFonts w:ascii="Calibri" w:hAnsi="Calibri" w:cs="Calibri" w:eastAsia="Calibri"/>
          <w:color w:val="000000"/>
          <w:sz w:val="24"/>
        </w:rPr>
        <w:t xml:space="preserve">(9), 951–966. https://doi.org/10.1177/10497323241244669</w:t>
      </w:r>
    </w:p>
    <w:p>
      <w:pPr>
        <w:pStyle w:val="BodyText"/>
        <w:spacing w:line="240" w:lineRule="auto" w:before="0" w:after="120"/>
        <w:ind w:left="567" w:hanging="567"/>
        <w:jc w:val="left"/>
      </w:pPr>
      <w:r>
        <w:rPr>
          <w:rFonts w:ascii="Calibri" w:hAnsi="Calibri" w:cs="Calibri" w:eastAsia="Calibri"/>
          <w:color w:val="000000"/>
          <w:sz w:val="24"/>
        </w:rPr>
        <w:t xml:space="preserve">Walters, W. H. ve Wilder, E. I. (2023). Fabrication and errors in the bibliographic citations generated by ChatGPT. </w:t>
      </w:r>
      <w:r>
        <w:rPr>
          <w:iCs/>
          <w:rFonts w:ascii="Calibri" w:hAnsi="Calibri" w:cs="Calibri" w:eastAsia="Calibri"/>
          <w:i/>
          <w:color w:val="000000"/>
          <w:sz w:val="24"/>
        </w:rPr>
        <w:t xml:space="preserve">Scientific Reports, 13</w:t>
      </w:r>
      <w:r>
        <w:rPr>
          <w:rFonts w:ascii="Calibri" w:hAnsi="Calibri" w:cs="Calibri" w:eastAsia="Calibri"/>
          <w:color w:val="000000"/>
          <w:sz w:val="24"/>
        </w:rPr>
        <w:t xml:space="preserve">(1), Article 14045. https://doi.org/10.1038/s41598-023-41032-5</w:t>
      </w:r>
    </w:p>
    <w:p>
      <w:pPr>
        <w:pStyle w:val="BodyText"/>
        <w:spacing w:line="240" w:lineRule="auto" w:before="0" w:after="120"/>
        <w:ind w:left="567" w:hanging="567"/>
        <w:jc w:val="left"/>
      </w:pPr>
      <w:r>
        <w:rPr>
          <w:rFonts w:ascii="Calibri" w:hAnsi="Calibri" w:cs="Calibri" w:eastAsia="Calibri"/>
          <w:color w:val="000000"/>
          <w:sz w:val="24"/>
        </w:rPr>
        <w:t xml:space="preserve">Wang, B., Rau, P.-L. P. ve Yuan, T. (2023). Measuring user competence in using artificial intelligence: Validity and reliability of artificial intelligence literacy scale. </w:t>
      </w:r>
      <w:r>
        <w:rPr>
          <w:iCs/>
          <w:rFonts w:ascii="Calibri" w:hAnsi="Calibri" w:cs="Calibri" w:eastAsia="Calibri"/>
          <w:i/>
          <w:color w:val="000000"/>
          <w:sz w:val="24"/>
        </w:rPr>
        <w:t xml:space="preserve">Behaviour &amp; Information Technology, 42</w:t>
      </w:r>
      <w:r>
        <w:rPr>
          <w:rFonts w:ascii="Calibri" w:hAnsi="Calibri" w:cs="Calibri" w:eastAsia="Calibri"/>
          <w:color w:val="000000"/>
          <w:sz w:val="24"/>
        </w:rPr>
        <w:t xml:space="preserve">(9), 1324–1337. https://doi.org/10.1080/0144929X.2022.2072768</w:t>
      </w:r>
    </w:p>
    <w:p>
      <w:pPr>
        <w:pStyle w:val="BodyText"/>
        <w:spacing w:line="240" w:lineRule="auto" w:before="0" w:after="120"/>
        <w:ind w:left="567" w:hanging="567"/>
        <w:jc w:val="left"/>
      </w:pPr>
      <w:r>
        <w:rPr>
          <w:rFonts w:ascii="Calibri" w:hAnsi="Calibri" w:cs="Calibri" w:eastAsia="Calibri"/>
          <w:color w:val="000000"/>
          <w:sz w:val="24"/>
        </w:rPr>
        <w:t xml:space="preserve">Wang, F., Yu, H., Zhong, C. ve Yu, S. (2026). Chinese university students perceive generative AI as a low-risk help-seeking space during academic stress and loneliness. </w:t>
      </w:r>
      <w:r>
        <w:rPr>
          <w:iCs/>
          <w:rFonts w:ascii="Calibri" w:hAnsi="Calibri" w:cs="Calibri" w:eastAsia="Calibri"/>
          <w:i/>
          <w:color w:val="000000"/>
          <w:sz w:val="24"/>
        </w:rPr>
        <w:t xml:space="preserve">Scientific Reports</w:t>
      </w:r>
      <w:r>
        <w:rPr>
          <w:rFonts w:ascii="Calibri" w:hAnsi="Calibri" w:cs="Calibri" w:eastAsia="Calibri"/>
          <w:color w:val="000000"/>
          <w:sz w:val="24"/>
        </w:rPr>
        <w:t xml:space="preserve">. Advance online publication. https://doi.org/10.1038/s41598-026-72421-1</w:t>
      </w:r>
    </w:p>
    <w:p>
      <w:pPr>
        <w:pStyle w:val="BodyText"/>
        <w:spacing w:line="240" w:lineRule="auto" w:before="0" w:after="120"/>
        <w:ind w:left="567" w:hanging="567"/>
        <w:jc w:val="left"/>
      </w:pPr>
      <w:r>
        <w:rPr>
          <w:rFonts w:ascii="Calibri" w:hAnsi="Calibri" w:cs="Calibri" w:eastAsia="Calibri"/>
          <w:color w:val="000000"/>
          <w:sz w:val="24"/>
        </w:rPr>
        <w:t xml:space="preserve">Ward, A. F. (2021). People mistake the internet’s knowledge for their own. </w:t>
      </w:r>
      <w:r>
        <w:rPr>
          <w:iCs/>
          <w:rFonts w:ascii="Calibri" w:hAnsi="Calibri" w:cs="Calibri" w:eastAsia="Calibri"/>
          <w:i/>
          <w:color w:val="000000"/>
          <w:sz w:val="24"/>
        </w:rPr>
        <w:t xml:space="preserve">Proceedings of the National Academy of Sciences, 118</w:t>
      </w:r>
      <w:r>
        <w:rPr>
          <w:rFonts w:ascii="Calibri" w:hAnsi="Calibri" w:cs="Calibri" w:eastAsia="Calibri"/>
          <w:color w:val="000000"/>
          <w:sz w:val="24"/>
        </w:rPr>
        <w:t xml:space="preserve">(43), Article e2105061118. https://doi.org/10.1073/pnas.2105061118</w:t>
      </w:r>
    </w:p>
    <w:p>
      <w:pPr>
        <w:pStyle w:val="BodyText"/>
        <w:spacing w:line="240" w:lineRule="auto" w:before="0" w:after="120"/>
        <w:ind w:left="567" w:hanging="567"/>
        <w:jc w:val="left"/>
      </w:pPr>
      <w:r>
        <w:rPr>
          <w:rFonts w:ascii="Calibri" w:hAnsi="Calibri" w:cs="Calibri" w:eastAsia="Calibri"/>
          <w:color w:val="000000"/>
          <w:sz w:val="24"/>
        </w:rPr>
        <w:t xml:space="preserve">Wei, J. ve Shang, Y. (2026). Beyond checking: Verification quality, reliance calibration, and learning in generative AI-assisted higher education. </w:t>
      </w:r>
      <w:r>
        <w:rPr>
          <w:iCs/>
          <w:rFonts w:ascii="Calibri" w:hAnsi="Calibri" w:cs="Calibri" w:eastAsia="Calibri"/>
          <w:i/>
          <w:color w:val="000000"/>
          <w:sz w:val="24"/>
        </w:rPr>
        <w:t xml:space="preserve">Frontiers in Psychology, 17</w:t>
      </w:r>
      <w:r>
        <w:rPr>
          <w:rFonts w:ascii="Calibri" w:hAnsi="Calibri" w:cs="Calibri" w:eastAsia="Calibri"/>
          <w:color w:val="000000"/>
          <w:sz w:val="24"/>
        </w:rPr>
        <w:t xml:space="preserve">, Article 1965371. https://doi.org/10.3389/fpsyg.2026.1965371</w:t>
      </w:r>
    </w:p>
    <w:p>
      <w:pPr>
        <w:pStyle w:val="BodyText"/>
        <w:spacing w:line="240" w:lineRule="auto" w:before="0" w:after="120"/>
        <w:ind w:left="567" w:hanging="567"/>
        <w:jc w:val="left"/>
      </w:pPr>
      <w:r>
        <w:rPr>
          <w:rFonts w:ascii="Calibri" w:hAnsi="Calibri" w:cs="Calibri" w:eastAsia="Calibri"/>
          <w:color w:val="000000"/>
          <w:sz w:val="24"/>
        </w:rPr>
        <w:t xml:space="preserve">Wineburg, S. ve McGrew, S. (2019). Lateral reading and the nature of expertise: Reading less and learning more when evaluating digital information. </w:t>
      </w:r>
      <w:r>
        <w:rPr>
          <w:iCs/>
          <w:rFonts w:ascii="Calibri" w:hAnsi="Calibri" w:cs="Calibri" w:eastAsia="Calibri"/>
          <w:i/>
          <w:color w:val="000000"/>
          <w:sz w:val="24"/>
        </w:rPr>
        <w:t xml:space="preserve">Teachers College Record, 121</w:t>
      </w:r>
      <w:r>
        <w:rPr>
          <w:rFonts w:ascii="Calibri" w:hAnsi="Calibri" w:cs="Calibri" w:eastAsia="Calibri"/>
          <w:color w:val="000000"/>
          <w:sz w:val="24"/>
        </w:rPr>
        <w:t xml:space="preserve">(11), 1–40. https://doi.org/10.1177/016146811912101102</w:t>
      </w:r>
    </w:p>
    <w:p>
      <w:pPr>
        <w:pStyle w:val="BodyText"/>
        <w:spacing w:line="240" w:lineRule="auto" w:before="0" w:after="120"/>
        <w:ind w:left="567" w:hanging="567"/>
        <w:jc w:val="left"/>
      </w:pPr>
      <w:r>
        <w:rPr>
          <w:rFonts w:ascii="Calibri" w:hAnsi="Calibri" w:cs="Calibri" w:eastAsia="Calibri"/>
          <w:color w:val="000000"/>
          <w:sz w:val="24"/>
        </w:rPr>
        <w:t xml:space="preserve">Yalçın Çelik, A. ve Çoban, Ö. K. (2023). Kimya sorularının cevaplanmasında yapay zekâ tabanlı sohbet robotlarının performansının incelenmesi. </w:t>
      </w:r>
      <w:r>
        <w:rPr>
          <w:iCs/>
          <w:rFonts w:ascii="Calibri" w:hAnsi="Calibri" w:cs="Calibri" w:eastAsia="Calibri"/>
          <w:i/>
          <w:color w:val="000000"/>
          <w:sz w:val="24"/>
        </w:rPr>
        <w:t xml:space="preserve">Türk Eğitim Bilimleri Dergisi, 21</w:t>
      </w:r>
      <w:r>
        <w:rPr>
          <w:rFonts w:ascii="Calibri" w:hAnsi="Calibri" w:cs="Calibri" w:eastAsia="Calibri"/>
          <w:color w:val="000000"/>
          <w:sz w:val="24"/>
        </w:rPr>
        <w:t xml:space="preserve">(3), 1540–1561. https://doi.org/10.37217/tebd.1361401</w:t>
      </w:r>
    </w:p>
    <w:p>
      <w:pPr>
        <w:pStyle w:val="BodyText"/>
        <w:spacing w:line="240" w:lineRule="auto" w:before="0" w:after="120"/>
        <w:ind w:left="567" w:hanging="567"/>
        <w:jc w:val="left"/>
      </w:pPr>
      <w:r>
        <w:rPr>
          <w:rFonts w:ascii="Calibri" w:hAnsi="Calibri" w:cs="Calibri" w:eastAsia="Calibri"/>
          <w:color w:val="000000"/>
          <w:sz w:val="24"/>
        </w:rPr>
        <w:t xml:space="preserve">Yan, L., Greiff, S., Lodge, J. M. ve Gašević, D. (2025). Distinguishing performance gains from learning when using generative AI. </w:t>
      </w:r>
      <w:r>
        <w:rPr>
          <w:iCs/>
          <w:rFonts w:ascii="Calibri" w:hAnsi="Calibri" w:cs="Calibri" w:eastAsia="Calibri"/>
          <w:i/>
          <w:color w:val="000000"/>
          <w:sz w:val="24"/>
        </w:rPr>
        <w:t xml:space="preserve">Nature Reviews Psychology, 4</w:t>
      </w:r>
      <w:r>
        <w:rPr>
          <w:rFonts w:ascii="Calibri" w:hAnsi="Calibri" w:cs="Calibri" w:eastAsia="Calibri"/>
          <w:color w:val="000000"/>
          <w:sz w:val="24"/>
        </w:rPr>
        <w:t xml:space="preserve">(7), 435–436. https://doi.org/10.1038/s44159-025-00467-5</w:t>
      </w:r>
    </w:p>
    <w:p>
      <w:pPr>
        <w:pStyle w:val="BodyText"/>
        <w:spacing w:line="240" w:lineRule="auto" w:before="0" w:after="120"/>
        <w:ind w:left="567" w:hanging="567"/>
        <w:jc w:val="left"/>
      </w:pPr>
      <w:r>
        <w:rPr>
          <w:rFonts w:ascii="Calibri" w:hAnsi="Calibri" w:cs="Calibri" w:eastAsia="Calibri"/>
          <w:color w:val="000000"/>
          <w:sz w:val="24"/>
        </w:rPr>
        <w:t xml:space="preserve">Yankouskaya, A., Liebherr, M. ve Ali, R. (2025). Can ChatGPT be addictive? A call to examine the shift from support to dependence in AI conversational large language models. </w:t>
      </w:r>
      <w:r>
        <w:rPr>
          <w:iCs/>
          <w:rFonts w:ascii="Calibri" w:hAnsi="Calibri" w:cs="Calibri" w:eastAsia="Calibri"/>
          <w:i/>
          <w:color w:val="000000"/>
          <w:sz w:val="24"/>
        </w:rPr>
        <w:t xml:space="preserve">Human-Centric Intelligent Systems, 5</w:t>
      </w:r>
      <w:r>
        <w:rPr>
          <w:rFonts w:ascii="Calibri" w:hAnsi="Calibri" w:cs="Calibri" w:eastAsia="Calibri"/>
          <w:color w:val="000000"/>
          <w:sz w:val="24"/>
        </w:rPr>
        <w:t xml:space="preserve">(1), 77–89. https://doi.org/10.1007/s44230-025-00090-w</w:t>
      </w:r>
    </w:p>
    <w:p>
      <w:pPr>
        <w:pStyle w:val="BodyText"/>
        <w:spacing w:line="240" w:lineRule="auto" w:before="0" w:after="120"/>
        <w:ind w:left="567" w:hanging="567"/>
        <w:jc w:val="left"/>
      </w:pPr>
      <w:r>
        <w:rPr>
          <w:rFonts w:ascii="Calibri" w:hAnsi="Calibri" w:cs="Calibri" w:eastAsia="Calibri"/>
          <w:color w:val="000000"/>
          <w:sz w:val="24"/>
        </w:rPr>
        <w:t xml:space="preserve">Yeniçeri, Ü. ve Kenan, A. (2025). Öğretmen adaylarının yapay zekâya yönelik tutum ve kaygılarının çeşitli değişkenler açısından betimsel analizi. </w:t>
      </w:r>
      <w:r>
        <w:rPr>
          <w:iCs/>
          <w:rFonts w:ascii="Calibri" w:hAnsi="Calibri" w:cs="Calibri" w:eastAsia="Calibri"/>
          <w:i/>
          <w:color w:val="000000"/>
          <w:sz w:val="24"/>
        </w:rPr>
        <w:t xml:space="preserve">Ege Eğitim Dergisi, 26</w:t>
      </w:r>
      <w:r>
        <w:rPr>
          <w:rFonts w:ascii="Calibri" w:hAnsi="Calibri" w:cs="Calibri" w:eastAsia="Calibri"/>
          <w:color w:val="000000"/>
          <w:sz w:val="24"/>
        </w:rPr>
        <w:t xml:space="preserve">(2), 226–245. https://doi.org/10.12984/egeefd.1625648</w:t>
      </w:r>
    </w:p>
    <w:p>
      <w:pPr>
        <w:pStyle w:val="BodyText"/>
        <w:spacing w:line="240" w:lineRule="auto" w:before="0" w:after="120"/>
        <w:ind w:left="567" w:hanging="567"/>
        <w:jc w:val="left"/>
      </w:pPr>
      <w:r>
        <w:rPr>
          <w:rFonts w:ascii="Calibri" w:hAnsi="Calibri" w:cs="Calibri" w:eastAsia="Calibri"/>
          <w:color w:val="000000"/>
          <w:sz w:val="24"/>
        </w:rPr>
        <w:t xml:space="preserve">Yeung, L. K. C., Chow, D. P. L., Wong, P. H. ve Lau, S. S. S. (2026). In ChatGPT they trust: A study of students’ perceptions and misuse of ChatGPT in higher education. </w:t>
      </w:r>
      <w:r>
        <w:rPr>
          <w:iCs/>
          <w:rFonts w:ascii="Calibri" w:hAnsi="Calibri" w:cs="Calibri" w:eastAsia="Calibri"/>
          <w:i/>
          <w:color w:val="000000"/>
          <w:sz w:val="24"/>
        </w:rPr>
        <w:t xml:space="preserve">AI and Ethics, 6</w:t>
      </w:r>
      <w:r>
        <w:rPr>
          <w:rFonts w:ascii="Calibri" w:hAnsi="Calibri" w:cs="Calibri" w:eastAsia="Calibri"/>
          <w:color w:val="000000"/>
          <w:sz w:val="24"/>
        </w:rPr>
        <w:t xml:space="preserve">(1), Article 11. https://doi.org/10.1007/s43681-025-00855-w</w:t>
      </w:r>
    </w:p>
    <w:p>
      <w:pPr>
        <w:pStyle w:val="BodyText"/>
        <w:spacing w:line="240" w:lineRule="auto" w:before="0" w:after="120"/>
        <w:ind w:left="567" w:hanging="567"/>
        <w:jc w:val="left"/>
      </w:pPr>
      <w:r>
        <w:rPr>
          <w:rFonts w:ascii="Calibri" w:hAnsi="Calibri" w:cs="Calibri" w:eastAsia="Calibri"/>
          <w:color w:val="000000"/>
          <w:sz w:val="24"/>
        </w:rPr>
        <w:t xml:space="preserve">Yıldırım, A. ve Şimşek, H. (2021). </w:t>
      </w:r>
      <w:r>
        <w:rPr>
          <w:iCs/>
          <w:rFonts w:ascii="Calibri" w:hAnsi="Calibri" w:cs="Calibri" w:eastAsia="Calibri"/>
          <w:i/>
          <w:color w:val="000000"/>
          <w:sz w:val="24"/>
        </w:rPr>
        <w:t xml:space="preserve">Sosyal bilimlerde nitel araştırma yöntemleri</w:t>
      </w:r>
      <w:r>
        <w:rPr>
          <w:rFonts w:ascii="Calibri" w:hAnsi="Calibri" w:cs="Calibri" w:eastAsia="Calibri"/>
          <w:color w:val="000000"/>
          <w:sz w:val="24"/>
        </w:rPr>
        <w:t xml:space="preserve"> (12. baskı). Seçkin Yayıncılık.</w:t>
      </w:r>
    </w:p>
    <w:p>
      <w:pPr>
        <w:pStyle w:val="BodyText"/>
        <w:spacing w:line="240" w:lineRule="auto" w:before="0" w:after="120"/>
        <w:ind w:left="567" w:hanging="567"/>
        <w:jc w:val="left"/>
      </w:pPr>
      <w:r>
        <w:rPr>
          <w:rFonts w:ascii="Calibri" w:hAnsi="Calibri" w:cs="Calibri" w:eastAsia="Calibri"/>
          <w:color w:val="000000"/>
          <w:sz w:val="24"/>
        </w:rPr>
        <w:t xml:space="preserve">Yılmaz, N. ve Korkmaz, Ö. (2025). Eğitimde yapay zekâ kullanımına ilişkin geliştirilen ve uyarlanan ölçeklerin incelenmesi. </w:t>
      </w:r>
      <w:r>
        <w:rPr>
          <w:iCs/>
          <w:rFonts w:ascii="Calibri" w:hAnsi="Calibri" w:cs="Calibri" w:eastAsia="Calibri"/>
          <w:i/>
          <w:color w:val="000000"/>
          <w:sz w:val="24"/>
        </w:rPr>
        <w:t xml:space="preserve">Abant İzzet Baysal Üniversitesi Eğitim Fakültesi Dergisi, 25</w:t>
      </w:r>
      <w:r>
        <w:rPr>
          <w:rFonts w:ascii="Calibri" w:hAnsi="Calibri" w:cs="Calibri" w:eastAsia="Calibri"/>
          <w:color w:val="000000"/>
          <w:sz w:val="24"/>
        </w:rPr>
        <w:t xml:space="preserve">(3), 1567–1585. https://doi.org/10.17240/aibuefd.2025..-1563316</w:t>
      </w:r>
    </w:p>
    <w:p>
      <w:pPr>
        <w:pStyle w:val="BodyText"/>
        <w:spacing w:line="240" w:lineRule="auto" w:before="0" w:after="120"/>
        <w:ind w:left="567" w:hanging="567"/>
        <w:jc w:val="left"/>
      </w:pPr>
      <w:r>
        <w:rPr>
          <w:rFonts w:ascii="Calibri" w:hAnsi="Calibri" w:cs="Calibri" w:eastAsia="Calibri"/>
          <w:color w:val="000000"/>
          <w:sz w:val="24"/>
        </w:rPr>
        <w:t xml:space="preserve">Yılmaz, T. Y., Şahin, A., Özmen, M., Ulus, M. ve Maman, H. (2026). İlköğretim matematik öğretmeni adaylarının ChatGPT ile oluşturdukları matematiksel etkinlikler: Tasarım bileşenleri ve deneyimler. </w:t>
      </w:r>
      <w:r>
        <w:rPr>
          <w:iCs/>
          <w:rFonts w:ascii="Calibri" w:hAnsi="Calibri" w:cs="Calibri" w:eastAsia="Calibri"/>
          <w:i/>
          <w:color w:val="000000"/>
          <w:sz w:val="24"/>
        </w:rPr>
        <w:t xml:space="preserve">Bayburt Eğitim Fakültesi Dergisi, 21</w:t>
      </w:r>
      <w:r>
        <w:rPr>
          <w:rFonts w:ascii="Calibri" w:hAnsi="Calibri" w:cs="Calibri" w:eastAsia="Calibri"/>
          <w:color w:val="000000"/>
          <w:sz w:val="24"/>
        </w:rPr>
        <w:t xml:space="preserve">(50), 689–723. https://doi.org/10.35675/befdergi.1740803</w:t>
      </w:r>
    </w:p>
    <w:p>
      <w:pPr>
        <w:pStyle w:val="BodyText"/>
        <w:spacing w:line="240" w:lineRule="auto" w:before="0" w:after="120"/>
        <w:ind w:left="567" w:hanging="567"/>
        <w:jc w:val="left"/>
      </w:pPr>
      <w:r>
        <w:rPr>
          <w:rFonts w:ascii="Calibri" w:hAnsi="Calibri" w:cs="Calibri" w:eastAsia="Calibri"/>
          <w:color w:val="000000"/>
          <w:sz w:val="24"/>
        </w:rPr>
        <w:t xml:space="preserve">Yükseköğretim Kurulu. (2024). </w:t>
      </w:r>
      <w:r>
        <w:rPr>
          <w:iCs/>
          <w:rFonts w:ascii="Calibri" w:hAnsi="Calibri" w:cs="Calibri" w:eastAsia="Calibri"/>
          <w:i/>
          <w:color w:val="000000"/>
          <w:sz w:val="24"/>
        </w:rPr>
        <w:t xml:space="preserve">Yükseköğretim kurumları bilimsel araştırma ve yayın faaliyetlerinde üretken yapay zekâ kullanımına dair etik rehber</w:t>
      </w:r>
      <w:r>
        <w:rPr>
          <w:rFonts w:ascii="Calibri" w:hAnsi="Calibri" w:cs="Calibri" w:eastAsia="Calibri"/>
          <w:color w:val="000000"/>
          <w:sz w:val="24"/>
        </w:rPr>
        <w:t xml:space="preserve">. https://www.yok.gov.tr/Documents/2024/yapay-zeka-kullanimina-dair-etik-rehber.pdf</w:t>
      </w:r>
    </w:p>
    <w:p>
      <w:pPr>
        <w:pStyle w:val="BodyText"/>
        <w:spacing w:line="240" w:lineRule="auto" w:before="0" w:after="120"/>
        <w:ind w:left="567" w:hanging="567"/>
        <w:jc w:val="left"/>
      </w:pPr>
      <w:r>
        <w:rPr>
          <w:rFonts w:ascii="Calibri" w:hAnsi="Calibri" w:cs="Calibri" w:eastAsia="Calibri"/>
          <w:color w:val="000000"/>
          <w:sz w:val="24"/>
        </w:rPr>
        <w:t xml:space="preserve">Zhang, S., Zhao, X., Zhou, T. ve Kim, J. H. (2024). Do you have AI dependency? The roles of academic self-efficacy, academic stress, and performance expectations on problematic AI usage behavior. </w:t>
      </w:r>
      <w:r>
        <w:rPr>
          <w:iCs/>
          <w:rFonts w:ascii="Calibri" w:hAnsi="Calibri" w:cs="Calibri" w:eastAsia="Calibri"/>
          <w:i/>
          <w:color w:val="000000"/>
          <w:sz w:val="24"/>
        </w:rPr>
        <w:t xml:space="preserve">International Journal of Educational Technology in Higher Education, 21</w:t>
      </w:r>
      <w:r>
        <w:rPr>
          <w:rFonts w:ascii="Calibri" w:hAnsi="Calibri" w:cs="Calibri" w:eastAsia="Calibri"/>
          <w:color w:val="000000"/>
          <w:sz w:val="24"/>
        </w:rPr>
        <w:t xml:space="preserve">(1), Article 34. https://doi.org/10.1186/s41239-024-00467-0</w:t>
      </w:r>
    </w:p>
    <w:p>
      <w:pPr>
        <w:pStyle w:val="BodyText"/>
        <w:spacing w:line="240" w:lineRule="auto" w:before="0" w:after="120"/>
        <w:ind w:left="567" w:hanging="567"/>
        <w:jc w:val="left"/>
      </w:pPr>
      <w:r>
        <w:rPr>
          <w:rFonts w:ascii="Calibri" w:hAnsi="Calibri" w:cs="Calibri" w:eastAsia="Calibri"/>
          <w:color w:val="000000"/>
          <w:sz w:val="24"/>
        </w:rPr>
        <w:t xml:space="preserve">Zimmerman, B. J. (2002). Becoming a self-regulated learner: An overview. </w:t>
      </w:r>
      <w:r>
        <w:rPr>
          <w:iCs/>
          <w:rFonts w:ascii="Calibri" w:hAnsi="Calibri" w:cs="Calibri" w:eastAsia="Calibri"/>
          <w:i/>
          <w:color w:val="000000"/>
          <w:sz w:val="24"/>
        </w:rPr>
        <w:t xml:space="preserve">Theory Into Practice, 41</w:t>
      </w:r>
      <w:r>
        <w:rPr>
          <w:rFonts w:ascii="Calibri" w:hAnsi="Calibri" w:cs="Calibri" w:eastAsia="Calibri"/>
          <w:color w:val="000000"/>
          <w:sz w:val="24"/>
        </w:rPr>
        <w:t xml:space="preserve">(2), 64–70. https://doi.org/10.1207/s15430421tip4102_2</w:t>
      </w:r>
    </w:p>
    <w:p>
      <w:pPr>
        <w:pStyle w:val="Heading1"/>
      </w:pPr>
      <w:r>
        <w:rPr>
          <w:rFonts w:ascii="Calibri" w:hAnsi="Calibri" w:cs="Calibri" w:eastAsia="Calibri"/>
          <w:b/>
          <w:i w:val="0"/>
          <w:color w:val="000000"/>
          <w:sz w:val="24"/>
        </w:rPr>
        <w:t xml:space="preserve">Ek 1. Görüşme Formundaki Açık Uçlu Sorular</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Yapay zekâ (YZ) araçlarını (örneğin ChatGPT, Gemini vb.) ne sıklıkla ve hangi amaçlarla kullanıyorsunuz?</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Günlük yaşamınızda veya akademik çalışmalarınızda bu araçlar nasıl bir yer tutuyor?</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Bu araçları ilk kullanmaya başladığınız zamanı hatırlıyor musunuz? O dönemde sizi bu araçlara yönlendiren etmenler nelerdi?</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Bazı zamanlarda bu araçları planladığınızdan daha uzun süre kullandığınız oldu mu? Bu tür durumlarda ne gibi etkiler gözlemlediniz?</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YZ araçlarına erişemediğiniz zamanlarda (örneğin internet kesintisi, erişim sınırı) neler hissediyorsunuz? Bu durum günlük rutininizi/sizi nasıl etkiliyor?</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Kendinizi yalnız, stresli veya zorlanmış hissettiğiniz anlarda bu araçlara yöneldiğiniz oldu mu? Eğer olduysa, size katkısı olduğunu düşünüyor musunuz?</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Akademik bir konuda ya da bir ödevde zorlandığınızda, YZ araçlarına yönelmeyi mi yoksa insanlardan (örneğin arkadaş, hoca) yardım almayı mı tercih ediyorsunuz? Bu tercihte zaman içinde bir değişim oldu mu?</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Yapay zekâ araçları ile etkileşiminizi düşündüğünüzde, onun rolünü nasıl tanımlarsınız?</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Zaman içinde YZ araçlarını kullanım biçiminizde bir değişim fark ettiniz mi? Örneğin, kullanım sıklığı, çeşitliliği veya sizin için ifade ettiği şey değişti mi?</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YZ araçları olmadan bir ödevi tamamlayamayacağınızı ya da bir konuda ilerleyemeyeceğinizi düşündüğünüz anlar oldu mu? Bu deneyimi ayrıntılandırabilir misiniz?</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Yeni bir YZ uygulaması çıktığında ya da mevcut kullandığınız aracın güncellenmesi duyurulduğunda, bunları takip etme ya da kaçırmama yönünde bir isteğiniz oluyor mu? (Evet ise) Bu isteğin arkasında sizce ne yatıyor olabilir?</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YZ aracından gelen bir yanıtı hiç sorgulamadan doğrudan kullandığınız oldu mu? Bu durum size ne hissettirdi? Böyle bir kararı neden bu şekilde verdiniz?</w:t>
      </w:r>
    </w:p>
    <w:p>
      <w:pPr>
        <w:numPr>
          <w:ilvl w:val="0"/>
          <w:numId w:val="1002"/>
        </w:numPr>
        <w:pStyle w:val="Compact"/>
        <w:spacing w:line="240" w:lineRule="auto" w:before="0" w:after="60"/>
        <w:ind w:firstLine="0"/>
        <w:jc w:val="both"/>
      </w:pPr>
      <w:r>
        <w:rPr>
          <w:rFonts w:ascii="Calibri" w:hAnsi="Calibri" w:cs="Calibri" w:eastAsia="Calibri"/>
          <w:color w:val="000000"/>
          <w:sz w:val="24"/>
        </w:rPr>
        <w:t xml:space="preserve">YZ araçlarını kullandığınız bazı durumları çevrenizle paylaşmak istemediğiniz oldu mu? Bu tür bir gizleme eğilimi söz konusu ise neden dolayı böyle hissediyor olabilirsiniz?</w:t>
      </w:r>
    </w:p>
    <w:p>
      <w:pPr>
        <w:pStyle w:val="FirstParagraph"/>
        <w:keepNext w:val="0"/>
        <w:spacing w:line="240" w:lineRule="auto" w:before="60" w:after="240"/>
        <w:ind w:firstLine="0"/>
        <w:jc w:val="left"/>
      </w:pPr>
      <w:r>
        <w:rPr>
          <w:iCs/>
          <w:rFonts w:ascii="Calibri" w:hAnsi="Calibri" w:cs="Calibri" w:eastAsia="Calibri"/>
          <w:i/>
          <w:color w:val="000000"/>
          <w:sz w:val="20"/>
        </w:rPr>
        <w:t xml:space="preserve">Not.</w:t>
      </w:r>
      <w:r>
        <w:rPr>
          <w:rFonts w:ascii="Calibri" w:hAnsi="Calibri" w:cs="Calibri" w:eastAsia="Calibri"/>
          <w:color w:val="000000"/>
          <w:sz w:val="20"/>
        </w:rPr>
        <w:t xml:space="preserve"> S6 ve S11 kodlanmadı. Bu sorulara verilen yanıtlar yalnız bağlam bilgisi olarak okundu.</w:t>
      </w:r>
    </w:p>
    <w:p>
      <w:pPr>
        <w:pStyle w:val="Heading1"/>
      </w:pPr>
      <w:r>
        <w:rPr>
          <w:rFonts w:ascii="Calibri" w:hAnsi="Calibri" w:cs="Calibri" w:eastAsia="Calibri"/>
          <w:b/>
          <w:i w:val="0"/>
          <w:color w:val="000000"/>
          <w:sz w:val="24"/>
        </w:rPr>
        <w:t xml:space="preserve">Ek 2. Çevrim İçi Ek Materyal</w:t>
      </w:r>
    </w:p>
    <w:p>
      <w:pPr>
        <w:pStyle w:val="FirstParagraph"/>
        <w:spacing w:line="240" w:lineRule="auto" w:before="120" w:after="120"/>
        <w:ind w:firstLine="567"/>
        <w:jc w:val="both"/>
      </w:pPr>
      <w:r>
        <w:rPr>
          <w:rFonts w:ascii="Calibri" w:hAnsi="Calibri" w:cs="Calibri" w:eastAsia="Calibri"/>
          <w:color w:val="000000"/>
          <w:sz w:val="24"/>
        </w:rPr>
        <w:t xml:space="preserve">Çevrim içi ek materyal altı bileşenden oluşmaktadır. S1, her kodun tema ve alt temasını, kapsamını, tarandığı soruları ve katılımcı düzeyindeki frekansını gösteren kod kitabıdır. S2, 43 katılımcının 76 koda göre durumunu gösteren katılımcı ve kod matrisidir. S3, 721 kod atamasının her biri için katılımcıyı, soruyu ve ham yanıttan birebir alınan dayanak ifadesini içeren denetim tablosudur. S4, kodlamada uygulanan genel ve özel karar kurallarını içerir. S5, ikinci ve üçüncü tur kod yapıları arasındaki eşleştirmeyi ve her kod için yapılan işlemi gösterir. S6, K40 ve K41 için yapılan model tabanlı ikinci kodlamanın birinci kodlamayla karşılaştırmasını ve uzlaşı kararlarını içerir.</w:t>
      </w:r>
    </w:p>
    <w:sectPr>
      <w:pgSz w:w="11906" w:h="16838"/>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color w:val="000000"/>
      <w:sz w:val="24"/>
    </w:rPr>
  </w:style>
  <w:style w:styleId="BodyText" w:type="paragraph">
    <w:name w:val="Body Text"/>
    <w:basedOn w:val="Normal"/>
    <w:link w:val="BodyTextChar"/>
    <w:pPr>
      <w:spacing w:after="180" w:before="180"/>
    </w:pPr>
    <w:qFormat/>
    <w:rPr>
      <w:rFonts w:ascii="Calibri" w:hAnsi="Calibri" w:cs="Calibri" w:eastAsia="Calibri"/>
      <w:color w:val="000000"/>
      <w:sz w:val="24"/>
    </w:rPr>
  </w:style>
  <w:style w:customStyle="1" w:styleId="FirstParagraph" w:type="paragraph">
    <w:name w:val="First Paragraph"/>
    <w:basedOn w:val="BodyText"/>
    <w:next w:val="BodyText"/>
    <w:qFormat/>
    <w:rPr>
      <w:rFonts w:ascii="Calibri" w:hAnsi="Calibri" w:cs="Calibri" w:eastAsia="Calibri"/>
      <w:color w:val="000000"/>
      <w:sz w:val="24"/>
    </w:rPr>
  </w:style>
  <w:style w:customStyle="1" w:styleId="Compact" w:type="paragraph">
    <w:name w:val="Compact"/>
    <w:basedOn w:val="BodyText"/>
    <w:qFormat/>
    <w:pPr>
      <w:spacing w:after="36" w:before="36"/>
    </w:pPr>
    <w:rPr>
      <w:rFonts w:ascii="Calibri" w:hAnsi="Calibri" w:cs="Calibri" w:eastAsia="Calibri"/>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240"/>
      <w:ind w:firstLine="0"/>
      <w:jc w:val="center"/>
      <w:outlineLvl w:val="0"/>
    </w:pPr>
    <w:rPr>
      <w:rFonts w:asciiTheme="majorHAnsi" w:cstheme="majorBidi" w:eastAsiaTheme="majorEastAsia" w:hAnsiTheme="majorHAnsi" w:ascii="Calibri" w:hAnsi="Calibri" w:cs="Calibri" w:eastAsia="Calibri"/>
      <w:b/>
      <w:bCs/>
      <w:i w:val="0"/>
      <w:color w:val="000000"/>
      <w:sz w:val="24"/>
      <w:szCs w:val="32"/>
    </w:rPr>
  </w:style>
  <w:style w:styleId="Heading2" w:type="paragraph">
    <w:name w:val="Heading 2"/>
    <w:basedOn w:val="Normal"/>
    <w:next w:val="BodyText"/>
    <w:uiPriority w:val="9"/>
    <w:unhideWhenUsed/>
    <w:qFormat/>
    <w:pPr>
      <w:keepNext/>
      <w:keepLines/>
      <w:spacing w:after="240" w:before="240"/>
      <w:ind w:firstLine="0"/>
      <w:jc w:val="left"/>
      <w:outlineLvl w:val="1"/>
    </w:pPr>
    <w:rPr>
      <w:rFonts w:asciiTheme="majorHAnsi" w:cstheme="majorBidi" w:eastAsiaTheme="majorEastAsia" w:hAnsiTheme="majorHAnsi" w:ascii="Calibri" w:hAnsi="Calibri" w:cs="Calibri" w:eastAsia="Calibri"/>
      <w:b/>
      <w:bCs/>
      <w:i w:val="0"/>
      <w:color w:val="000000"/>
      <w:sz w:val="24"/>
      <w:szCs w:val="28"/>
    </w:rPr>
  </w:style>
  <w:style w:styleId="Heading3" w:type="paragraph">
    <w:name w:val="Heading 3"/>
    <w:basedOn w:val="Normal"/>
    <w:next w:val="BodyText"/>
    <w:uiPriority w:val="9"/>
    <w:unhideWhenUsed/>
    <w:qFormat/>
    <w:pPr>
      <w:keepNext/>
      <w:keepLines/>
      <w:spacing w:after="240" w:before="240"/>
      <w:ind w:firstLine="0"/>
      <w:jc w:val="left"/>
      <w:outlineLvl w:val="2"/>
    </w:pPr>
    <w:rPr>
      <w:rFonts w:asciiTheme="majorHAnsi" w:cstheme="majorBidi" w:eastAsiaTheme="majorEastAsia" w:hAnsiTheme="majorHAnsi" w:ascii="Calibri" w:hAnsi="Calibri" w:cs="Calibri" w:eastAsia="Calibri"/>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Eğitim Fakültesi Öğrencilerinin Akademik Görevlerde Üretken Yapay Zekâ Kullanma Deneyimleri</dc:title>
  <dc:creator/>
  <cp:keywords/>
  <dcterms:created xsi:type="dcterms:W3CDTF">2026-09-30T06:42:58Z</dcterms:created>
  <dcterms:modified xsi:type="dcterms:W3CDTF">2026-09-30T06:42:58Z</dcterms:modified>
</cp:coreProperties>
</file>

<file path=docProps/custom.xml><?xml version="1.0" encoding="utf-8"?>
<Properties xmlns="http://schemas.openxmlformats.org/officeDocument/2006/custom-properties" xmlns:vt="http://schemas.openxmlformats.org/officeDocument/2006/docPropsVTypes"/>
</file>