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stimulus–marker timing calibration</w:t>
      </w:r>
    </w:p>
    <w:p>
      <w:pPr>
        <w:spacing w:after="40"/>
      </w:pPr>
      <w:r>
        <w:rPr>
          <w:b w:val="0"/>
          <w:i/>
          <w:sz w:val="22"/>
        </w:rPr>
        <w:t>SKELETON — sections marked [TBD] are completed after the calibration database and the validation sessions</w:t>
      </w:r>
    </w:p>
    <w:p>
      <w:pPr>
        <w:spacing w:after="240"/>
      </w:pPr>
      <w:r>
        <w:rPr>
          <w:b w:val="0"/>
          <w:sz w:val="18"/>
        </w:rPr>
        <w:t>Draft prepared 13 October 2026 from the calibration work of 6–13 October 2026. To be completed and adapted to each article (journal style, numbering, cross-references).</w:t>
      </w:r>
    </w:p>
    <w:p>
      <w:pPr>
        <w:pStyle w:val="Heading1"/>
      </w:pPr>
      <w:r>
        <w:t>S1. Overview</w:t>
      </w:r>
    </w:p>
    <w:p>
      <w:pPr>
        <w:spacing w:after="120"/>
      </w:pPr>
      <w:r>
        <w:rPr>
          <w:b w:val="0"/>
        </w:rPr>
        <w:t xml:space="preserve">Event markers were sent from the stimulus computer to the EEG recording system over Lab Streaming Layer (LSL). Because the delay between a marker and the actual visual onset depends on the display and acquisition chain, we calibrated it with an optical sensor in a dedicated set of recordings (N = </w:t>
      </w:r>
      <w:r>
        <w:rPr>
          <w:b/>
        </w:rPr>
        <w:t>[TBD]</w:t>
      </w:r>
      <w:r>
        <w:rPr>
          <w:b w:val="0"/>
        </w:rPr>
        <w:t xml:space="preserve"> sessions over 2 days) and validated the resulting correction in </w:t>
      </w:r>
      <w:r>
        <w:rPr>
          <w:b/>
        </w:rPr>
        <w:t>[TBD]</w:t>
      </w:r>
      <w:r>
        <w:rPr>
          <w:b w:val="0"/>
        </w:rPr>
        <w:t xml:space="preserve"> full experimental sessions. All event times reported in the main text are corrected as described in S6.</w:t>
      </w:r>
    </w:p>
    <w:p>
      <w:pPr>
        <w:pStyle w:val="Heading1"/>
      </w:pPr>
      <w:r>
        <w:t>S2. Hardware and software</w:t>
      </w:r>
    </w:p>
    <w:p>
      <w:pPr>
        <w:spacing w:after="60"/>
      </w:pPr>
      <w:r>
        <w:rPr>
          <w:b/>
          <w:sz w:val="19"/>
        </w:rPr>
        <w:t>Table S1. Hardware and software</w:t>
      </w:r>
    </w:p>
    <w:tbl>
      <w:tblPr>
        <w:tblStyle w:val="TableGrid"/>
        <w:tblW w:type="auto" w:w="0"/>
        <w:jc w:val="center"/>
        <w:tblLayout w:type="fixed"/>
        <w:tblLook w:firstColumn="1" w:firstRow="1" w:lastColumn="0" w:lastRow="0" w:noHBand="0" w:noVBand="1" w:val="04A0"/>
        <w:tblLayout w:type="fixed"/>
      </w:tblPr>
      <w:tblGrid>
        <w:gridCol w:w="2304"/>
        <w:gridCol w:w="7200"/>
      </w:tblGrid>
      <w:tr>
        <w:tc>
          <w:tcPr>
            <w:tcW w:type="dxa" w:w="2304"/>
            <w:shd w:val="clear" w:color="auto" w:fill="E8EEF7"/>
          </w:tcPr>
          <w:p>
            <w:r/>
            <w:r>
              <w:rPr>
                <w:b/>
                <w:sz w:val="17"/>
              </w:rPr>
              <w:t>Component</w:t>
            </w:r>
          </w:p>
        </w:tc>
        <w:tc>
          <w:tcPr>
            <w:tcW w:type="dxa" w:w="7200"/>
            <w:shd w:val="clear" w:color="auto" w:fill="E8EEF7"/>
          </w:tcPr>
          <w:p>
            <w:r/>
            <w:r>
              <w:rPr>
                <w:b/>
                <w:sz w:val="17"/>
              </w:rPr>
              <w:t>Details</w:t>
            </w:r>
          </w:p>
        </w:tc>
      </w:tr>
      <w:tr>
        <w:tc>
          <w:tcPr>
            <w:tcW w:type="dxa" w:w="2304"/>
          </w:tcPr>
          <w:p>
            <w:r/>
            <w:r>
              <w:rPr>
                <w:b w:val="0"/>
                <w:sz w:val="17"/>
              </w:rPr>
              <w:t>Stimulus computer</w:t>
            </w:r>
          </w:p>
        </w:tc>
        <w:tc>
          <w:tcPr>
            <w:tcW w:type="dxa" w:w="7200"/>
          </w:tcPr>
          <w:p>
            <w:r/>
            <w:r>
              <w:rPr>
                <w:b w:val="0"/>
                <w:sz w:val="17"/>
              </w:rPr>
              <w:t xml:space="preserve">Windows 11 Education (10.0.26200), AMD Ryzen with integrated Radeon Vega 8 graphics (driver 31.0.21916.2), </w:t>
            </w:r>
            <w:r>
              <w:rPr>
                <w:b/>
                <w:sz w:val="17"/>
              </w:rPr>
              <w:t>[TBD]</w:t>
            </w:r>
            <w:r>
              <w:rPr>
                <w:b w:val="0"/>
                <w:sz w:val="17"/>
              </w:rPr>
              <w:t xml:space="preserve"> CPU / RAM</w:t>
            </w:r>
          </w:p>
        </w:tc>
      </w:tr>
      <w:tr>
        <w:tc>
          <w:tcPr>
            <w:tcW w:type="dxa" w:w="2304"/>
          </w:tcPr>
          <w:p>
            <w:r/>
            <w:r>
              <w:rPr>
                <w:b w:val="0"/>
                <w:sz w:val="17"/>
              </w:rPr>
              <w:t>Display</w:t>
            </w:r>
          </w:p>
        </w:tc>
        <w:tc>
          <w:tcPr>
            <w:tcW w:type="dxa" w:w="7200"/>
          </w:tcPr>
          <w:p>
            <w:r/>
            <w:r>
              <w:rPr>
                <w:b w:val="0"/>
                <w:sz w:val="17"/>
              </w:rPr>
              <w:t xml:space="preserve">Dell </w:t>
            </w:r>
            <w:r>
              <w:rPr>
                <w:b/>
                <w:sz w:val="17"/>
              </w:rPr>
              <w:t>[TBD]</w:t>
            </w:r>
            <w:r>
              <w:rPr>
                <w:b w:val="0"/>
                <w:sz w:val="17"/>
              </w:rPr>
              <w:t xml:space="preserve"> monitor (EDID DEL43D4), 1920 × 1080, operated in 60 Hz mode; measured refresh 59.94 Hz (median frame interval 16.684 ms)</w:t>
            </w:r>
          </w:p>
        </w:tc>
      </w:tr>
      <w:tr>
        <w:tc>
          <w:tcPr>
            <w:tcW w:type="dxa" w:w="2304"/>
          </w:tcPr>
          <w:p>
            <w:r/>
            <w:r>
              <w:rPr>
                <w:b w:val="0"/>
                <w:sz w:val="17"/>
              </w:rPr>
              <w:t>Stimulus software</w:t>
            </w:r>
          </w:p>
        </w:tc>
        <w:tc>
          <w:tcPr>
            <w:tcW w:type="dxa" w:w="7200"/>
          </w:tcPr>
          <w:p>
            <w:r/>
            <w:r>
              <w:rPr>
                <w:b w:val="0"/>
                <w:sz w:val="17"/>
              </w:rPr>
              <w:t xml:space="preserve">PsychoPy 2026.2.4 (Coder, Python 3.10, pyglet back-end), frame-based timing with </w:t>
            </w:r>
            <w:r>
              <w:rPr>
                <w:rFonts w:ascii="Consolas" w:hAnsi="Consolas"/>
                <w:sz w:val="18"/>
              </w:rPr>
              <w:t>waitBlanking</w:t>
            </w:r>
          </w:p>
        </w:tc>
      </w:tr>
      <w:tr>
        <w:tc>
          <w:tcPr>
            <w:tcW w:type="dxa" w:w="2304"/>
          </w:tcPr>
          <w:p>
            <w:r/>
            <w:r>
              <w:rPr>
                <w:b w:val="0"/>
                <w:sz w:val="17"/>
              </w:rPr>
              <w:t>Marker transport</w:t>
            </w:r>
          </w:p>
        </w:tc>
        <w:tc>
          <w:tcPr>
            <w:tcW w:type="dxa" w:w="7200"/>
          </w:tcPr>
          <w:p>
            <w:r/>
            <w:r>
              <w:rPr>
                <w:b w:val="0"/>
                <w:sz w:val="17"/>
              </w:rPr>
              <w:t xml:space="preserve">LSL via pylsl 1.18.5 / liblsl 1.18; stream </w:t>
            </w:r>
            <w:r>
              <w:rPr>
                <w:rFonts w:ascii="Consolas" w:hAnsi="Consolas"/>
                <w:sz w:val="18"/>
              </w:rPr>
              <w:t>experiment_markers</w:t>
            </w:r>
            <w:r>
              <w:rPr>
                <w:b w:val="0"/>
                <w:sz w:val="17"/>
              </w:rPr>
              <w:t xml:space="preserve"> (int32, 1 channel)</w:t>
            </w:r>
          </w:p>
        </w:tc>
      </w:tr>
      <w:tr>
        <w:tc>
          <w:tcPr>
            <w:tcW w:type="dxa" w:w="2304"/>
          </w:tcPr>
          <w:p>
            <w:r/>
            <w:r>
              <w:rPr>
                <w:b w:val="0"/>
                <w:sz w:val="17"/>
              </w:rPr>
              <w:t>Recording computer</w:t>
            </w:r>
          </w:p>
        </w:tc>
        <w:tc>
          <w:tcPr>
            <w:tcW w:type="dxa" w:w="7200"/>
          </w:tcPr>
          <w:p>
            <w:r/>
            <w:r>
              <w:rPr>
                <w:b w:val="0"/>
                <w:sz w:val="17"/>
              </w:rPr>
              <w:t xml:space="preserve">Windows </w:t>
            </w:r>
            <w:r>
              <w:rPr>
                <w:b/>
                <w:sz w:val="17"/>
              </w:rPr>
              <w:t>[TBD]</w:t>
            </w:r>
            <w:r>
              <w:rPr>
                <w:b w:val="0"/>
                <w:sz w:val="17"/>
              </w:rPr>
              <w:t xml:space="preserve">, MATLAB/Simulink R2020a, g.HIsys </w:t>
            </w:r>
            <w:r>
              <w:rPr>
                <w:b/>
                <w:sz w:val="17"/>
              </w:rPr>
              <w:t>[TBD]</w:t>
            </w:r>
            <w:r>
              <w:rPr>
                <w:b w:val="0"/>
                <w:sz w:val="17"/>
              </w:rPr>
              <w:t xml:space="preserve">, liblsl-Matlab </w:t>
            </w:r>
            <w:r>
              <w:rPr>
                <w:b/>
                <w:sz w:val="17"/>
              </w:rPr>
              <w:t>[TBD]</w:t>
            </w:r>
          </w:p>
        </w:tc>
      </w:tr>
      <w:tr>
        <w:tc>
          <w:tcPr>
            <w:tcW w:type="dxa" w:w="2304"/>
          </w:tcPr>
          <w:p>
            <w:r/>
            <w:r>
              <w:rPr>
                <w:b w:val="0"/>
                <w:sz w:val="17"/>
              </w:rPr>
              <w:t>Amplifier</w:t>
            </w:r>
          </w:p>
        </w:tc>
        <w:tc>
          <w:tcPr>
            <w:tcW w:type="dxa" w:w="7200"/>
          </w:tcPr>
          <w:p>
            <w:r/>
            <w:r>
              <w:rPr>
                <w:b w:val="0"/>
                <w:sz w:val="17"/>
              </w:rPr>
              <w:t xml:space="preserve">g.tec g.HIamp </w:t>
            </w:r>
            <w:r>
              <w:rPr>
                <w:b/>
                <w:sz w:val="17"/>
              </w:rPr>
              <w:t>[TBD]</w:t>
            </w:r>
            <w:r>
              <w:rPr>
                <w:b w:val="0"/>
                <w:sz w:val="17"/>
              </w:rPr>
              <w:t>, sampling rate 600 Hz, Simulink frame length 8 samples</w:t>
            </w:r>
          </w:p>
        </w:tc>
      </w:tr>
      <w:tr>
        <w:tc>
          <w:tcPr>
            <w:tcW w:type="dxa" w:w="2304"/>
          </w:tcPr>
          <w:p>
            <w:r/>
            <w:r>
              <w:rPr>
                <w:b w:val="0"/>
                <w:sz w:val="17"/>
              </w:rPr>
              <w:t>Optical sensor</w:t>
            </w:r>
          </w:p>
        </w:tc>
        <w:tc>
          <w:tcPr>
            <w:tcW w:type="dxa" w:w="7200"/>
          </w:tcPr>
          <w:p>
            <w:r/>
            <w:r>
              <w:rPr>
                <w:b w:val="0"/>
                <w:sz w:val="17"/>
              </w:rPr>
              <w:t>g.tec GTEC-0270 optical sensor → GTEC-0274W g.TRIGbox → GTEC-0274TR adapter → g.HIamp digital input</w:t>
            </w:r>
          </w:p>
        </w:tc>
      </w:tr>
    </w:tbl>
    <w:p>
      <w:pPr>
        <w:spacing w:after="80"/>
      </w:pPr>
    </w:p>
    <w:p>
      <w:pPr>
        <w:pStyle w:val="Heading1"/>
      </w:pPr>
      <w:r>
        <w:t>S3. Event-marker pipeline</w:t>
      </w:r>
    </w:p>
    <w:p>
      <w:pPr>
        <w:spacing w:after="120"/>
      </w:pPr>
      <w:r>
        <w:rPr>
          <w:b w:val="0"/>
        </w:rPr>
        <w:t>Markers were pushed to the LSL outlet in a callback executed on the screen flip that showed the stimulus (</w:t>
      </w:r>
      <w:r>
        <w:rPr>
          <w:rFonts w:ascii="Consolas" w:hAnsi="Consolas"/>
          <w:sz w:val="18"/>
        </w:rPr>
        <w:t>win.callOnFlip</w:t>
      </w:r>
      <w:r>
        <w:rPr>
          <w:b w:val="0"/>
        </w:rPr>
        <w:t xml:space="preserve">). The outlet sends a continuous integer stream at 600 samples/s, the rate at which the Simulink LSL inlet reads one sample per model step (1/600 s); the sender schedules samples against its clock so that exactly 600 samples/s are delivered. Each marker value is held (latched) for 100 ms (or for the flash duration in the calibration runs) and then returns to 0, so that it is sampled by the inlet; events are defined by the rising edge. In the Simulink model the marker channel is recorded together with the EEG channels by a </w:t>
      </w:r>
      <w:r>
        <w:rPr>
          <w:rFonts w:ascii="Consolas" w:hAnsi="Consolas"/>
          <w:sz w:val="18"/>
        </w:rPr>
        <w:t>To File</w:t>
      </w:r>
      <w:r>
        <w:rPr>
          <w:b w:val="0"/>
        </w:rPr>
        <w:t xml:space="preserve"> block.</w:t>
      </w:r>
    </w:p>
    <w:p>
      <w:pPr>
        <w:spacing w:after="120"/>
      </w:pPr>
      <w:r>
        <w:rPr>
          <w:b w:val="0"/>
        </w:rPr>
        <w:t>A second LSL inlet (a MATLAB System block) recorded, at every model step, the LSL timestamp of each marker on the stimulus computer's clock, the clock offset between the two computers estimated by LSL (</w:t>
      </w:r>
      <w:r>
        <w:rPr>
          <w:rFonts w:ascii="Consolas" w:hAnsi="Consolas"/>
          <w:sz w:val="18"/>
        </w:rPr>
        <w:t>time_correction</w:t>
      </w:r>
      <w:r>
        <w:rPr>
          <w:b w:val="0"/>
        </w:rPr>
        <w:t>, updated every second), the recording computer's LSL clock and the number of samples received. These data allow each marker to be placed on the EEG time axis by its time of sending rather than its time of arrival (S6).</w:t>
      </w:r>
    </w:p>
    <w:p>
      <w:pPr>
        <w:spacing w:after="120"/>
      </w:pPr>
      <w:r>
        <w:rPr>
          <w:b w:val="0"/>
        </w:rPr>
        <w:t>The LSL stream was created only after the stimulus window had been opened and the refresh rate measured. During development we found that the first flips of a new fullscreen window paused the stimulus process for about 0.8 s; when the stream already existed, this pause stalled the Simulink model (which waits for one LSL sample per step) and shifted all EEG data by about 0.8 s relative to the markers. Creating the stream afterwards removed the effect (0 resynchronisations of the sender in all subsequent runs).</w:t>
      </w:r>
    </w:p>
    <w:p>
      <w:pPr>
        <w:pStyle w:val="Heading1"/>
      </w:pPr>
      <w:r>
        <w:t>S4. Calibration recordings</w:t>
      </w:r>
    </w:p>
    <w:p>
      <w:pPr>
        <w:spacing w:after="120"/>
      </w:pPr>
      <w:r>
        <w:rPr>
          <w:b w:val="0"/>
        </w:rPr>
        <w:t>A dedicated script (</w:t>
      </w:r>
      <w:r>
        <w:rPr>
          <w:rFonts w:ascii="Consolas" w:hAnsi="Consolas"/>
          <w:sz w:val="18"/>
        </w:rPr>
        <w:t>run_photodiode_latency_database.py</w:t>
      </w:r>
      <w:r>
        <w:rPr>
          <w:b w:val="0"/>
        </w:rPr>
        <w:t>) presented a 45 × 45 px white square at the centre of the screen, where the experimental stimuli appeared, on a black background; the optical sensor was fixed over it for all calibration sessions. Each session contained: an experiment-start marker; 2 s black; a polarity calibration (3 s dark, 3 s light, 3 s dark); 2 s black; and 100 flashes (short sessions) or 500 flashes (long sessions). Flash i lasted 6 + ((i − 1) mod 100) frames (100 ms to 1.75 s) so that each optical pulse could be matched to its marker by its width; black gaps were randomised between 350 and 650 ms. The marker for each flash was sent on the flip that showed it.</w:t>
      </w:r>
    </w:p>
    <w:p>
      <w:pPr>
        <w:spacing w:after="120"/>
      </w:pPr>
      <w:r>
        <w:rPr>
          <w:b w:val="0"/>
        </w:rPr>
        <w:t xml:space="preserve">Sessions were recorded on 2 days (09:00–13:00), 24 short and 1 long session per day, with both computers restarted at the start of each of two blocks per day; each session restarted the Simulink model. In total </w:t>
      </w:r>
      <w:r>
        <w:rPr>
          <w:b/>
        </w:rPr>
        <w:t>[TBD]</w:t>
      </w:r>
      <w:r>
        <w:rPr>
          <w:b w:val="0"/>
        </w:rPr>
        <w:t xml:space="preserve"> sessions were recorded (</w:t>
      </w:r>
      <w:r>
        <w:rPr>
          <w:b/>
        </w:rPr>
        <w:t>[TBD]</w:t>
      </w:r>
      <w:r>
        <w:rPr>
          <w:b w:val="0"/>
        </w:rPr>
        <w:t xml:space="preserve"> short, </w:t>
      </w:r>
      <w:r>
        <w:rPr>
          <w:b/>
        </w:rPr>
        <w:t>[TBD]</w:t>
      </w:r>
      <w:r>
        <w:rPr>
          <w:b w:val="0"/>
        </w:rPr>
        <w:t xml:space="preserve"> long; dates </w:t>
      </w:r>
      <w:r>
        <w:rPr>
          <w:b/>
        </w:rPr>
        <w:t>[TBD]</w:t>
      </w:r>
      <w:r>
        <w:rPr>
          <w:b w:val="0"/>
        </w:rPr>
        <w:t>). The configuration was frozen during data collection; every session recorded the software versions, the code version (git commit) and checksums of the stimulus and LSL scripts.</w:t>
      </w:r>
    </w:p>
    <w:p>
      <w:pPr>
        <w:pStyle w:val="Heading1"/>
      </w:pPr>
      <w:r>
        <w:t>S5. Analysis</w:t>
      </w:r>
    </w:p>
    <w:p>
      <w:pPr>
        <w:pStyle w:val="ListBullet"/>
        <w:spacing w:after="40"/>
      </w:pPr>
      <w:r>
        <w:rPr>
          <w:b w:val="0"/>
        </w:rPr>
        <w:t>Optical and marker pulses were detected as runs of the respective channel above threshold (gaps &lt; 30 ms bridged, pulses &lt; 30 ms ignored); the polarity of the optical channel was taken from the calibration segment.</w:t>
      </w:r>
    </w:p>
    <w:p>
      <w:pPr>
        <w:pStyle w:val="ListBullet"/>
        <w:spacing w:after="40"/>
      </w:pPr>
      <w:r>
        <w:rPr>
          <w:b w:val="0"/>
        </w:rPr>
        <w:t>Each optical pulse was paired with its marker in order when the session contained one pulse per marker and the pulse widths followed the marker widths (r &gt; 0.99); otherwise pulses were numbered by width.</w:t>
      </w:r>
    </w:p>
    <w:p>
      <w:pPr>
        <w:pStyle w:val="ListBullet"/>
        <w:spacing w:after="40"/>
      </w:pPr>
      <w:r>
        <w:rPr>
          <w:b w:val="0"/>
        </w:rPr>
        <w:t>Timestamp-based placement: each marker's sending time (stimulus-computer LSL timestamp + clock offset) was mapped onto the EEG sample axis using the recording computer's clock at each model step, taken before any stall.</w:t>
      </w:r>
    </w:p>
    <w:p>
      <w:pPr>
        <w:pStyle w:val="ListBullet"/>
        <w:spacing w:after="40"/>
      </w:pPr>
      <w:r>
        <w:rPr>
          <w:b w:val="0"/>
        </w:rPr>
        <w:t>Delay per flash = optical onset − marker time (recorded marker and timestamp-placed marker). Per session: mean, SD and linear drift. Across sessions: mean correction with its 95 % confidence interval, between-session SD, pooled within-session SD and a 95 % prediction interval for a new session.</w:t>
      </w:r>
    </w:p>
    <w:p>
      <w:pPr>
        <w:pStyle w:val="ListBullet"/>
        <w:spacing w:after="40"/>
      </w:pPr>
      <w:r>
        <w:rPr>
          <w:b w:val="0"/>
        </w:rPr>
        <w:t>Exclusion criteria (defined before data collection): sender resynchronisations &gt; 0, aborted session or missing file, dropped frames &gt; 1 %, a model stall not caught up (backlog &gt; 5 ms), &lt; 95 % of flashes paired.</w:t>
      </w:r>
    </w:p>
    <w:p>
      <w:pPr>
        <w:spacing w:after="40"/>
      </w:pPr>
    </w:p>
    <w:p>
      <w:pPr>
        <w:spacing w:after="120"/>
      </w:pPr>
      <w:r>
        <w:rPr>
          <w:b w:val="0"/>
        </w:rPr>
        <w:t xml:space="preserve">Analysis code: </w:t>
      </w:r>
      <w:r>
        <w:rPr>
          <w:rFonts w:ascii="Consolas" w:hAnsi="Consolas"/>
          <w:sz w:val="18"/>
        </w:rPr>
        <w:t>notebooks/photodiode_latency_compare.ipynb</w:t>
      </w:r>
      <w:r>
        <w:rPr>
          <w:b w:val="0"/>
        </w:rPr>
        <w:t xml:space="preserve"> in the project repository (commit </w:t>
      </w:r>
      <w:r>
        <w:rPr>
          <w:b/>
        </w:rPr>
        <w:t>[TBD]</w:t>
      </w:r>
      <w:r>
        <w:rPr>
          <w:b w:val="0"/>
        </w:rPr>
        <w:t>).</w:t>
      </w:r>
    </w:p>
    <w:p>
      <w:pPr>
        <w:pStyle w:val="Heading1"/>
      </w:pPr>
      <w:r>
        <w:t>S6. Results and correction</w:t>
      </w:r>
    </w:p>
    <w:p>
      <w:pPr>
        <w:spacing w:after="120"/>
      </w:pPr>
      <w:r>
        <w:rPr>
          <w:b w:val="0"/>
        </w:rPr>
        <w:t xml:space="preserve">Of </w:t>
      </w:r>
      <w:r>
        <w:rPr>
          <w:b/>
        </w:rPr>
        <w:t>[TBD]</w:t>
      </w:r>
      <w:r>
        <w:rPr>
          <w:b w:val="0"/>
        </w:rPr>
        <w:t xml:space="preserve"> sessions, </w:t>
      </w:r>
      <w:r>
        <w:rPr>
          <w:b/>
        </w:rPr>
        <w:t>[TBD]</w:t>
      </w:r>
      <w:r>
        <w:rPr>
          <w:b w:val="0"/>
        </w:rPr>
        <w:t xml:space="preserve"> were excluded (</w:t>
      </w:r>
      <w:r>
        <w:rPr>
          <w:b/>
        </w:rPr>
        <w:t>[TBD]</w:t>
      </w:r>
      <w:r>
        <w:rPr>
          <w:b w:val="0"/>
        </w:rPr>
        <w:t xml:space="preserve"> reasons). The optical onset followed the timestamp-placed marker by </w:t>
      </w:r>
      <w:r>
        <w:rPr>
          <w:b/>
        </w:rPr>
        <w:t>[TBD]</w:t>
      </w:r>
      <w:r>
        <w:rPr>
          <w:b w:val="0"/>
        </w:rPr>
        <w:t xml:space="preserve"> ms (mean; 95 % CI </w:t>
      </w:r>
      <w:r>
        <w:rPr>
          <w:b/>
        </w:rPr>
        <w:t>[TBD]</w:t>
      </w:r>
      <w:r>
        <w:rPr>
          <w:b w:val="0"/>
        </w:rPr>
        <w:t xml:space="preserve">), with a between-session SD of </w:t>
      </w:r>
      <w:r>
        <w:rPr>
          <w:b/>
        </w:rPr>
        <w:t>[TBD]</w:t>
      </w:r>
      <w:r>
        <w:rPr>
          <w:b w:val="0"/>
        </w:rPr>
        <w:t xml:space="preserve"> ms and a within-session SD of </w:t>
      </w:r>
      <w:r>
        <w:rPr>
          <w:b/>
        </w:rPr>
        <w:t>[TBD]</w:t>
      </w:r>
      <w:r>
        <w:rPr>
          <w:b w:val="0"/>
        </w:rPr>
        <w:t xml:space="preserve"> ms; the 95 % prediction interval for a single session was </w:t>
      </w:r>
      <w:r>
        <w:rPr>
          <w:b/>
        </w:rPr>
        <w:t>[TBD]</w:t>
      </w:r>
      <w:r>
        <w:rPr>
          <w:b w:val="0"/>
        </w:rPr>
        <w:t xml:space="preserve"> ms. Drift within the long sessions was </w:t>
      </w:r>
      <w:r>
        <w:rPr>
          <w:b/>
        </w:rPr>
        <w:t>[TBD]</w:t>
      </w:r>
      <w:r>
        <w:rPr>
          <w:b w:val="0"/>
        </w:rPr>
        <w:t xml:space="preserve"> ms/min. Using the recorded (arrival-time) marker instead gave </w:t>
      </w:r>
      <w:r>
        <w:rPr>
          <w:b/>
        </w:rPr>
        <w:t>[TBD]</w:t>
      </w:r>
      <w:r>
        <w:rPr>
          <w:b w:val="0"/>
        </w:rPr>
        <w:t xml:space="preserve"> ms (between-session SD </w:t>
      </w:r>
      <w:r>
        <w:rPr>
          <w:b/>
        </w:rPr>
        <w:t>[TBD]</w:t>
      </w:r>
      <w:r>
        <w:rPr>
          <w:b w:val="0"/>
        </w:rPr>
        <w:t xml:space="preserve"> ms), because the LSL transit to the recording model varied between sessions.</w:t>
      </w:r>
    </w:p>
    <w:p>
      <w:pPr>
        <w:spacing w:after="120"/>
      </w:pPr>
      <w:r>
        <w:rPr>
          <w:b/>
        </w:rPr>
        <w:t>Correction applied in all analyses:</w:t>
      </w:r>
      <w:r>
        <w:rPr>
          <w:b w:val="0"/>
        </w:rPr>
        <w:t xml:space="preserve"> each event marker was placed at its LSL sending time mapped to the EEG time axis, and </w:t>
      </w:r>
      <w:r>
        <w:rPr>
          <w:b/>
        </w:rPr>
        <w:t>[TBD]</w:t>
      </w:r>
      <w:r>
        <w:rPr>
          <w:b w:val="0"/>
        </w:rPr>
        <w:t xml:space="preserve"> ms was added to obtain the visual onset at the screen centre.</w:t>
      </w:r>
    </w:p>
    <w:p>
      <w:pPr>
        <w:spacing w:after="60"/>
      </w:pPr>
      <w:r>
        <w:rPr>
          <w:b/>
          <w:sz w:val="19"/>
        </w:rPr>
        <w:t>Table S2. Calibration results</w:t>
      </w:r>
    </w:p>
    <w:tbl>
      <w:tblPr>
        <w:tblStyle w:val="TableGrid"/>
        <w:tblW w:type="auto" w:w="0"/>
        <w:jc w:val="center"/>
        <w:tblLayout w:type="fixed"/>
        <w:tblLook w:firstColumn="1" w:firstRow="1" w:lastColumn="0" w:lastRow="0" w:noHBand="0" w:noVBand="1" w:val="04A0"/>
        <w:tblLayout w:type="fixed"/>
      </w:tblPr>
      <w:tblGrid>
        <w:gridCol w:w="4752"/>
        <w:gridCol w:w="4752"/>
      </w:tblGrid>
      <w:tr>
        <w:tc>
          <w:tcPr>
            <w:tcW w:type="dxa" w:w="4752"/>
            <w:shd w:val="clear" w:color="auto" w:fill="E8EEF7"/>
          </w:tcPr>
          <w:p>
            <w:r/>
            <w:r>
              <w:rPr>
                <w:b/>
                <w:sz w:val="17"/>
              </w:rPr>
              <w:t>Quantity</w:t>
            </w:r>
          </w:p>
        </w:tc>
        <w:tc>
          <w:tcPr>
            <w:tcW w:type="dxa" w:w="4752"/>
            <w:shd w:val="clear" w:color="auto" w:fill="E8EEF7"/>
          </w:tcPr>
          <w:p>
            <w:r/>
            <w:r>
              <w:rPr>
                <w:b/>
                <w:sz w:val="17"/>
              </w:rPr>
              <w:t>Value</w:t>
            </w:r>
          </w:p>
        </w:tc>
      </w:tr>
      <w:tr>
        <w:tc>
          <w:tcPr>
            <w:tcW w:type="dxa" w:w="4752"/>
          </w:tcPr>
          <w:p>
            <w:r/>
            <w:r>
              <w:rPr>
                <w:b w:val="0"/>
                <w:sz w:val="17"/>
              </w:rPr>
              <w:t>Sessions recorded / analysed</w:t>
            </w:r>
          </w:p>
        </w:tc>
        <w:tc>
          <w:tcPr>
            <w:tcW w:type="dxa" w:w="4752"/>
          </w:tcPr>
          <w:p>
            <w:r/>
            <w:r>
              <w:rPr>
                <w:b/>
                <w:sz w:val="17"/>
              </w:rPr>
              <w:t>[TBD]</w:t>
            </w:r>
          </w:p>
        </w:tc>
      </w:tr>
      <w:tr>
        <w:tc>
          <w:tcPr>
            <w:tcW w:type="dxa" w:w="4752"/>
          </w:tcPr>
          <w:p>
            <w:r/>
            <w:r>
              <w:rPr>
                <w:b w:val="0"/>
                <w:sz w:val="17"/>
              </w:rPr>
              <w:t>Correction (mean, 95 % CI)</w:t>
            </w:r>
          </w:p>
        </w:tc>
        <w:tc>
          <w:tcPr>
            <w:tcW w:type="dxa" w:w="4752"/>
          </w:tcPr>
          <w:p>
            <w:r/>
            <w:r>
              <w:rPr>
                <w:b/>
                <w:sz w:val="17"/>
              </w:rPr>
              <w:t>[TBD]</w:t>
            </w:r>
          </w:p>
        </w:tc>
      </w:tr>
      <w:tr>
        <w:tc>
          <w:tcPr>
            <w:tcW w:type="dxa" w:w="4752"/>
          </w:tcPr>
          <w:p>
            <w:r/>
            <w:r>
              <w:rPr>
                <w:b w:val="0"/>
                <w:sz w:val="17"/>
              </w:rPr>
              <w:t>Between-session SD</w:t>
            </w:r>
          </w:p>
        </w:tc>
        <w:tc>
          <w:tcPr>
            <w:tcW w:type="dxa" w:w="4752"/>
          </w:tcPr>
          <w:p>
            <w:r/>
            <w:r>
              <w:rPr>
                <w:b/>
                <w:sz w:val="17"/>
              </w:rPr>
              <w:t>[TBD]</w:t>
            </w:r>
          </w:p>
        </w:tc>
      </w:tr>
      <w:tr>
        <w:tc>
          <w:tcPr>
            <w:tcW w:type="dxa" w:w="4752"/>
          </w:tcPr>
          <w:p>
            <w:r/>
            <w:r>
              <w:rPr>
                <w:b w:val="0"/>
                <w:sz w:val="17"/>
              </w:rPr>
              <w:t>Within-session SD</w:t>
            </w:r>
          </w:p>
        </w:tc>
        <w:tc>
          <w:tcPr>
            <w:tcW w:type="dxa" w:w="4752"/>
          </w:tcPr>
          <w:p>
            <w:r/>
            <w:r>
              <w:rPr>
                <w:b/>
                <w:sz w:val="17"/>
              </w:rPr>
              <w:t>[TBD]</w:t>
            </w:r>
          </w:p>
        </w:tc>
      </w:tr>
      <w:tr>
        <w:tc>
          <w:tcPr>
            <w:tcW w:type="dxa" w:w="4752"/>
          </w:tcPr>
          <w:p>
            <w:r/>
            <w:r>
              <w:rPr>
                <w:b w:val="0"/>
                <w:sz w:val="17"/>
              </w:rPr>
              <w:t>95 % prediction interval</w:t>
            </w:r>
          </w:p>
        </w:tc>
        <w:tc>
          <w:tcPr>
            <w:tcW w:type="dxa" w:w="4752"/>
          </w:tcPr>
          <w:p>
            <w:r/>
            <w:r>
              <w:rPr>
                <w:b/>
                <w:sz w:val="17"/>
              </w:rPr>
              <w:t>[TBD]</w:t>
            </w:r>
          </w:p>
        </w:tc>
      </w:tr>
      <w:tr>
        <w:tc>
          <w:tcPr>
            <w:tcW w:type="dxa" w:w="4752"/>
          </w:tcPr>
          <w:p>
            <w:r/>
            <w:r>
              <w:rPr>
                <w:b w:val="0"/>
                <w:sz w:val="17"/>
              </w:rPr>
              <w:t>Drift (long sessions)</w:t>
            </w:r>
          </w:p>
        </w:tc>
        <w:tc>
          <w:tcPr>
            <w:tcW w:type="dxa" w:w="4752"/>
          </w:tcPr>
          <w:p>
            <w:r/>
            <w:r>
              <w:rPr>
                <w:b/>
                <w:sz w:val="17"/>
              </w:rPr>
              <w:t>[TBD]</w:t>
            </w:r>
          </w:p>
        </w:tc>
      </w:tr>
      <w:tr>
        <w:tc>
          <w:tcPr>
            <w:tcW w:type="dxa" w:w="4752"/>
          </w:tcPr>
          <w:p>
            <w:r/>
            <w:r>
              <w:rPr>
                <w:b w:val="0"/>
                <w:sz w:val="17"/>
              </w:rPr>
              <w:t>Recorded-marker delay (mean, SD between sessions)</w:t>
            </w:r>
          </w:p>
        </w:tc>
        <w:tc>
          <w:tcPr>
            <w:tcW w:type="dxa" w:w="4752"/>
          </w:tcPr>
          <w:p>
            <w:r/>
            <w:r>
              <w:rPr>
                <w:b/>
                <w:sz w:val="17"/>
              </w:rPr>
              <w:t>[TBD]</w:t>
            </w:r>
          </w:p>
        </w:tc>
      </w:tr>
    </w:tbl>
    <w:p>
      <w:pPr>
        <w:spacing w:after="80"/>
      </w:pPr>
    </w:p>
    <w:p>
      <w:pPr>
        <w:spacing w:after="120"/>
      </w:pPr>
      <w:r>
        <w:rPr>
          <w:b w:val="0"/>
          <w:i/>
        </w:rPr>
        <w:t xml:space="preserve">Figure S1 </w:t>
      </w:r>
      <w:r>
        <w:rPr>
          <w:b/>
          <w:i/>
        </w:rPr>
        <w:t>[TBD]</w:t>
      </w:r>
      <w:r>
        <w:rPr>
          <w:b w:val="0"/>
          <w:i/>
        </w:rPr>
        <w:t xml:space="preserve">: delay per session (timestamp-placed and recorded marker). Figure S2 </w:t>
      </w:r>
      <w:r>
        <w:rPr>
          <w:b/>
          <w:i/>
        </w:rPr>
        <w:t>[TBD]</w:t>
      </w:r>
      <w:r>
        <w:rPr>
          <w:b w:val="0"/>
          <w:i/>
        </w:rPr>
        <w:t>: distribution of within-session deviations.</w:t>
      </w:r>
    </w:p>
    <w:p>
      <w:pPr>
        <w:spacing w:after="120"/>
      </w:pPr>
      <w:r>
        <w:rPr>
          <w:b w:val="0"/>
        </w:rPr>
        <w:t>Pilot data (13 October 2026, sensor at the bottom-right corner, 8 sessions): timestamp-placed delay 52.4–64.5 ms (mean 56.3 ms, between-session SD 4.8 ms), within-session SD ~5.5 ms; no difference between Simulink frame lengths of 4 and 8 samples. [Report or omit, depending on the article.]</w:t>
      </w:r>
    </w:p>
    <w:p>
      <w:pPr>
        <w:pStyle w:val="Heading1"/>
      </w:pPr>
      <w:r>
        <w:t>S7. Validation in the experimental paradigm</w:t>
      </w:r>
    </w:p>
    <w:p>
      <w:pPr>
        <w:spacing w:after="120"/>
      </w:pPr>
      <w:r>
        <w:rPr>
          <w:b w:val="0"/>
        </w:rPr>
        <w:t xml:space="preserve">The frozen correction was tested in </w:t>
      </w:r>
      <w:r>
        <w:rPr>
          <w:b/>
        </w:rPr>
        <w:t>[TBD]</w:t>
      </w:r>
      <w:r>
        <w:rPr>
          <w:b w:val="0"/>
        </w:rPr>
        <w:t xml:space="preserve"> full sessions of the experimental paradigm on different days, with the optical sensor on a square shown at the screen centre on every face-on frame (250 ms faces, 600 ms SOA). Across </w:t>
      </w:r>
      <w:r>
        <w:rPr>
          <w:b/>
        </w:rPr>
        <w:t>[TBD]</w:t>
      </w:r>
      <w:r>
        <w:rPr>
          <w:b w:val="0"/>
        </w:rPr>
        <w:t xml:space="preserve"> face events, corrected marker times differed from the optical onsets by </w:t>
      </w:r>
      <w:r>
        <w:rPr>
          <w:b/>
        </w:rPr>
        <w:t>[TBD]</w:t>
      </w:r>
      <w:r>
        <w:rPr>
          <w:b w:val="0"/>
        </w:rPr>
        <w:t xml:space="preserve"> ms (mean; SD </w:t>
      </w:r>
      <w:r>
        <w:rPr>
          <w:b/>
        </w:rPr>
        <w:t>[TBD]</w:t>
      </w:r>
      <w:r>
        <w:rPr>
          <w:b w:val="0"/>
        </w:rPr>
        <w:t xml:space="preserve"> ms; </w:t>
      </w:r>
      <w:r>
        <w:rPr>
          <w:b/>
        </w:rPr>
        <w:t>[TBD]</w:t>
      </w:r>
      <w:r>
        <w:rPr>
          <w:b w:val="0"/>
        </w:rPr>
        <w:t xml:space="preserve"> % within ±10 ms). All event codes were present (</w:t>
      </w:r>
      <w:r>
        <w:rPr>
          <w:b/>
        </w:rPr>
        <w:t>[TBD]</w:t>
      </w:r>
      <w:r>
        <w:rPr>
          <w:b w:val="0"/>
        </w:rPr>
        <w:t>), and the sender reported no resynchronisations. In the experimental sessions reported in the main text the optical square was not shown.</w:t>
      </w:r>
    </w:p>
    <w:p>
      <w:pPr>
        <w:pStyle w:val="Heading1"/>
      </w:pPr>
      <w:r>
        <w:t>S8. Limitations</w:t>
      </w:r>
    </w:p>
    <w:p>
      <w:pPr>
        <w:pStyle w:val="ListBullet"/>
        <w:spacing w:after="40"/>
      </w:pPr>
      <w:r>
        <w:rPr>
          <w:b w:val="0"/>
        </w:rPr>
        <w:t>Within-session timing jitter of ~5.5 ms SD arises in the display path (the optical onset is not locked to the software flip); for components wider than ~20 ms it reduces peak amplitude by &lt; 5 % and does not bias latency.</w:t>
      </w:r>
    </w:p>
    <w:p>
      <w:pPr>
        <w:pStyle w:val="ListBullet"/>
        <w:spacing w:after="40"/>
      </w:pPr>
      <w:r>
        <w:rPr>
          <w:b w:val="0"/>
        </w:rPr>
        <w:t>The calibration covers 2 recording days; re-check sessions after hardware or software changes (</w:t>
      </w:r>
      <w:r>
        <w:rPr>
          <w:b/>
        </w:rPr>
        <w:t>[TBD]</w:t>
      </w:r>
      <w:r>
        <w:rPr>
          <w:b w:val="0"/>
        </w:rPr>
        <w:t xml:space="preserve"> dates) were consistent with it </w:t>
      </w:r>
      <w:r>
        <w:rPr>
          <w:b/>
        </w:rPr>
        <w:t>[TBD]</w:t>
      </w:r>
      <w:r>
        <w:rPr>
          <w:b w:val="0"/>
        </w:rPr>
        <w:t>.</w:t>
      </w:r>
    </w:p>
    <w:p>
      <w:pPr>
        <w:pStyle w:val="ListBullet"/>
        <w:spacing w:after="40"/>
      </w:pPr>
      <w:r>
        <w:rPr>
          <w:b w:val="0"/>
        </w:rPr>
        <w:t>The correction refers to the screen centre; stimuli elsewhere on the screen appear earlier (upper half) or later (lower half) by up to about half a frame because the display refreshes from top to bottom.</w:t>
      </w:r>
    </w:p>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