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 do: experiment script update and vMMR analysis script</w:t>
      </w:r>
    </w:p>
    <w:p>
      <w:pPr>
        <w:spacing w:after="200"/>
      </w:pPr>
      <w:r>
        <w:rPr>
          <w:b w:val="0"/>
          <w:sz w:val="18"/>
        </w:rPr>
        <w:t xml:space="preserve">15 October 2026. Repository: https://github.com/DanielAtad/vMMR_EEG_PsychoPy_experiment. Line numbers refer to </w:t>
      </w:r>
      <w:r>
        <w:rPr>
          <w:rFonts w:ascii="Consolas" w:hAnsi="Consolas"/>
          <w:sz w:val="16"/>
        </w:rPr>
        <w:t>run_vMMR_experiment_v1_trig_after_framerate_measurement.py</w:t>
      </w:r>
      <w:r>
        <w:rPr>
          <w:b w:val="0"/>
          <w:sz w:val="18"/>
        </w:rPr>
        <w:t xml:space="preserve"> at commit </w:t>
      </w:r>
      <w:r>
        <w:rPr>
          <w:rFonts w:ascii="Consolas" w:hAnsi="Consolas"/>
          <w:sz w:val="16"/>
        </w:rPr>
        <w:t>34fc744</w:t>
      </w:r>
      <w:r>
        <w:rPr>
          <w:b w:val="0"/>
          <w:sz w:val="18"/>
        </w:rPr>
        <w:t>.</w:t>
      </w:r>
    </w:p>
    <w:p>
      <w:pPr>
        <w:pStyle w:val="Heading1"/>
      </w:pPr>
      <w:r>
        <w:t>Part 1 – Experiment script</w:t>
      </w:r>
    </w:p>
    <w:p>
      <w:pPr>
        <w:spacing w:after="120"/>
      </w:pPr>
      <w:r>
        <w:rPr>
          <w:b w:val="0"/>
        </w:rPr>
        <w:t xml:space="preserve">Create </w:t>
      </w:r>
      <w:r>
        <w:rPr>
          <w:rFonts w:ascii="Consolas" w:hAnsi="Consolas"/>
          <w:sz w:val="19"/>
        </w:rPr>
        <w:t>run_vMMR_experiment_v2.py</w:t>
      </w:r>
      <w:r>
        <w:rPr>
          <w:b w:val="0"/>
        </w:rPr>
        <w:t xml:space="preserve"> from </w:t>
      </w:r>
      <w:r>
        <w:rPr>
          <w:rFonts w:ascii="Consolas" w:hAnsi="Consolas"/>
          <w:sz w:val="19"/>
        </w:rPr>
        <w:t>run_vMMR_experiment_v1_trig_after_framerate_measurement.py</w:t>
      </w:r>
      <w:r>
        <w:rPr>
          <w:b w:val="0"/>
        </w:rPr>
        <w:t xml:space="preserve"> (keep v1 unchanged, as the README asks). Items 1–5 are needed before data collection; 6–8 are recommended.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rPr>
          <w:cantSplit/>
          <w:tblHeader/>
        </w:trPr>
        <w:tc>
          <w:tcPr>
            <w:tcW w:type="dxa" w:w="360"/>
            <w:shd w:val="clear" w:color="auto" w:fill="E8EEF7"/>
          </w:tcPr>
          <w:p>
            <w:r/>
            <w:r>
              <w:rPr>
                <w:b/>
                <w:sz w:val="17"/>
              </w:rPr>
              <w:t>#</w:t>
            </w:r>
          </w:p>
        </w:tc>
        <w:tc>
          <w:tcPr>
            <w:tcW w:type="dxa" w:w="2520"/>
            <w:shd w:val="clear" w:color="auto" w:fill="E8EEF7"/>
          </w:tcPr>
          <w:p>
            <w:r/>
            <w:r>
              <w:rPr>
                <w:b/>
                <w:sz w:val="17"/>
              </w:rPr>
              <w:t>Change</w:t>
            </w:r>
          </w:p>
        </w:tc>
        <w:tc>
          <w:tcPr>
            <w:tcW w:type="dxa" w:w="3960"/>
            <w:shd w:val="clear" w:color="auto" w:fill="E8EEF7"/>
          </w:tcPr>
          <w:p>
            <w:r/>
            <w:r>
              <w:rPr>
                <w:b/>
                <w:sz w:val="17"/>
              </w:rPr>
              <w:t>Why</w:t>
            </w:r>
          </w:p>
        </w:tc>
        <w:tc>
          <w:tcPr>
            <w:tcW w:type="dxa" w:w="2808"/>
            <w:shd w:val="clear" w:color="auto" w:fill="E8EEF7"/>
          </w:tcPr>
          <w:p>
            <w:r/>
            <w:r>
              <w:rPr>
                <w:b/>
                <w:sz w:val="17"/>
              </w:rPr>
              <w:t>Where (v1)</w:t>
            </w:r>
          </w:p>
        </w:tc>
      </w:tr>
      <w:tr>
        <w:trPr>
          <w:cantSplit/>
        </w:trPr>
        <w:tc>
          <w:tcPr>
            <w:tcW w:type="dxa" w:w="360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7"/>
              </w:rPr>
              <w:t xml:space="preserve">End the session with </w:t>
            </w:r>
            <w:r>
              <w:rPr>
                <w:b/>
                <w:sz w:val="17"/>
              </w:rPr>
              <w:t>255</w:t>
            </w:r>
            <w:r>
              <w:rPr>
                <w:b w:val="0"/>
                <w:sz w:val="17"/>
              </w:rPr>
              <w:t xml:space="preserve"> (send 99 = end, then 255 = stop)</w:t>
            </w:r>
          </w:p>
        </w:tc>
        <w:tc>
          <w:tcPr>
            <w:tcW w:type="dxa" w:w="3960"/>
          </w:tcPr>
          <w:p>
            <w:r/>
            <w:r>
              <w:rPr>
                <w:b w:val="0"/>
                <w:sz w:val="17"/>
              </w:rPr>
              <w:t>The recording model stops only on 255; with 99 it keeps recording until stopped by hand.</w:t>
            </w:r>
          </w:p>
        </w:tc>
        <w:tc>
          <w:tcPr>
            <w:tcW w:type="dxa" w:w="2808"/>
          </w:tcPr>
          <w:p>
            <w:r/>
            <w:r>
              <w:rPr>
                <w:rFonts w:ascii="Consolas" w:hAnsi="Consolas"/>
                <w:sz w:val="15"/>
              </w:rPr>
              <w:t>finish(final_code=99)</w:t>
            </w:r>
            <w:r>
              <w:rPr>
                <w:b w:val="0"/>
                <w:sz w:val="17"/>
              </w:rPr>
              <w:t xml:space="preserve"> :1364, </w:t>
            </w:r>
            <w:r>
              <w:rPr>
                <w:rFonts w:ascii="Consolas" w:hAnsi="Consolas"/>
                <w:sz w:val="15"/>
              </w:rPr>
              <w:t>set(99)</w:t>
            </w:r>
            <w:r>
              <w:rPr>
                <w:b w:val="0"/>
                <w:sz w:val="17"/>
              </w:rPr>
              <w:t xml:space="preserve"> :1367</w:t>
            </w:r>
          </w:p>
        </w:tc>
      </w:tr>
      <w:tr>
        <w:trPr>
          <w:cantSplit/>
        </w:trPr>
        <w:tc>
          <w:tcPr>
            <w:tcW w:type="dxa" w:w="360"/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2520"/>
          </w:tcPr>
          <w:p>
            <w:r/>
            <w:r>
              <w:rPr>
                <w:b/>
                <w:sz w:val="17"/>
              </w:rPr>
              <w:t>Preload images and read the trial tables before creating the LSL stream</w:t>
            </w:r>
          </w:p>
        </w:tc>
        <w:tc>
          <w:tcPr>
            <w:tcW w:type="dxa" w:w="3960"/>
          </w:tcPr>
          <w:p>
            <w:r/>
            <w:r>
              <w:rPr>
                <w:b w:val="0"/>
                <w:sz w:val="17"/>
              </w:rPr>
              <w:t>Loading textures while the stream is live can pause PsychoPy; a pause &gt; 0.1 s is a resync and shifts everything after it (the 0.8 s stall found in pilot testing). Same rule as for the window/refresh measurement.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7"/>
              </w:rPr>
              <w:t xml:space="preserve">stream created :1097; CSVs :1236–1238; </w:t>
            </w:r>
            <w:r>
              <w:rPr>
                <w:rFonts w:ascii="Consolas" w:hAnsi="Consolas"/>
                <w:sz w:val="15"/>
              </w:rPr>
              <w:t>preload_images</w:t>
            </w:r>
            <w:r>
              <w:rPr>
                <w:b w:val="0"/>
                <w:sz w:val="17"/>
              </w:rPr>
              <w:t xml:space="preserve"> :1254</w:t>
            </w:r>
          </w:p>
        </w:tc>
      </w:tr>
      <w:tr>
        <w:trPr>
          <w:cantSplit/>
        </w:trPr>
        <w:tc>
          <w:tcPr>
            <w:tcW w:type="dxa" w:w="360"/>
          </w:tcPr>
          <w:p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2520"/>
          </w:tcPr>
          <w:p>
            <w:r/>
            <w:r>
              <w:rPr>
                <w:b/>
                <w:sz w:val="17"/>
              </w:rPr>
              <w:t>Write each face event's LSL timestamp to the events file</w:t>
            </w:r>
            <w:r>
              <w:rPr>
                <w:b w:val="0"/>
                <w:sz w:val="17"/>
              </w:rPr>
              <w:t xml:space="preserve"> (column </w:t>
            </w:r>
            <w:r>
              <w:rPr>
                <w:rFonts w:ascii="Consolas" w:hAnsi="Consolas"/>
                <w:sz w:val="15"/>
              </w:rPr>
              <w:t>lsl_event_timestamp</w:t>
            </w:r>
            <w:r>
              <w:rPr>
                <w:b w:val="0"/>
                <w:sz w:val="17"/>
              </w:rPr>
              <w:t>)</w:t>
            </w:r>
          </w:p>
        </w:tc>
        <w:tc>
          <w:tcPr>
            <w:tcW w:type="dxa" w:w="3960"/>
          </w:tcPr>
          <w:p>
            <w:r/>
            <w:r>
              <w:rPr>
                <w:b w:val="0"/>
                <w:sz w:val="17"/>
              </w:rPr>
              <w:t>Already captured (</w:t>
            </w:r>
            <w:r>
              <w:rPr>
                <w:rFonts w:ascii="Consolas" w:hAnsi="Consolas"/>
                <w:sz w:val="15"/>
              </w:rPr>
              <w:t>onset["lsl"]</w:t>
            </w:r>
            <w:r>
              <w:rPr>
                <w:b w:val="0"/>
                <w:sz w:val="17"/>
              </w:rPr>
              <w:t>, :552) but not saved. Lets the analysis match each events-file row to its corrected event exactly instead of relying on order.</w:t>
            </w:r>
          </w:p>
        </w:tc>
        <w:tc>
          <w:tcPr>
            <w:tcW w:type="dxa" w:w="2808"/>
          </w:tcPr>
          <w:p>
            <w:r/>
            <w:r>
              <w:rPr>
                <w:rFonts w:ascii="Consolas" w:hAnsi="Consolas"/>
                <w:sz w:val="15"/>
              </w:rPr>
              <w:t>make_event_writer</w:t>
            </w:r>
            <w:r>
              <w:rPr>
                <w:b w:val="0"/>
                <w:sz w:val="17"/>
              </w:rPr>
              <w:t xml:space="preserve"> fields :387–390; </w:t>
            </w:r>
            <w:r>
              <w:rPr>
                <w:rFonts w:ascii="Consolas" w:hAnsi="Consolas"/>
                <w:sz w:val="15"/>
              </w:rPr>
              <w:t>present_face_event</w:t>
            </w:r>
            <w:r>
              <w:rPr>
                <w:b w:val="0"/>
                <w:sz w:val="17"/>
              </w:rPr>
              <w:t xml:space="preserve"> return; </w:t>
            </w:r>
            <w:r>
              <w:rPr>
                <w:rFonts w:ascii="Consolas" w:hAnsi="Consolas"/>
                <w:sz w:val="15"/>
              </w:rPr>
              <w:t>event_writer.writerow</w:t>
            </w:r>
            <w:r>
              <w:rPr>
                <w:b w:val="0"/>
                <w:sz w:val="17"/>
              </w:rPr>
              <w:t xml:space="preserve"> :898</w:t>
            </w:r>
          </w:p>
        </w:tc>
      </w:tr>
      <w:tr>
        <w:trPr>
          <w:cantSplit/>
        </w:trPr>
        <w:tc>
          <w:tcPr>
            <w:tcW w:type="dxa" w:w="360"/>
          </w:tcPr>
          <w:p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2520"/>
          </w:tcPr>
          <w:p>
            <w:r/>
            <w:r>
              <w:rPr>
                <w:b/>
                <w:sz w:val="17"/>
              </w:rPr>
              <w:t>Experiment-start marker 1</w:t>
            </w:r>
            <w:r>
              <w:rPr>
                <w:b w:val="0"/>
                <w:sz w:val="17"/>
              </w:rPr>
              <w:t>, flip-aligned, when SPACE ends the instructions</w:t>
            </w:r>
          </w:p>
        </w:tc>
        <w:tc>
          <w:tcPr>
            <w:tcW w:type="dxa" w:w="3960"/>
          </w:tcPr>
          <w:p>
            <w:r/>
            <w:r>
              <w:rPr>
                <w:b w:val="0"/>
                <w:sz w:val="17"/>
              </w:rPr>
              <w:t>Same anchor as the calibration scripts and the AGENTS.md map; marks the start after the model is running. Keep 9 (script start, not flip-aligned) or drop it.</w:t>
            </w:r>
          </w:p>
        </w:tc>
        <w:tc>
          <w:tcPr>
            <w:tcW w:type="dxa" w:w="2808"/>
          </w:tcPr>
          <w:p>
            <w:r/>
            <w:r>
              <w:rPr>
                <w:rFonts w:ascii="Consolas" w:hAnsi="Consolas"/>
                <w:sz w:val="15"/>
              </w:rPr>
              <w:t>trigger.set(9)</w:t>
            </w:r>
            <w:r>
              <w:rPr>
                <w:b w:val="0"/>
                <w:sz w:val="17"/>
              </w:rPr>
              <w:t xml:space="preserve"> :1283; instructions :1285</w:t>
            </w:r>
          </w:p>
        </w:tc>
      </w:tr>
      <w:tr>
        <w:trPr>
          <w:cantSplit/>
        </w:trPr>
        <w:tc>
          <w:tcPr>
            <w:tcW w:type="dxa" w:w="360"/>
          </w:tcPr>
          <w:p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2520"/>
          </w:tcPr>
          <w:p>
            <w:r/>
            <w:r>
              <w:rPr>
                <w:b/>
                <w:sz w:val="17"/>
              </w:rPr>
              <w:t>Photodiode square off by default</w:t>
            </w:r>
            <w:r>
              <w:rPr>
                <w:b w:val="0"/>
                <w:sz w:val="17"/>
              </w:rPr>
              <w:t xml:space="preserve"> (</w:t>
            </w:r>
            <w:r>
              <w:rPr>
                <w:rFonts w:ascii="Consolas" w:hAnsi="Consolas"/>
                <w:sz w:val="15"/>
              </w:rPr>
              <w:t>photodiode_square</w:t>
            </w:r>
            <w:r>
              <w:rPr>
                <w:b w:val="0"/>
                <w:sz w:val="17"/>
              </w:rPr>
              <w:t>); photodiode test trigger not 99</w:t>
            </w:r>
          </w:p>
        </w:tc>
        <w:tc>
          <w:tcPr>
            <w:tcW w:type="dxa" w:w="3960"/>
          </w:tcPr>
          <w:p>
            <w:r/>
            <w:r>
              <w:rPr>
                <w:b w:val="0"/>
                <w:sz w:val="17"/>
              </w:rPr>
              <w:t xml:space="preserve">The square must not appear for participants. </w:t>
            </w:r>
            <w:r>
              <w:rPr>
                <w:rFonts w:ascii="Consolas" w:hAnsi="Consolas"/>
                <w:sz w:val="15"/>
              </w:rPr>
              <w:t>PHOTODIODE_TEST_TRIGGER = 99</w:t>
            </w:r>
            <w:r>
              <w:rPr>
                <w:b w:val="0"/>
                <w:sz w:val="17"/>
              </w:rPr>
              <w:t xml:space="preserve"> reuses the end code (and would stop an old model).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7"/>
              </w:rPr>
              <w:t>dialog :954; :110</w:t>
            </w:r>
          </w:p>
        </w:tc>
      </w:tr>
      <w:tr>
        <w:trPr>
          <w:cantSplit/>
        </w:trPr>
        <w:tc>
          <w:tcPr>
            <w:tcW w:type="dxa" w:w="360"/>
          </w:tcPr>
          <w:p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7"/>
              </w:rPr>
              <w:t xml:space="preserve">Write to </w:t>
            </w:r>
            <w:r>
              <w:rPr>
                <w:rFonts w:ascii="Consolas" w:hAnsi="Consolas"/>
                <w:sz w:val="15"/>
              </w:rPr>
              <w:t>run_info</w:t>
            </w:r>
            <w:r>
              <w:rPr>
                <w:b w:val="0"/>
                <w:sz w:val="17"/>
              </w:rPr>
              <w:t>: git commit, file hashes, software versions, Windows refresh setting</w:t>
            </w:r>
          </w:p>
        </w:tc>
        <w:tc>
          <w:tcPr>
            <w:tcW w:type="dxa" w:w="3960"/>
          </w:tcPr>
          <w:p>
            <w:r/>
            <w:r>
              <w:rPr>
                <w:b w:val="0"/>
                <w:sz w:val="17"/>
              </w:rPr>
              <w:t>Traceability for the methods section; the 120 Hz incident of 14 October was found only by chance.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7"/>
              </w:rPr>
              <w:t xml:space="preserve">run_info block :1150–1190 (as in </w:t>
            </w:r>
            <w:r>
              <w:rPr>
                <w:rFonts w:ascii="Consolas" w:hAnsi="Consolas"/>
                <w:sz w:val="15"/>
              </w:rPr>
              <w:t>run_photodiode_latency_database.py</w:t>
            </w:r>
            <w:r>
              <w:rPr>
                <w:b w:val="0"/>
                <w:sz w:val="17"/>
              </w:rPr>
              <w:t>)</w:t>
            </w:r>
          </w:p>
        </w:tc>
      </w:tr>
      <w:tr>
        <w:trPr>
          <w:cantSplit/>
        </w:trPr>
        <w:tc>
          <w:tcPr>
            <w:tcW w:type="dxa" w:w="360"/>
          </w:tcPr>
          <w:p>
            <w:r/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7"/>
              </w:rPr>
              <w:t xml:space="preserve">Optional: prime-onset (51–62) and fixation (80) markers via </w:t>
            </w:r>
            <w:r>
              <w:rPr>
                <w:rFonts w:ascii="Consolas" w:hAnsi="Consolas"/>
                <w:sz w:val="15"/>
              </w:rPr>
              <w:t>win.callOnFlip</w:t>
            </w:r>
          </w:p>
        </w:tc>
        <w:tc>
          <w:tcPr>
            <w:tcW w:type="dxa" w:w="3960"/>
          </w:tcPr>
          <w:p>
            <w:r/>
            <w:r>
              <w:rPr>
                <w:b w:val="0"/>
                <w:sz w:val="17"/>
              </w:rPr>
              <w:t>Listed in AGENTS.md but not sent; useful for prime-locked analyses and epoch checks. Not needed for the vMMR.</w:t>
            </w:r>
          </w:p>
        </w:tc>
        <w:tc>
          <w:tcPr>
            <w:tcW w:type="dxa" w:w="2808"/>
          </w:tcPr>
          <w:p>
            <w:r/>
            <w:r>
              <w:rPr>
                <w:rFonts w:ascii="Consolas" w:hAnsi="Consolas"/>
                <w:sz w:val="15"/>
              </w:rPr>
              <w:t>run_trial</w:t>
            </w:r>
            <w:r>
              <w:rPr>
                <w:b w:val="0"/>
                <w:sz w:val="17"/>
              </w:rPr>
              <w:t xml:space="preserve"> :828</w:t>
            </w:r>
          </w:p>
        </w:tc>
      </w:tr>
      <w:tr>
        <w:trPr>
          <w:cantSplit/>
        </w:trPr>
        <w:tc>
          <w:tcPr>
            <w:tcW w:type="dxa" w:w="360"/>
          </w:tcPr>
          <w:p>
            <w:r/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7"/>
              </w:rPr>
              <w:t xml:space="preserve">Optional: show </w:t>
            </w:r>
            <w:r>
              <w:rPr>
                <w:rFonts w:ascii="Consolas" w:hAnsi="Consolas"/>
                <w:sz w:val="15"/>
              </w:rPr>
              <w:t>lsl_resyncs</w:t>
            </w:r>
            <w:r>
              <w:rPr>
                <w:b w:val="0"/>
                <w:sz w:val="17"/>
              </w:rPr>
              <w:t xml:space="preserve"> on the end screen</w:t>
            </w:r>
          </w:p>
        </w:tc>
        <w:tc>
          <w:tcPr>
            <w:tcW w:type="dxa" w:w="3960"/>
          </w:tcPr>
          <w:p>
            <w:r/>
            <w:r>
              <w:rPr>
                <w:b w:val="0"/>
                <w:sz w:val="17"/>
              </w:rPr>
              <w:t>Immediate check by the experimenter instead of opening run_info.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7"/>
              </w:rPr>
              <w:t>end screen :1334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</w:rPr>
        <w:t>Validation after the update</w:t>
      </w:r>
      <w:r>
        <w:rPr>
          <w:b w:val="0"/>
        </w:rPr>
        <w:t xml:space="preserve"> (before the first participant):</w:t>
      </w:r>
    </w:p>
    <w:p>
      <w:pPr>
        <w:pStyle w:val="ListBullet"/>
        <w:spacing w:after="40"/>
      </w:pPr>
      <w:r>
        <w:rPr>
          <w:b w:val="0"/>
        </w:rPr>
        <w:t>Dry run with the AGENTS.md checklist (dialog, practice and main trials, ESC, Hebrew, preloading, one events row per face, targets marked, square only on face-on frames when enabled).</w:t>
      </w:r>
    </w:p>
    <w:p>
      <w:pPr>
        <w:pStyle w:val="ListBullet"/>
        <w:spacing w:after="40"/>
      </w:pPr>
      <w:r>
        <w:rPr>
          <w:b w:val="0"/>
        </w:rPr>
        <w:t xml:space="preserve">1–3 full-length sessions with the photodiode square on face-on frames and the sensor at the </w:t>
      </w:r>
      <w:r>
        <w:rPr>
          <w:b/>
        </w:rPr>
        <w:t>bottom-right corner</w:t>
      </w:r>
      <w:r>
        <w:rPr>
          <w:b w:val="0"/>
        </w:rPr>
        <w:t xml:space="preserve"> (the existing square position, so faces are not covered). Apply </w:t>
      </w:r>
      <w:r>
        <w:rPr>
          <w:rFonts w:ascii="Consolas" w:hAnsi="Consolas"/>
          <w:sz w:val="19"/>
        </w:rPr>
        <w:t>correct_events</w:t>
      </w:r>
      <w:r>
        <w:rPr>
          <w:b w:val="0"/>
        </w:rPr>
        <w:t xml:space="preserve">, compare with the optical onsets per face event: expected +2.0 ms (corner, from the 13 October sessions), SD ≈ 6 ms; also </w:t>
      </w:r>
      <w:r>
        <w:rPr>
          <w:rFonts w:ascii="Consolas" w:hAnsi="Consolas"/>
          <w:sz w:val="19"/>
        </w:rPr>
        <w:t>lsl_resyncs</w:t>
      </w:r>
      <w:r>
        <w:rPr>
          <w:b w:val="0"/>
        </w:rPr>
        <w:t xml:space="preserve"> 0, model stopped by 255, all codes 11–44 present, events-file timestamps matched. Then set the square off for real sessions.</w:t>
      </w:r>
    </w:p>
    <w:p>
      <w:pPr>
        <w:pStyle w:val="Heading1"/>
      </w:pPr>
      <w:r>
        <w:t>Part 2 – vMMR analysis script</w:t>
      </w:r>
    </w:p>
    <w:p>
      <w:pPr>
        <w:spacing w:after="120"/>
      </w:pPr>
      <w:r>
        <w:rPr>
          <w:b w:val="0"/>
        </w:rPr>
        <w:t>Nothing exists yet besides two notebooks that only load a June test file. Proposed structure (Python/MNE, or the lab's EEGLAB/FieldTrip pipeline with the same steps; decide first):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cantSplit/>
          <w:tblHeader/>
        </w:trPr>
        <w:tc>
          <w:tcPr>
            <w:tcW w:type="dxa" w:w="1296"/>
            <w:shd w:val="clear" w:color="auto" w:fill="E8EEF7"/>
          </w:tcPr>
          <w:p>
            <w:r/>
            <w:r>
              <w:rPr>
                <w:b/>
                <w:sz w:val="17"/>
              </w:rPr>
              <w:t>Step</w:t>
            </w:r>
          </w:p>
        </w:tc>
        <w:tc>
          <w:tcPr>
            <w:tcW w:type="dxa" w:w="5184"/>
            <w:shd w:val="clear" w:color="auto" w:fill="E8EEF7"/>
          </w:tcPr>
          <w:p>
            <w:r/>
            <w:r>
              <w:rPr>
                <w:b/>
                <w:sz w:val="17"/>
              </w:rPr>
              <w:t>Content</w:t>
            </w:r>
          </w:p>
        </w:tc>
        <w:tc>
          <w:tcPr>
            <w:tcW w:type="dxa" w:w="3168"/>
            <w:shd w:val="clear" w:color="auto" w:fill="E8EEF7"/>
          </w:tcPr>
          <w:p>
            <w:r/>
            <w:r>
              <w:rPr>
                <w:b/>
                <w:sz w:val="17"/>
              </w:rPr>
              <w:t>Open decisions</w:t>
            </w:r>
          </w:p>
        </w:tc>
      </w:tr>
      <w:tr>
        <w:trPr>
          <w:cantSplit/>
        </w:trPr>
        <w:tc>
          <w:tcPr>
            <w:tcW w:type="dxa" w:w="1296"/>
          </w:tcPr>
          <w:p>
            <w:r/>
            <w:r>
              <w:rPr>
                <w:b w:val="0"/>
                <w:sz w:val="17"/>
              </w:rPr>
              <w:t>1 Load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7"/>
              </w:rPr>
              <w:t>EEG .mat (</w:t>
            </w:r>
            <w:r>
              <w:rPr>
                <w:rFonts w:ascii="Consolas" w:hAnsi="Consolas"/>
                <w:sz w:val="15"/>
              </w:rPr>
              <w:t>EEG_data</w:t>
            </w:r>
            <w:r>
              <w:rPr>
                <w:b w:val="0"/>
                <w:sz w:val="17"/>
              </w:rPr>
              <w:t>: col 0 time, EEG channels, optical sensor, marker) → MNE Raw with channel names, units and montage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7"/>
              </w:rPr>
              <w:t>Channel order/names and units of the g.HIamp configuration; cap layout</w:t>
            </w:r>
          </w:p>
        </w:tc>
      </w:tr>
      <w:tr>
        <w:trPr>
          <w:cantSplit/>
        </w:trPr>
        <w:tc>
          <w:tcPr>
            <w:tcW w:type="dxa" w:w="1296"/>
          </w:tcPr>
          <w:p>
            <w:r/>
            <w:r>
              <w:rPr>
                <w:b w:val="0"/>
                <w:sz w:val="17"/>
              </w:rPr>
              <w:t>2 Events</w:t>
            </w:r>
          </w:p>
        </w:tc>
        <w:tc>
          <w:tcPr>
            <w:tcW w:type="dxa" w:w="5184"/>
          </w:tcPr>
          <w:p>
            <w:r/>
            <w:r>
              <w:rPr>
                <w:rFonts w:ascii="Consolas" w:hAnsi="Consolas"/>
                <w:sz w:val="15"/>
              </w:rPr>
              <w:t>marker_timing.correct_events</w:t>
            </w:r>
            <w:r>
              <w:rPr>
                <w:b w:val="0"/>
                <w:sz w:val="17"/>
              </w:rPr>
              <w:t xml:space="preserve"> (+ QC); keep the main phase; match to </w:t>
            </w:r>
            <w:r>
              <w:rPr>
                <w:rFonts w:ascii="Consolas" w:hAnsi="Consolas"/>
                <w:sz w:val="15"/>
              </w:rPr>
              <w:t>*_events.csv</w:t>
            </w:r>
            <w:r>
              <w:rPr>
                <w:b w:val="0"/>
                <w:sz w:val="17"/>
              </w:rPr>
              <w:t xml:space="preserve"> (by LSL timestamp after Part 1 item 3, until then by code order); attach metadata (prime, identity, role, </w:t>
            </w:r>
            <w:r>
              <w:rPr>
                <w:rFonts w:ascii="Consolas" w:hAnsi="Consolas"/>
                <w:sz w:val="15"/>
              </w:rPr>
              <w:t>isAnalysisStandard</w:t>
            </w:r>
            <w:r>
              <w:rPr>
                <w:b w:val="0"/>
                <w:sz w:val="17"/>
              </w:rPr>
              <w:t xml:space="preserve">, </w:t>
            </w:r>
            <w:r>
              <w:rPr>
                <w:rFonts w:ascii="Consolas" w:hAnsi="Consolas"/>
                <w:sz w:val="15"/>
              </w:rPr>
              <w:t>isAnalysisDeviant</w:t>
            </w:r>
            <w:r>
              <w:rPr>
                <w:b w:val="0"/>
                <w:sz w:val="17"/>
              </w:rPr>
              <w:t>, target trials)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7"/>
              </w:rPr>
              <w:t>Session exclusion if QC fails</w:t>
            </w:r>
          </w:p>
        </w:tc>
      </w:tr>
      <w:tr>
        <w:trPr>
          <w:cantSplit/>
        </w:trPr>
        <w:tc>
          <w:tcPr>
            <w:tcW w:type="dxa" w:w="1296"/>
          </w:tcPr>
          <w:p>
            <w:r/>
            <w:r>
              <w:rPr>
                <w:b w:val="0"/>
                <w:sz w:val="17"/>
              </w:rPr>
              <w:t>3 Preprocessing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7"/>
              </w:rPr>
              <w:t>Filtering, 50 Hz line noise, bad channels, re-reference, ICA for eye artifacts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7"/>
              </w:rPr>
              <w:t>Filter cut-offs, reference, ICA settings – follow the original paradigm or preregistration</w:t>
            </w:r>
          </w:p>
        </w:tc>
      </w:tr>
      <w:tr>
        <w:trPr>
          <w:cantSplit/>
        </w:trPr>
        <w:tc>
          <w:tcPr>
            <w:tcW w:type="dxa" w:w="1296"/>
          </w:tcPr>
          <w:p>
            <w:r/>
            <w:r>
              <w:rPr>
                <w:b w:val="0"/>
                <w:sz w:val="17"/>
              </w:rPr>
              <w:t>4 Epochs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7"/>
              </w:rPr>
              <w:t>−100 to +500 ms around corrected face onset, baseline −100–0 ms (README); 3rd standard vs deviant, non-target trials only; artifact rejection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7"/>
              </w:rPr>
              <w:t>Rejection thresholds / autoreject</w:t>
            </w:r>
          </w:p>
        </w:tc>
      </w:tr>
      <w:tr>
        <w:trPr>
          <w:cantSplit/>
        </w:trPr>
        <w:tc>
          <w:tcPr>
            <w:tcW w:type="dxa" w:w="1296"/>
          </w:tcPr>
          <w:p>
            <w:r/>
            <w:r>
              <w:rPr>
                <w:b w:val="0"/>
                <w:sz w:val="17"/>
              </w:rPr>
              <w:t>5 ERPs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7"/>
              </w:rPr>
              <w:t>Per participant: 2 × 2 (prime DEATH/NEGATIVE × identity SELF/OTHER) standard and deviant ERPs; vMMR = deviant − standard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7"/>
              </w:rPr>
              <w:t>ROIs and time windows</w:t>
            </w:r>
          </w:p>
        </w:tc>
      </w:tr>
      <w:tr>
        <w:trPr>
          <w:cantSplit/>
        </w:trPr>
        <w:tc>
          <w:tcPr>
            <w:tcW w:type="dxa" w:w="1296"/>
          </w:tcPr>
          <w:p>
            <w:r/>
            <w:r>
              <w:rPr>
                <w:b w:val="0"/>
                <w:sz w:val="17"/>
              </w:rPr>
              <w:t>6 Statistics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7"/>
              </w:rPr>
              <w:t>Group level: repeated-measures analysis of window means and/or cluster-based permutation tests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7"/>
              </w:rPr>
              <w:t>Primary test as preregistered</w:t>
            </w:r>
          </w:p>
        </w:tc>
      </w:tr>
      <w:tr>
        <w:trPr>
          <w:cantSplit/>
        </w:trPr>
        <w:tc>
          <w:tcPr>
            <w:tcW w:type="dxa" w:w="1296"/>
          </w:tcPr>
          <w:p>
            <w:r/>
            <w:r>
              <w:rPr>
                <w:b w:val="0"/>
                <w:sz w:val="17"/>
              </w:rPr>
              <w:t>7 Behaviour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7"/>
              </w:rPr>
              <w:t xml:space="preserve">Target hit rate, false alarms, RT from </w:t>
            </w:r>
            <w:r>
              <w:rPr>
                <w:rFonts w:ascii="Consolas" w:hAnsi="Consolas"/>
                <w:sz w:val="15"/>
              </w:rPr>
              <w:t>*_trials.csv</w:t>
            </w:r>
            <w:r>
              <w:rPr>
                <w:b w:val="0"/>
                <w:sz w:val="17"/>
              </w:rPr>
              <w:t>; participant exclusion criteria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7"/>
              </w:rPr>
              <w:t>Criteria</w:t>
            </w:r>
          </w:p>
        </w:tc>
      </w:tr>
      <w:tr>
        <w:trPr>
          <w:cantSplit/>
        </w:trPr>
        <w:tc>
          <w:tcPr>
            <w:tcW w:type="dxa" w:w="1296"/>
          </w:tcPr>
          <w:p>
            <w:r/>
            <w:r>
              <w:rPr>
                <w:b w:val="0"/>
                <w:sz w:val="17"/>
              </w:rPr>
              <w:t>8 Output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7"/>
              </w:rPr>
              <w:t>Per-participant QC report (n epochs per condition, rejected epochs, timing QC), group figures, tables; one config file; tests on a short real recording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7"/>
              </w:rPr>
              <w:t>BIDS export?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</w:rPr>
        <w:t>Timing in the analysis: use only the corrected onsets; the per-event timing SD (5.7 ms, within one frame) is the same in all conditions and acts as slight smoothing. Prime-locked analyses should note that the prime appears about 4 ms before the centre (estimate).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