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建筑市场信用管理办法（征求意见稿）</w:t>
      </w:r>
    </w:p>
    <w:p>
      <w:r>
        <w:t xml:space="preserve">为进一步规范建筑市场秩序，健全建筑市场信用管理体系，我部起草了《建筑市场信用管理办法（征求意见稿）》，现向社会公开征求意见。</w:t>
      </w:r>
    </w:p>
    <w:p>
      <w:r>
        <w:t xml:space="preserve">第一章 总则</w:t>
      </w:r>
    </w:p>
    <w:p>
      <w:r>
        <w:t xml:space="preserve">第一条 为进一步规范建筑市场信用管理，保障工程质量安全，根据《中华人民共和国建筑法》等法律法规，制定本办法。</w:t>
      </w:r>
    </w:p>
    <w:p>
      <w:r>
        <w:t xml:space="preserve">第二条 适用范围：本办法适用于从事房屋建筑、市政基础设施工程建设活动的建设单位、施工单位、监理单位以及其他参与建筑市场信用管理活动的企业、事业单位和社会公众。</w:t>
      </w:r>
    </w:p>
    <w:p>
      <w:r>
        <w:t xml:space="preserve">第三条 国务院住房城乡建设主管部门负责全国建筑市场信用管理体系建设。县级以上地方人民政府住房城乡建设主管部门负责本行政区域内的建筑市场信用管理工作。</w:t>
      </w:r>
    </w:p>
    <w:p>
      <w:r>
        <w:t xml:space="preserve">第二章 信用信息采集与认定</w:t>
      </w:r>
    </w:p>
    <w:p>
      <w:r>
        <w:t xml:space="preserve">第四条 建筑市场信用信息由基本信息、优良信用信息、不良信用信息构成。</w:t>
      </w:r>
    </w:p>
    <w:p>
      <w:r>
        <w:t xml:space="preserve">第五条 不良信用信息包括：（一）涂改、倒卖、出租、出借资质证书的；（二）转包、违法分包工程的；（三）发生工程质量安全责任事故的。</w:t>
      </w:r>
    </w:p>
    <w:p>
      <w:r>
        <w:t xml:space="preserve">第六条 认定机关应当在信用信息认定之日起二十个工作日内公开，公开期限不少于三年。</w:t>
      </w:r>
    </w:p>
    <w:p>
      <w:r>
        <w:t xml:space="preserve">第三章 信用评价与应用</w:t>
      </w:r>
    </w:p>
    <w:p>
      <w:r>
        <w:t xml:space="preserve">第七条 信用评价周期为一年，评价结果分为优良、合格、基本合格、不合格四个等级。</w:t>
      </w:r>
    </w:p>
    <w:p>
      <w:r>
        <w:t xml:space="preserve">第八条 对信用等级为不合格的企业，县级以上地方人民政府住房城乡建设主管部门应当将其列为重点监管对象，并在评先评优、财政资金支持等方面依法予以限制。</w:t>
      </w:r>
    </w:p>
    <w:p>
      <w:r>
        <w:t xml:space="preserve">第九条 企业认为信用信息记载有误的，可以向认定机关提出申诉，认定机关应当自收到申诉之日起十五个工作日内予以处理并书面答复。</w:t>
      </w:r>
    </w:p>
    <w:p>
      <w:r>
        <w:t xml:space="preserve">第四章 附则</w:t>
      </w:r>
    </w:p>
    <w:p>
      <w:r>
        <w:t xml:space="preserve">第十条 本办法自二零二七年一月一日起施行。</w:t>
      </w:r>
    </w:p>
    <w:p>
      <w:r>
        <w:t xml:space="preserve">征求意见期限为30日，截止日期为：2026年10月7日。</w:t>
      </w:r>
    </w:p>
    <w:p>
      <w:r>
        <w:t xml:space="preserve">一、电子邮箱：test@example.gov.cn</w:t>
      </w:r>
    </w:p>
    <w:p>
      <w:r>
        <w:t xml:space="preserve">二、通信地址：北京市西城区某路 1 号住房城乡建设部建筑市场监管司，邮编 100800</w:t>
      </w:r>
    </w:p>
    <w:p>
      <w:r>
        <w:t xml:space="preserve">三、联系电话：010-66010000</w:t>
      </w:r>
    </w:p>
    <w:p>
      <w:r>
        <w:t xml:space="preserve">起草说明：本办法依据《建筑法》《保障农民工工资支付条例》等法律法规制定，共六章三十条。</w:t>
      </w:r>
    </w:p>
  </w:body>
</w:document>
</file>

<file path=word/settings.xml><?xml version="1.0" encoding="utf-8"?>
<w:settings xmlns:w="w"/>
</file>

<file path=docProps/app.xml><?xml version="1.0" encoding="utf-8"?>
<Properties/>
</file>