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关于公开征求《测试办法（征求意见稿）》的意见</w:t>
      </w:r>
    </w:p>
    <w:p>
      <w:r>
        <w:t xml:space="preserve">为进一步规范建筑市场秩序，我部起草了《测试办法（征求意见稿）》，现向社会公开征求意见。</w:t>
      </w:r>
    </w:p>
    <w:p>
      <w:r>
        <w:t xml:space="preserve">第一条 为进一步规范建筑市场信用管理，根据《建筑法》等法律法规，制定本办法。</w:t>
      </w:r>
    </w:p>
    <w:p>
      <w:r>
        <w:t xml:space="preserve">第二条 适用范围：本办法适用于从事建筑市场信用管理活动的企业、事业单位和社会公众。</w:t>
      </w:r>
    </w:p>
    <w:p>
      <w:r>
        <w:t xml:space="preserve">第三条 申报单位应当在每年三月三十一日前提交材料。</w:t>
      </w:r>
    </w:p>
    <w:p>
      <w:r>
        <w:t xml:space="preserve">征求意见期限为30日，截止日期为：2026年10月7日。</w:t>
      </w:r>
    </w:p>
    <w:p>
      <w:r>
        <w:t xml:space="preserve">一、电子邮箱：test@example.gov.cn</w:t>
      </w:r>
    </w:p>
    <w:p>
      <w:r>
        <w:t xml:space="preserve">二、通信地址：北京市西城区某路 1 号，邮编 100800</w:t>
      </w:r>
    </w:p>
    <w:p>
      <w:r>
        <w:t xml:space="preserve">三、联系电话：010-66010000</w:t>
      </w:r>
    </w:p>
    <w:p>
      <w:r>
        <w:t xml:space="preserve">起草说明：本办法依据《建筑法》等法律制定，共六章三十条。</w:t>
      </w:r>
    </w:p>
  </w:body>
</w:document>
</file>