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b w:val="0"/>
          <w:i w:val="0"/>
        </w:rPr>
      </w:r>
    </w:p>
    <w:p>
      <w:pPr>
        <w:spacing w:after="80"/>
        <w:jc w:val="center"/>
      </w:pPr>
      <w:r>
        <w:rPr>
          <w:b/>
          <w:i w:val="0"/>
          <w:color w:val="CC0000"/>
          <w:sz w:val="30"/>
        </w:rPr>
        <w:t>DOCUMENT FORMATEUR</w:t>
      </w:r>
    </w:p>
    <w:p>
      <w:pPr>
        <w:spacing w:after="800"/>
        <w:jc w:val="center"/>
      </w:pPr>
      <w:r>
        <w:rPr>
          <w:b w:val="0"/>
          <w:i/>
          <w:color w:val="404040"/>
          <w:sz w:val="24"/>
        </w:rPr>
        <w:t>À lire avant le début de la journée</w:t>
      </w:r>
    </w:p>
    <w:p>
      <w:pPr>
        <w:spacing w:after="80"/>
        <w:jc w:val="center"/>
      </w:pPr>
      <w:r>
        <w:rPr>
          <w:b/>
          <w:i w:val="0"/>
          <w:color w:val="E86A1E"/>
          <w:sz w:val="40"/>
        </w:rPr>
        <w:t>JOUR 2</w:t>
      </w:r>
    </w:p>
    <w:p>
      <w:pPr>
        <w:spacing w:after="80"/>
        <w:jc w:val="center"/>
      </w:pPr>
      <w:r>
        <w:rPr>
          <w:b/>
          <w:i w:val="0"/>
          <w:color w:val="1F4E79"/>
          <w:sz w:val="68"/>
        </w:rPr>
        <w:t>Dématérialisation du courrier</w:t>
      </w:r>
    </w:p>
    <w:p>
      <w:pPr>
        <w:spacing w:after="1200"/>
        <w:jc w:val="center"/>
      </w:pPr>
      <w:r>
        <w:rPr>
          <w:b w:val="0"/>
          <w:i w:val="0"/>
          <w:color w:val="404040"/>
          <w:sz w:val="30"/>
        </w:rPr>
        <w:t>De la réception au dispatching intelligent, avec ARCHIF</w:t>
      </w:r>
    </w:p>
    <w:p>
      <w:pPr>
        <w:jc w:val="center"/>
      </w:pPr>
      <w:r>
        <w:rPr>
          <w:b w:val="0"/>
          <w:i/>
          <w:color w:val="404040"/>
          <w:sz w:val="24"/>
        </w:rPr>
        <w:t>Séminaire « Administration Zéro Papier »</w:t>
      </w:r>
    </w:p>
    <w:p>
      <w:pPr>
        <w:jc w:val="center"/>
      </w:pPr>
      <w:r>
        <w:rPr>
          <w:b w:val="0"/>
          <w:i w:val="0"/>
          <w:color w:val="404040"/>
          <w:sz w:val="22"/>
        </w:rPr>
        <w:t>Mercredi 15 juillet 2026 — Kribi</w:t>
      </w:r>
    </w:p>
    <w:p>
      <w:pPr>
        <w:spacing w:after="600"/>
        <w:jc w:val="center"/>
      </w:pPr>
      <w:r>
        <w:rPr>
          <w:b w:val="0"/>
          <w:i w:val="0"/>
          <w:color w:val="404040"/>
          <w:sz w:val="20"/>
        </w:rPr>
        <w:t>Version : 1.0 — préparé le 14 juillet 2026</w:t>
      </w:r>
    </w:p>
    <w:p>
      <w:pPr>
        <w:jc w:val="center"/>
      </w:pPr>
      <w:r>
        <w:rPr>
          <w:b/>
          <w:i w:val="0"/>
          <w:color w:val="CC0000"/>
          <w:sz w:val="22"/>
        </w:rPr>
        <w:t>CONFIDENTIEL — usage interne équipe pédagogique GREEN LIGHT GROUP</w:t>
      </w:r>
    </w:p>
    <w:p>
      <w:r>
        <w:br w:type="page"/>
      </w:r>
    </w:p>
    <w:p>
      <w:pPr>
        <w:pStyle w:val="Heading1"/>
      </w:pPr>
      <w:r>
        <w:t>Sommaire</w:t>
      </w:r>
    </w:p>
    <w:p>
      <w:pPr>
        <w:pStyle w:val="ListBullet"/>
      </w:pPr>
      <w:r>
        <w:t>1. À lire avant de commencer</w:t>
      </w:r>
    </w:p>
    <w:p>
      <w:pPr>
        <w:pStyle w:val="ListBullet"/>
      </w:pPr>
      <w:r>
        <w:t>2. Public de la journée et posture pédagogique</w:t>
      </w:r>
    </w:p>
    <w:p>
      <w:pPr>
        <w:pStyle w:val="ListBullet"/>
      </w:pPr>
      <w:r>
        <w:t>3. Objectifs pédagogiques du Jour 2</w:t>
      </w:r>
    </w:p>
    <w:p>
      <w:pPr>
        <w:pStyle w:val="ListBullet"/>
      </w:pPr>
      <w:r>
        <w:t>4. Déroulé minute par minute</w:t>
      </w:r>
    </w:p>
    <w:p>
      <w:pPr>
        <w:pStyle w:val="ListBullet"/>
      </w:pPr>
      <w:r>
        <w:t>5. Séquence 09h30–10h30 : Réception et enregistrement</w:t>
      </w:r>
    </w:p>
    <w:p>
      <w:pPr>
        <w:pStyle w:val="ListBullet"/>
      </w:pPr>
      <w:r>
        <w:t>6. Séquence 10h45–12h00 : OCR, extraction IA, dispatching</w:t>
      </w:r>
    </w:p>
    <w:p>
      <w:pPr>
        <w:pStyle w:val="ListBullet"/>
      </w:pPr>
      <w:r>
        <w:t>7. Séquence 13h00–14h30 : Démo live — le circuit complet du document</w:t>
      </w:r>
    </w:p>
    <w:p>
      <w:pPr>
        <w:pStyle w:val="ListBullet"/>
      </w:pPr>
      <w:r>
        <w:t>8. Scripts détaillés des 3 démonstrations IA</w:t>
      </w:r>
    </w:p>
    <w:p>
      <w:pPr>
        <w:pStyle w:val="ListBullet"/>
      </w:pPr>
      <w:r>
        <w:t>9. Séquence 14h30–15h30 : Suivi des délais, courrier sortant, fiche type</w:t>
      </w:r>
    </w:p>
    <w:p>
      <w:pPr>
        <w:pStyle w:val="ListBullet"/>
      </w:pPr>
      <w:r>
        <w:t>10. Séquence 15h45–16h45 : Travaux pratiques encadrés</w:t>
      </w:r>
    </w:p>
    <w:p>
      <w:pPr>
        <w:pStyle w:val="ListBullet"/>
      </w:pPr>
      <w:r>
        <w:t>11. Séquence 16h45–17h30 : Points de vigilance, auto-évaluation, synthèse</w:t>
      </w:r>
    </w:p>
    <w:p>
      <w:pPr>
        <w:pStyle w:val="ListBullet"/>
      </w:pPr>
      <w:r>
        <w:t>12. Questions fréquentes et objections anticipées</w:t>
      </w:r>
    </w:p>
    <w:p>
      <w:pPr>
        <w:pStyle w:val="ListBullet"/>
      </w:pPr>
      <w:r>
        <w:t>13. Ce que l'IA ne fait pas — à assumer sans détour</w:t>
      </w:r>
    </w:p>
    <w:p>
      <w:pPr>
        <w:pStyle w:val="ListBullet"/>
      </w:pPr>
      <w:r>
        <w:t>14. Gestion des imprévus techniques</w:t>
      </w:r>
    </w:p>
    <w:p>
      <w:pPr>
        <w:pStyle w:val="ListBullet"/>
      </w:pPr>
      <w:r>
        <w:t>15. Checklist matériel et environnement avant la journée</w:t>
      </w:r>
    </w:p>
    <w:p>
      <w:pPr>
        <w:pStyle w:val="ListBullet"/>
      </w:pPr>
      <w:r>
        <w:t>16. Aide-mémoire : correspondance slides ↔ séquences</w:t>
      </w:r>
    </w:p>
    <w:p>
      <w:r>
        <w:br w:type="page"/>
      </w:r>
    </w:p>
    <w:p>
      <w:pPr>
        <w:pStyle w:val="Heading1"/>
      </w:pPr>
      <w:r>
        <w:t>1. À lire avant de commencer</w:t>
      </w:r>
    </w:p>
    <w:p>
      <w:r>
        <w:rPr>
          <w:b w:val="0"/>
          <w:i w:val="0"/>
        </w:rPr>
        <w:t>Ce document est destiné à l'équipe pédagogique (formatrice archiviste et formateur technique). Il complète le Guide du participant (support remis en main propre) et le support de projection (ARCHIF_Jour2_Formation.pptx, 30 slides) : il explique COMMENT animer chaque séquence, avec quoi la nourrir, et comment réagir si quelque chose ne se passe pas comme prévu.</w:t>
      </w:r>
    </w:p>
    <w:tbl>
      <w:tblPr>
        <w:tblW w:type="auto" w:w="0"/>
        <w:jc w:val="center"/>
        <w:tblLook w:firstColumn="1" w:firstRow="1" w:lastColumn="0" w:lastRow="0" w:noHBand="0" w:noVBand="1" w:val="04A0"/>
      </w:tblPr>
      <w:tblGrid>
        <w:gridCol w:w="9412"/>
      </w:tblGrid>
      <w:tr>
        <w:tc>
          <w:tcPr>
            <w:tcW w:type="dxa" w:w="9412"/>
            <w:shd w:val="clear" w:color="auto" w:fill="EDF2F9"/>
          </w:tcPr>
          <w:p>
            <w:r/>
            <w:r>
              <w:rPr>
                <w:b/>
                <w:color w:val="2E75B6"/>
                <w:sz w:val="24"/>
              </w:rPr>
              <w:t>Trois messages clés à faire passer aujourd'hui</w:t>
            </w:r>
          </w:p>
          <w:p>
            <w:r>
              <w:t>1. ARCHIF gère le circuit complet du courrier — pas seulement l'archivage final.</w:t>
            </w:r>
          </w:p>
          <w:p>
            <w:r>
              <w:t>2. L'IA propose, l'humain valide : ce principe doit être répété à chaque démonstration.</w:t>
            </w:r>
          </w:p>
          <w:p>
            <w:r>
              <w:t>3. L'assistant IA conversationnel n'est pas un gadget : il répond en quelques secondes à des questions qui prendraient plusieurs minutes de recherche manuelle — nous allons le prouver en direct.</w:t>
            </w:r>
          </w:p>
        </w:tc>
      </w:tr>
    </w:tbl>
    <w:p>
      <w:pPr>
        <w:spacing w:after="40"/>
      </w:pPr>
    </w:p>
    <w:p>
      <w:pPr>
        <w:pStyle w:val="Heading1"/>
      </w:pPr>
      <w:r>
        <w:t>2. Public de la journée et posture pédagogique</w:t>
      </w:r>
    </w:p>
    <w:p>
      <w:r>
        <w:rPr>
          <w:b w:val="0"/>
          <w:i w:val="0"/>
        </w:rPr>
        <w:t>Le groupe comprend un profil mixte à ne pas sous-estimer : l'assistante de direction de la CDEC, le directeur des systèmes d'information (DSI) accompagné de son partenaire technique, aux côtés des profils plus classiques (agents courrier, archivistes, secrétariat).</w:t>
      </w:r>
    </w:p>
    <w:tbl>
      <w:tblPr>
        <w:tblW w:type="auto" w:w="0"/>
        <w:jc w:val="center"/>
        <w:tblLook w:firstColumn="1" w:firstRow="1" w:lastColumn="0" w:lastRow="0" w:noHBand="0" w:noVBand="1" w:val="04A0"/>
      </w:tblPr>
      <w:tblGrid>
        <w:gridCol w:w="9412"/>
      </w:tblGrid>
      <w:tr>
        <w:tc>
          <w:tcPr>
            <w:tcW w:type="dxa" w:w="9412"/>
            <w:shd w:val="clear" w:color="auto" w:fill="EDF2F9"/>
          </w:tcPr>
          <w:p>
            <w:r/>
            <w:r>
              <w:rPr>
                <w:b/>
                <w:color w:val="2E75B6"/>
                <w:sz w:val="24"/>
              </w:rPr>
              <w:t>Conséquences pour l'animation</w:t>
            </w:r>
          </w:p>
          <w:p>
            <w:r>
              <w:t>Le DSI et son partenaire poseront probablement des questions techniques pointues (sécurité, hébergement, performance, API) — ne pas éluder, renvoyer si besoin sur une session dédiée en fin de journée ou en aparté à la pause.</w:t>
            </w:r>
          </w:p>
          <w:p>
            <w:r>
              <w:t>L'assistante de direction représente l'usage quotidien terrain : veiller à garder un langage métier, pas seulement technique, dans les démonstrations qui lui sont destinées.</w:t>
            </w:r>
          </w:p>
          <w:p>
            <w:r>
              <w:t>Le mode « démo live où chacun questionne l'IA en direct » (slide 22) est un moment fort pour ce public mixte — laisser du temps, ne pas le presser.</w:t>
            </w:r>
          </w:p>
        </w:tc>
      </w:tr>
    </w:tbl>
    <w:p>
      <w:pPr>
        <w:spacing w:after="40"/>
      </w:pPr>
    </w:p>
    <w:p>
      <w:pPr>
        <w:pStyle w:val="Heading1"/>
      </w:pPr>
      <w:r>
        <w:t>3. Objectifs pédagogiques du Jour 2</w:t>
      </w:r>
    </w:p>
    <w:p>
      <w:r>
        <w:rPr>
          <w:b w:val="0"/>
          <w:i w:val="0"/>
        </w:rPr>
        <w:t>À l'issue de la journée, chaque participant doit être capable de :</w:t>
      </w:r>
    </w:p>
    <w:p>
      <w:pPr>
        <w:pStyle w:val="ListNumber"/>
      </w:pPr>
      <w:r>
        <w:t>Enregistrer un courrier entrant dans ARCHIF avec tous les champs obligatoires.</w:t>
      </w:r>
    </w:p>
    <w:p>
      <w:pPr>
        <w:pStyle w:val="ListNumber"/>
      </w:pPr>
      <w:r>
        <w:t>Expliquer la différence entre numérisation et océrisation, et pourquoi cette dernière est stratégique.</w:t>
      </w:r>
    </w:p>
    <w:p>
      <w:pPr>
        <w:pStyle w:val="ListNumber"/>
      </w:pPr>
      <w:r>
        <w:t>Décrire le rôle de l'IA dans l'extraction des métadonnées et le dispatching, et pourquoi la validation humaine reste obligatoire.</w:t>
      </w:r>
    </w:p>
    <w:p>
      <w:pPr>
        <w:pStyle w:val="ListNumber"/>
      </w:pPr>
      <w:r>
        <w:t>Suivre un courrier de bout en bout via le tableau de bord des délais.</w:t>
      </w:r>
    </w:p>
    <w:p>
      <w:pPr>
        <w:pStyle w:val="ListNumber"/>
      </w:pPr>
      <w:r>
        <w:t>Poser une question en langage naturel à l'assistant IA et interpréter sa réponse avec esprit critique.</w:t>
      </w:r>
    </w:p>
    <w:p>
      <w:pPr>
        <w:pStyle w:val="Heading1"/>
      </w:pPr>
      <w:r>
        <w:t>4. Déroulé minute par minute</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1361"/>
          </w:tcPr>
          <w:p>
            <w:r>
              <w:rPr>
                <w:b/>
              </w:rPr>
              <w:t>Horaire</w:t>
            </w:r>
          </w:p>
        </w:tc>
        <w:tc>
          <w:tcPr>
            <w:tcW w:type="dxa" w:w="4649"/>
          </w:tcPr>
          <w:p>
            <w:r>
              <w:rPr>
                <w:b/>
              </w:rPr>
              <w:t>Séquence</w:t>
            </w:r>
          </w:p>
        </w:tc>
        <w:tc>
          <w:tcPr>
            <w:tcW w:type="dxa" w:w="1134"/>
          </w:tcPr>
          <w:p>
            <w:r>
              <w:rPr>
                <w:b/>
              </w:rPr>
              <w:t>Durée</w:t>
            </w:r>
          </w:p>
        </w:tc>
        <w:tc>
          <w:tcPr>
            <w:tcW w:type="dxa" w:w="1984"/>
          </w:tcPr>
          <w:p>
            <w:r>
              <w:rPr>
                <w:b/>
              </w:rPr>
              <w:t>Slides / Support</w:t>
            </w:r>
          </w:p>
        </w:tc>
      </w:tr>
      <w:tr>
        <w:tc>
          <w:tcPr>
            <w:tcW w:type="dxa" w:w="1361"/>
          </w:tcPr>
          <w:p>
            <w:r>
              <w:t>09h00–09h30</w:t>
            </w:r>
          </w:p>
        </w:tc>
        <w:tc>
          <w:tcPr>
            <w:tcW w:type="dxa" w:w="4649"/>
          </w:tcPr>
          <w:p>
            <w:r>
              <w:t>Accueil, rappel Jour 1, objectifs du jour</w:t>
            </w:r>
          </w:p>
        </w:tc>
        <w:tc>
          <w:tcPr>
            <w:tcW w:type="dxa" w:w="1134"/>
          </w:tcPr>
          <w:p>
            <w:r>
              <w:t>30 min</w:t>
            </w:r>
          </w:p>
        </w:tc>
        <w:tc>
          <w:tcPr>
            <w:tcW w:type="dxa" w:w="1984"/>
          </w:tcPr>
          <w:p>
            <w:r>
              <w:t>Slides 1–4</w:t>
            </w:r>
          </w:p>
        </w:tc>
      </w:tr>
      <w:tr>
        <w:tc>
          <w:tcPr>
            <w:tcW w:type="dxa" w:w="1361"/>
          </w:tcPr>
          <w:p>
            <w:r>
              <w:t>09h30–10h30</w:t>
            </w:r>
          </w:p>
        </w:tc>
        <w:tc>
          <w:tcPr>
            <w:tcW w:type="dxa" w:w="4649"/>
          </w:tcPr>
          <w:p>
            <w:r>
              <w:t>2.1 Réception et enregistrement du courrier</w:t>
            </w:r>
          </w:p>
        </w:tc>
        <w:tc>
          <w:tcPr>
            <w:tcW w:type="dxa" w:w="1134"/>
          </w:tcPr>
          <w:p>
            <w:r>
              <w:t>1h00</w:t>
            </w:r>
          </w:p>
        </w:tc>
        <w:tc>
          <w:tcPr>
            <w:tcW w:type="dxa" w:w="1984"/>
          </w:tcPr>
          <w:p>
            <w:r>
              <w:t>Slides 5–7</w:t>
            </w:r>
          </w:p>
        </w:tc>
      </w:tr>
      <w:tr>
        <w:tc>
          <w:tcPr>
            <w:tcW w:type="dxa" w:w="1361"/>
          </w:tcPr>
          <w:p>
            <w:r>
              <w:t>10h30–10h45</w:t>
            </w:r>
          </w:p>
        </w:tc>
        <w:tc>
          <w:tcPr>
            <w:tcW w:type="dxa" w:w="4649"/>
          </w:tcPr>
          <w:p>
            <w:r>
              <w:t>Pause</w:t>
            </w:r>
          </w:p>
        </w:tc>
        <w:tc>
          <w:tcPr>
            <w:tcW w:type="dxa" w:w="1134"/>
          </w:tcPr>
          <w:p>
            <w:r>
              <w:t>15 min</w:t>
            </w:r>
          </w:p>
        </w:tc>
        <w:tc>
          <w:tcPr>
            <w:tcW w:type="dxa" w:w="1984"/>
          </w:tcPr>
          <w:p>
            <w:r>
              <w:t>—</w:t>
            </w:r>
          </w:p>
        </w:tc>
      </w:tr>
      <w:tr>
        <w:tc>
          <w:tcPr>
            <w:tcW w:type="dxa" w:w="1361"/>
          </w:tcPr>
          <w:p>
            <w:r>
              <w:t>10h45–12h00</w:t>
            </w:r>
          </w:p>
        </w:tc>
        <w:tc>
          <w:tcPr>
            <w:tcW w:type="dxa" w:w="4649"/>
          </w:tcPr>
          <w:p>
            <w:r>
              <w:t>2.2 à 2.4 : OCR, extraction IA, dispatching + Démo 1</w:t>
            </w:r>
          </w:p>
        </w:tc>
        <w:tc>
          <w:tcPr>
            <w:tcW w:type="dxa" w:w="1134"/>
          </w:tcPr>
          <w:p>
            <w:r>
              <w:t>1h15</w:t>
            </w:r>
          </w:p>
        </w:tc>
        <w:tc>
          <w:tcPr>
            <w:tcW w:type="dxa" w:w="1984"/>
          </w:tcPr>
          <w:p>
            <w:r>
              <w:t>Slides 8–13</w:t>
            </w:r>
          </w:p>
        </w:tc>
      </w:tr>
      <w:tr>
        <w:tc>
          <w:tcPr>
            <w:tcW w:type="dxa" w:w="1361"/>
          </w:tcPr>
          <w:p>
            <w:r>
              <w:t>12h00–13h00</w:t>
            </w:r>
          </w:p>
        </w:tc>
        <w:tc>
          <w:tcPr>
            <w:tcW w:type="dxa" w:w="4649"/>
          </w:tcPr>
          <w:p>
            <w:r>
              <w:t>Déjeuner</w:t>
            </w:r>
          </w:p>
        </w:tc>
        <w:tc>
          <w:tcPr>
            <w:tcW w:type="dxa" w:w="1134"/>
          </w:tcPr>
          <w:p>
            <w:r>
              <w:t>1h00</w:t>
            </w:r>
          </w:p>
        </w:tc>
        <w:tc>
          <w:tcPr>
            <w:tcW w:type="dxa" w:w="1984"/>
          </w:tcPr>
          <w:p>
            <w:r>
              <w:t>—</w:t>
            </w:r>
          </w:p>
        </w:tc>
      </w:tr>
      <w:tr>
        <w:tc>
          <w:tcPr>
            <w:tcW w:type="dxa" w:w="1361"/>
          </w:tcPr>
          <w:p>
            <w:r>
              <w:t>13h00–14h30</w:t>
            </w:r>
          </w:p>
        </w:tc>
        <w:tc>
          <w:tcPr>
            <w:tcW w:type="dxa" w:w="4649"/>
          </w:tcPr>
          <w:p>
            <w:r>
              <w:t>Démo live : circuit complet du document + Démos 2 et 3</w:t>
            </w:r>
          </w:p>
        </w:tc>
        <w:tc>
          <w:tcPr>
            <w:tcW w:type="dxa" w:w="1134"/>
          </w:tcPr>
          <w:p>
            <w:r>
              <w:t>1h30</w:t>
            </w:r>
          </w:p>
        </w:tc>
        <w:tc>
          <w:tcPr>
            <w:tcW w:type="dxa" w:w="1984"/>
          </w:tcPr>
          <w:p>
            <w:r>
              <w:t>Slides 14–16, 22</w:t>
            </w:r>
          </w:p>
        </w:tc>
      </w:tr>
      <w:tr>
        <w:tc>
          <w:tcPr>
            <w:tcW w:type="dxa" w:w="1361"/>
          </w:tcPr>
          <w:p>
            <w:r>
              <w:t>14h30–15h30</w:t>
            </w:r>
          </w:p>
        </w:tc>
        <w:tc>
          <w:tcPr>
            <w:tcW w:type="dxa" w:w="4649"/>
          </w:tcPr>
          <w:p>
            <w:r>
              <w:t>2.5 à 2.7 : suivi des délais, courrier sortant, fiche type</w:t>
            </w:r>
          </w:p>
        </w:tc>
        <w:tc>
          <w:tcPr>
            <w:tcW w:type="dxa" w:w="1134"/>
          </w:tcPr>
          <w:p>
            <w:r>
              <w:t>1h00</w:t>
            </w:r>
          </w:p>
        </w:tc>
        <w:tc>
          <w:tcPr>
            <w:tcW w:type="dxa" w:w="1984"/>
          </w:tcPr>
          <w:p>
            <w:r>
              <w:t>Slides 17–21</w:t>
            </w:r>
          </w:p>
        </w:tc>
      </w:tr>
      <w:tr>
        <w:tc>
          <w:tcPr>
            <w:tcW w:type="dxa" w:w="1361"/>
          </w:tcPr>
          <w:p>
            <w:r>
              <w:t>15h30–15h45</w:t>
            </w:r>
          </w:p>
        </w:tc>
        <w:tc>
          <w:tcPr>
            <w:tcW w:type="dxa" w:w="4649"/>
          </w:tcPr>
          <w:p>
            <w:r>
              <w:t>Pause</w:t>
            </w:r>
          </w:p>
        </w:tc>
        <w:tc>
          <w:tcPr>
            <w:tcW w:type="dxa" w:w="1134"/>
          </w:tcPr>
          <w:p>
            <w:r>
              <w:t>15 min</w:t>
            </w:r>
          </w:p>
        </w:tc>
        <w:tc>
          <w:tcPr>
            <w:tcW w:type="dxa" w:w="1984"/>
          </w:tcPr>
          <w:p>
            <w:r>
              <w:t>—</w:t>
            </w:r>
          </w:p>
        </w:tc>
      </w:tr>
      <w:tr>
        <w:tc>
          <w:tcPr>
            <w:tcW w:type="dxa" w:w="1361"/>
          </w:tcPr>
          <w:p>
            <w:r>
              <w:t>15h45–16h45</w:t>
            </w:r>
          </w:p>
        </w:tc>
        <w:tc>
          <w:tcPr>
            <w:tcW w:type="dxa" w:w="4649"/>
          </w:tcPr>
          <w:p>
            <w:r>
              <w:t>Travaux pratiques : lot de courriers fictifs</w:t>
            </w:r>
          </w:p>
        </w:tc>
        <w:tc>
          <w:tcPr>
            <w:tcW w:type="dxa" w:w="1134"/>
          </w:tcPr>
          <w:p>
            <w:r>
              <w:t>1h00</w:t>
            </w:r>
          </w:p>
        </w:tc>
        <w:tc>
          <w:tcPr>
            <w:tcW w:type="dxa" w:w="1984"/>
          </w:tcPr>
          <w:p>
            <w:r>
              <w:t>Slide 23</w:t>
            </w:r>
          </w:p>
        </w:tc>
      </w:tr>
      <w:tr>
        <w:tc>
          <w:tcPr>
            <w:tcW w:type="dxa" w:w="1361"/>
          </w:tcPr>
          <w:p>
            <w:r>
              <w:t>16h45–17h15</w:t>
            </w:r>
          </w:p>
        </w:tc>
        <w:tc>
          <w:tcPr>
            <w:tcW w:type="dxa" w:w="4649"/>
          </w:tcPr>
          <w:p>
            <w:r>
              <w:t>2.8 Points de vigilance + limites de l'IA + auto-évaluation</w:t>
            </w:r>
          </w:p>
        </w:tc>
        <w:tc>
          <w:tcPr>
            <w:tcW w:type="dxa" w:w="1134"/>
          </w:tcPr>
          <w:p>
            <w:r>
              <w:t>30 min</w:t>
            </w:r>
          </w:p>
        </w:tc>
        <w:tc>
          <w:tcPr>
            <w:tcW w:type="dxa" w:w="1984"/>
          </w:tcPr>
          <w:p>
            <w:r>
              <w:t>Slides 24–26</w:t>
            </w:r>
          </w:p>
        </w:tc>
      </w:tr>
      <w:tr>
        <w:tc>
          <w:tcPr>
            <w:tcW w:type="dxa" w:w="1361"/>
          </w:tcPr>
          <w:p>
            <w:r>
              <w:t>17h15–17h30</w:t>
            </w:r>
          </w:p>
        </w:tc>
        <w:tc>
          <w:tcPr>
            <w:tcW w:type="dxa" w:w="4649"/>
          </w:tcPr>
          <w:p>
            <w:r>
              <w:t>Indicateurs, synthèse, transition Jour 3</w:t>
            </w:r>
          </w:p>
        </w:tc>
        <w:tc>
          <w:tcPr>
            <w:tcW w:type="dxa" w:w="1134"/>
          </w:tcPr>
          <w:p>
            <w:r>
              <w:t>15 min</w:t>
            </w:r>
          </w:p>
        </w:tc>
        <w:tc>
          <w:tcPr>
            <w:tcW w:type="dxa" w:w="1984"/>
          </w:tcPr>
          <w:p>
            <w:r>
              <w:t>Slides 27–30</w:t>
            </w:r>
          </w:p>
        </w:tc>
      </w:tr>
    </w:tbl>
    <w:p/>
    <w:tbl>
      <w:tblPr>
        <w:tblW w:type="auto" w:w="0"/>
        <w:jc w:val="center"/>
        <w:tblLook w:firstColumn="1" w:firstRow="1" w:lastColumn="0" w:lastRow="0" w:noHBand="0" w:noVBand="1" w:val="04A0"/>
      </w:tblPr>
      <w:tblGrid>
        <w:gridCol w:w="9412"/>
      </w:tblGrid>
      <w:tr>
        <w:tc>
          <w:tcPr>
            <w:tcW w:type="dxa" w:w="9412"/>
            <w:shd w:val="clear" w:color="auto" w:fill="EDF2F9"/>
          </w:tcPr>
          <w:p>
            <w:r/>
            <w:r>
              <w:rPr>
                <w:b/>
                <w:color w:val="2E75B6"/>
                <w:sz w:val="24"/>
              </w:rPr>
              <w:t>Marge de manœuvre</w:t>
            </w:r>
          </w:p>
          <w:p>
            <w:r>
              <w:t>Ce minutage est indicatif. La séquence la plus compressible sans perte pédagogique est 2.6 Courrier sortant (slides 19–20) — logique symétrique déjà comprise à ce stade.</w:t>
            </w:r>
          </w:p>
          <w:p>
            <w:r>
              <w:t>La séquence à NE JAMAIS raccourcir : les 3 démonstrations IA (slides 11, 15, 16, 22) — c'est le moment où le public DSI/direction perçoit la valeur ajoutée réelle du logiciel.</w:t>
            </w:r>
          </w:p>
        </w:tc>
      </w:tr>
    </w:tbl>
    <w:p>
      <w:pPr>
        <w:spacing w:after="40"/>
      </w:pPr>
    </w:p>
    <w:p>
      <w:pPr>
        <w:pStyle w:val="Heading1"/>
      </w:pPr>
      <w:r>
        <w:t>5. Séquence 09h30–10h30 — Réception et enregistrement</w:t>
      </w:r>
    </w:p>
    <w:p>
      <w:r>
        <w:rPr>
          <w:b w:val="0"/>
          <w:i w:val="0"/>
        </w:rPr>
        <w:t>Objectif de la séquence : que chaque participant sache enregistrer un courrier de bout en bout, sans aide.</w:t>
      </w:r>
    </w:p>
    <w:p>
      <w:pPr>
        <w:pStyle w:val="Heading3"/>
      </w:pPr>
      <w:r>
        <w:t>Ce qu'il faut dire</w:t>
      </w:r>
    </w:p>
    <w:p>
      <w:pPr>
        <w:pStyle w:val="ListBullet"/>
      </w:pPr>
      <w:r>
        <w:t>Rappeler que le numéro d'enregistrement est TOUJOURS généré automatiquement et horodaté — c'est la première brique de la traçabilité légale (loi n°2024/009).</w:t>
      </w:r>
    </w:p>
    <w:p>
      <w:pPr>
        <w:pStyle w:val="ListBullet"/>
      </w:pPr>
      <w:r>
        <w:t>Insister sur la distinction courrier interne / externe : le formulaire change selon que l'expéditeur est un utilisateur ARCHIF, un contact externe, ou une organisation externe.</w:t>
      </w:r>
    </w:p>
    <w:p>
      <w:pPr>
        <w:pStyle w:val="Heading3"/>
      </w:pPr>
      <w:r>
        <w:t>Démonstration à l'écran (formateur technique)</w:t>
      </w:r>
    </w:p>
    <w:p>
      <w:pPr>
        <w:pStyle w:val="ListBullet"/>
      </w:pPr>
      <w:r>
        <w:t>Enregistrer en direct un courrier fictif (ex. une demande de subvention) : Module Courrier → Courrier reçu → Nouveau.</w:t>
      </w:r>
    </w:p>
    <w:p>
      <w:pPr>
        <w:pStyle w:val="ListBullet"/>
      </w:pPr>
      <w:r>
        <w:t>Montrer l'ajout d'une pièce jointe et la génération automatique de la vignette.</w:t>
      </w:r>
    </w:p>
    <w:p>
      <w:pPr>
        <w:pStyle w:val="ListBullet"/>
      </w:pPr>
      <w:r>
        <w:t>Faire remarquer le code généré (ex. format AAAA/COD/NNNN) avant de valider.</w:t>
      </w:r>
    </w:p>
    <w:tbl>
      <w:tblPr>
        <w:tblW w:type="auto" w:w="0"/>
        <w:jc w:val="center"/>
        <w:tblLook w:firstColumn="1" w:firstRow="1" w:lastColumn="0" w:lastRow="0" w:noHBand="0" w:noVBand="1" w:val="04A0"/>
      </w:tblPr>
      <w:tblGrid>
        <w:gridCol w:w="9412"/>
      </w:tblGrid>
      <w:tr>
        <w:tc>
          <w:tcPr>
            <w:tcW w:type="dxa" w:w="9412"/>
            <w:shd w:val="clear" w:color="auto" w:fill="FCE9DA"/>
          </w:tcPr>
          <w:p>
            <w:r/>
            <w:r>
              <w:rPr>
                <w:b/>
                <w:color w:val="E86A1E"/>
                <w:sz w:val="24"/>
              </w:rPr>
              <w:t>Piège fréquent</w:t>
            </w:r>
          </w:p>
          <w:p>
            <w:r>
              <w:t>Un participant demande s'il peut modifier le numéro d'enregistrement après coup. Réponse : non, il est immuable une fois généré — c'est une garantie d'intégrité, pas une limitation technique.</w:t>
            </w:r>
          </w:p>
        </w:tc>
      </w:tr>
    </w:tbl>
    <w:p>
      <w:pPr>
        <w:spacing w:after="40"/>
      </w:pPr>
    </w:p>
    <w:p>
      <w:pPr>
        <w:pStyle w:val="Heading1"/>
      </w:pPr>
      <w:r>
        <w:t>6. Séquence 10h45–12h00 — OCR, extraction IA, dispatching</w:t>
      </w:r>
    </w:p>
    <w:p>
      <w:pPr>
        <w:pStyle w:val="Heading3"/>
      </w:pPr>
      <w:r>
        <w:t>6.1 Numérisation et OCR (slides 8-9)</w:t>
      </w:r>
    </w:p>
    <w:p>
      <w:pPr>
        <w:pStyle w:val="ListBullet"/>
      </w:pPr>
      <w:r>
        <w:t>Message clé : numérisation = image, OCR = texte exploitable. Cette distinction est souvent confondue par les participants — la clarifier avec l'exemple d'une photo de document (image, pas cherchable) vs un PDF océrisé (texte, cherchable).</w:t>
      </w:r>
    </w:p>
    <w:p>
      <w:pPr>
        <w:pStyle w:val="ListBullet"/>
      </w:pPr>
      <w:r>
        <w:t>Rappeler la recommandation 300 dpi : en dessous, l'OCR perd en fiabilité et les métadonnées extraites ensuite seront de moins bonne qualité.</w:t>
      </w:r>
    </w:p>
    <w:p>
      <w:pPr>
        <w:pStyle w:val="Heading3"/>
      </w:pPr>
      <w:r>
        <w:t>6.2 Extraction IA des métadonnées (slide 10)</w:t>
      </w:r>
    </w:p>
    <w:p>
      <w:pPr>
        <w:pStyle w:val="ListBullet"/>
      </w:pPr>
      <w:r>
        <w:t>Montrer le panneau de suggestion de l'IA sur un document déjà océrisé.</w:t>
      </w:r>
    </w:p>
    <w:p>
      <w:pPr>
        <w:pStyle w:val="ListBullet"/>
      </w:pPr>
      <w:r>
        <w:t>Répéter explicitement : « la validation humaine reste obligatoire » — c'est un point que le guide officiel liste comme principe non négociable (Annexe C).</w:t>
      </w:r>
    </w:p>
    <w:p>
      <w:pPr>
        <w:pStyle w:val="Heading3"/>
      </w:pPr>
      <w:r>
        <w:t>6.3 Première démonstration IA (slide 11)</w:t>
      </w:r>
    </w:p>
    <w:p>
      <w:r>
        <w:rPr>
          <w:b w:val="0"/>
          <w:i w:val="0"/>
        </w:rPr>
        <w:t>Voir le script détaillé en section 8 — Démo 1.</w:t>
      </w:r>
    </w:p>
    <w:p>
      <w:pPr>
        <w:pStyle w:val="Heading3"/>
      </w:pPr>
      <w:r>
        <w:t>6.4 Dispatching intelligent et cas pratique (slides 12-13)</w:t>
      </w:r>
    </w:p>
    <w:p>
      <w:pPr>
        <w:pStyle w:val="ListBullet"/>
      </w:pPr>
      <w:r>
        <w:t>Présenter le cas pratique Direction financière AVANT de lancer le TP de l'après-midi, pour que les participants sachent à quoi s'attendre.</w:t>
      </w:r>
    </w:p>
    <w:p>
      <w:pPr>
        <w:pStyle w:val="ListBullet"/>
      </w:pPr>
      <w:r>
        <w:t>Précision utile pour le DSI : le dispatching s'appuie sur l'apprentissage des affectations précédentes, mais la décision finale reste humaine — ce n'est pas un système d'automatisation totale.</w:t>
      </w:r>
    </w:p>
    <w:p>
      <w:pPr>
        <w:pStyle w:val="Heading1"/>
      </w:pPr>
      <w:r>
        <w:t>7. Séquence 13h00–14h30 — Démo live : le circuit complet du document</w:t>
      </w:r>
    </w:p>
    <w:p>
      <w:r>
        <w:rPr>
          <w:b w:val="0"/>
          <w:i w:val="0"/>
        </w:rPr>
        <w:t>C'est la séquence la plus importante de la journée pour le public DSI/direction. L'application ARCHIF est mise en ligne et accessible en direct : les participants peuvent questionner l'assistant IA sur les données réelles du séminaire, y compris en dehors du script prévu.</w:t>
      </w:r>
    </w:p>
    <w:tbl>
      <w:tblPr>
        <w:tblW w:type="auto" w:w="0"/>
        <w:jc w:val="center"/>
        <w:tblLook w:firstColumn="1" w:firstRow="1" w:lastColumn="0" w:lastRow="0" w:noHBand="0" w:noVBand="1" w:val="04A0"/>
      </w:tblPr>
      <w:tblGrid>
        <w:gridCol w:w="9412"/>
      </w:tblGrid>
      <w:tr>
        <w:tc>
          <w:tcPr>
            <w:tcW w:type="dxa" w:w="9412"/>
            <w:shd w:val="clear" w:color="auto" w:fill="EDF2F9"/>
          </w:tcPr>
          <w:p>
            <w:r/>
            <w:r>
              <w:rPr>
                <w:b/>
                <w:color w:val="2E75B6"/>
                <w:sz w:val="24"/>
              </w:rPr>
              <w:t>Consignes formateur pour cette séquence</w:t>
            </w:r>
          </w:p>
          <w:p>
            <w:r>
              <w:t>Ouvrir la séquence en reprenant le document enregistré à 09h30 : montrer qu'il a maintenant un classement, une localisation et un statut réglementaire — le fil rouge de la journée.</w:t>
            </w:r>
          </w:p>
          <w:p>
            <w:r>
              <w:t>Laisser la salle poser ses propres questions après les 3 démonstrations scriptées (slide 22).</w:t>
            </w:r>
          </w:p>
          <w:p>
            <w:r>
              <w:t>Si une question sort du périmètre des données de démonstration, l'assistant répondra honnêtement qu'il n'a rien trouvé plutôt que d'inventer — EXPLIQUER que c'est volontaire et positif (voir section 13).</w:t>
            </w:r>
          </w:p>
        </w:tc>
      </w:tr>
    </w:tbl>
    <w:p>
      <w:pPr>
        <w:spacing w:after="40"/>
      </w:pPr>
    </w:p>
    <w:p>
      <w:pPr>
        <w:pStyle w:val="Heading1"/>
      </w:pPr>
      <w:r>
        <w:t>8. Scripts détaillés des 3 démonstrations IA</w:t>
      </w:r>
    </w:p>
    <w:p>
      <w:r>
        <w:rPr>
          <w:b w:val="0"/>
          <w:i w:val="0"/>
        </w:rPr>
        <w:t>Les trois scénarios ci-dessous ont été testés et validés sur l'environnement de démonstration le 14 juillet 2026. Les réponses exactes dépendront des données réellement présentes le jour J (à recharger avec des données représentatives de Kribi/CDEC si possible — voir section 15).</w:t>
      </w:r>
    </w:p>
    <w:p>
      <w:pPr>
        <w:pStyle w:val="Heading3"/>
      </w:pPr>
      <w:r>
        <w:t>Démo 1 — Retrouver l'expéditeur d'un courrier (slide 11)</w:t>
      </w:r>
    </w:p>
    <w:p>
      <w:pPr>
        <w:spacing w:after="80"/>
      </w:pPr>
      <w:r>
        <w:rPr>
          <w:b/>
        </w:rPr>
        <w:t xml:space="preserve">Question à poser à voix haute puis saisir dans ARCHIF : </w:t>
      </w:r>
      <w:r>
        <w:rPr>
          <w:i/>
          <w:color w:val="1F4E79"/>
        </w:rPr>
        <w:t>« je cherche le mail de Judite »</w:t>
      </w:r>
    </w:p>
    <w:p>
      <w:pPr>
        <w:spacing w:after="40"/>
      </w:pPr>
      <w:r>
        <w:rPr>
          <w:b/>
          <w:i w:val="0"/>
          <w:color w:val="2E75B6"/>
        </w:rPr>
        <w:t>Déroulé attendu à l'écran :</w:t>
      </w:r>
    </w:p>
    <w:p>
      <w:pPr>
        <w:pStyle w:val="ListBullet"/>
      </w:pPr>
      <w:r>
        <w:t>L'assistant affiche en direct son raisonnement : « Je recherche d'abord les contacts... » avant la réponse finale.</w:t>
      </w:r>
    </w:p>
    <w:p>
      <w:pPr>
        <w:pStyle w:val="ListBullet"/>
      </w:pPr>
      <w:r>
        <w:t>Il interroge le répertoire des contacts externes ET des utilisateurs internes.</w:t>
      </w:r>
    </w:p>
    <w:p>
      <w:pPr>
        <w:pStyle w:val="ListBullet"/>
      </w:pPr>
      <w:r>
        <w:t>S'il ne trouve rien du premier coup (nom mal orthographié), il relance avec une variante.</w:t>
      </w:r>
    </w:p>
    <w:tbl>
      <w:tblPr>
        <w:tblW w:type="auto" w:w="0"/>
        <w:jc w:val="center"/>
        <w:tblLook w:firstColumn="1" w:firstRow="1" w:lastColumn="0" w:lastRow="0" w:noHBand="0" w:noVBand="1" w:val="04A0"/>
      </w:tblPr>
      <w:tblGrid>
        <w:gridCol w:w="9412"/>
      </w:tblGrid>
      <w:tr>
        <w:tc>
          <w:tcPr>
            <w:tcW w:type="dxa" w:w="9412"/>
            <w:shd w:val="clear" w:color="auto" w:fill="E7F3EA"/>
          </w:tcPr>
          <w:p>
            <w:r/>
            <w:r>
              <w:rPr>
                <w:b/>
                <w:color w:val="1E7A34"/>
                <w:sz w:val="24"/>
              </w:rPr>
              <w:t>Résultat attendu (testé et validé le 14/07/2026)</w:t>
            </w:r>
          </w:p>
          <w:p>
            <w:r>
              <w:t>Coordonnées complètes : nom, e-mail, téléphone, fonction. Une vignette cliquable ouvre un panneau de détail avec la fiche complète, sans quitter la conversation.</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CE9DA"/>
          </w:tcPr>
          <w:p>
            <w:r/>
            <w:r>
              <w:rPr>
                <w:b/>
                <w:color w:val="E86A1E"/>
                <w:sz w:val="24"/>
              </w:rPr>
              <w:t>Si ça ne se passe pas comme prévu</w:t>
            </w:r>
          </w:p>
          <w:p>
            <w:r>
              <w:t>Si la recherche échoue : vérifier que le nom testé existe bien dans les données chargées le jour J. Prévoir 2-3 noms de secours connus dans la base de démo, annoncés à l'avance à l'équipe technique.</w:t>
            </w:r>
          </w:p>
        </w:tc>
      </w:tr>
    </w:tbl>
    <w:p>
      <w:pPr>
        <w:spacing w:after="40"/>
      </w:pPr>
    </w:p>
    <w:p>
      <w:pPr>
        <w:spacing w:before="40" w:after="40"/>
        <w:pBdr>
          <w:bottom w:val="single" w:sz="6" w:space="1" w:color="CCCCCC"/>
        </w:pBdr>
      </w:pPr>
    </w:p>
    <w:p>
      <w:pPr>
        <w:pStyle w:val="Heading3"/>
      </w:pPr>
      <w:r>
        <w:t>Démo 2 — Localiser physiquement un dossier (slide 15)</w:t>
      </w:r>
    </w:p>
    <w:p>
      <w:pPr>
        <w:spacing w:after="80"/>
      </w:pPr>
      <w:r>
        <w:rPr>
          <w:b/>
        </w:rPr>
        <w:t xml:space="preserve">Question à poser à voix haute puis saisir dans ARCHIF : </w:t>
      </w:r>
      <w:r>
        <w:rPr>
          <w:i/>
          <w:color w:val="1F4E79"/>
        </w:rPr>
        <w:t>« où se trouve le dossier [CODE] ? »</w:t>
      </w:r>
    </w:p>
    <w:p>
      <w:pPr>
        <w:spacing w:after="40"/>
      </w:pPr>
      <w:r>
        <w:rPr>
          <w:b/>
          <w:i w:val="0"/>
          <w:color w:val="2E75B6"/>
        </w:rPr>
        <w:t>Déroulé attendu à l'écran :</w:t>
      </w:r>
    </w:p>
    <w:p>
      <w:pPr>
        <w:pStyle w:val="ListBullet"/>
      </w:pPr>
      <w:r>
        <w:t>Remplacer [CODE] par un code de dossier réellement présent dans la démo du jour.</w:t>
      </w:r>
    </w:p>
    <w:p>
      <w:pPr>
        <w:pStyle w:val="ListBullet"/>
      </w:pPr>
      <w:r>
        <w:t>L'assistant recherche le dossier, puis remonte automatiquement conteneur → étagère → salle → bâtiment.</w:t>
      </w:r>
    </w:p>
    <w:tbl>
      <w:tblPr>
        <w:tblW w:type="auto" w:w="0"/>
        <w:jc w:val="center"/>
        <w:tblLook w:firstColumn="1" w:firstRow="1" w:lastColumn="0" w:lastRow="0" w:noHBand="0" w:noVBand="1" w:val="04A0"/>
      </w:tblPr>
      <w:tblGrid>
        <w:gridCol w:w="9412"/>
      </w:tblGrid>
      <w:tr>
        <w:tc>
          <w:tcPr>
            <w:tcW w:type="dxa" w:w="9412"/>
            <w:shd w:val="clear" w:color="auto" w:fill="E7F3EA"/>
          </w:tcPr>
          <w:p>
            <w:r/>
            <w:r>
              <w:rPr>
                <w:b/>
                <w:color w:val="1E7A34"/>
                <w:sz w:val="24"/>
              </w:rPr>
              <w:t>Résultat attendu (testé et validé le 14/07/2026)</w:t>
            </w:r>
          </w:p>
          <w:p>
            <w:r>
              <w:t>Réponse en une phrase avec la chaîne complète de localisation (ex. « Conteneur CTN-2026-001, étagère salle DF, étage 01 »).</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CE9DA"/>
          </w:tcPr>
          <w:p>
            <w:r/>
            <w:r>
              <w:rPr>
                <w:b/>
                <w:color w:val="E86A1E"/>
                <w:sz w:val="24"/>
              </w:rPr>
              <w:t>Si ça ne se passe pas comme prévu</w:t>
            </w:r>
          </w:p>
          <w:p>
            <w:r>
              <w:t>Si le dossier n'a pas de conteneur associé dans la démo, la réponse sera « localisation non renseignée » — tester ce cas AVANT la séance pour choisir un code qui a bien une localisation complète.</w:t>
            </w:r>
          </w:p>
        </w:tc>
      </w:tr>
    </w:tbl>
    <w:p>
      <w:pPr>
        <w:spacing w:after="40"/>
      </w:pPr>
    </w:p>
    <w:p>
      <w:pPr>
        <w:spacing w:before="40" w:after="40"/>
        <w:pBdr>
          <w:bottom w:val="single" w:sz="6" w:space="1" w:color="CCCCCC"/>
        </w:pBdr>
      </w:pPr>
    </w:p>
    <w:p>
      <w:pPr>
        <w:pStyle w:val="Heading3"/>
      </w:pPr>
      <w:r>
        <w:t>Démo 3 — Conformité réglementaire d'un dossier (slide 16)</w:t>
      </w:r>
    </w:p>
    <w:p>
      <w:pPr>
        <w:spacing w:after="80"/>
      </w:pPr>
      <w:r>
        <w:rPr>
          <w:b/>
        </w:rPr>
        <w:t xml:space="preserve">Question à poser à voix haute puis saisir dans ARCHIF : </w:t>
      </w:r>
      <w:r>
        <w:rPr>
          <w:i/>
          <w:color w:val="1F4E79"/>
        </w:rPr>
        <w:t>« ce dossier est-il communicable ? quand pourra-t-on l'éliminer ? »</w:t>
      </w:r>
    </w:p>
    <w:p>
      <w:pPr>
        <w:spacing w:after="40"/>
      </w:pPr>
      <w:r>
        <w:rPr>
          <w:b/>
          <w:i w:val="0"/>
          <w:color w:val="2E75B6"/>
        </w:rPr>
        <w:t>Déroulé attendu à l'écran :</w:t>
      </w:r>
    </w:p>
    <w:p>
      <w:pPr>
        <w:pStyle w:val="ListBullet"/>
      </w:pPr>
      <w:r>
        <w:t>Poser la question sur le même dossier que la Démo 2, pour montrer la continuité du raisonnement.</w:t>
      </w:r>
    </w:p>
    <w:p>
      <w:pPr>
        <w:pStyle w:val="ListBullet"/>
      </w:pPr>
      <w:r>
        <w:t>L'assistant calcule la communicabilité à partir de la date de clôture et du délai de l'activité.</w:t>
      </w:r>
    </w:p>
    <w:p>
      <w:pPr>
        <w:pStyle w:val="ListBullet"/>
      </w:pPr>
      <w:r>
        <w:t>Il calcule ensuite la rétention (DUA), l'échéance et le sort final, avec la base légale si renseignée.</w:t>
      </w:r>
    </w:p>
    <w:tbl>
      <w:tblPr>
        <w:tblW w:type="auto" w:w="0"/>
        <w:jc w:val="center"/>
        <w:tblLook w:firstColumn="1" w:firstRow="1" w:lastColumn="0" w:lastRow="0" w:noHBand="0" w:noVBand="1" w:val="04A0"/>
      </w:tblPr>
      <w:tblGrid>
        <w:gridCol w:w="9412"/>
      </w:tblGrid>
      <w:tr>
        <w:tc>
          <w:tcPr>
            <w:tcW w:type="dxa" w:w="9412"/>
            <w:shd w:val="clear" w:color="auto" w:fill="E7F3EA"/>
          </w:tcPr>
          <w:p>
            <w:r/>
            <w:r>
              <w:rPr>
                <w:b/>
                <w:color w:val="1E7A34"/>
                <w:sz w:val="24"/>
              </w:rPr>
              <w:t>Résultat attendu (testé et validé le 14/07/2026)</w:t>
            </w:r>
          </w:p>
          <w:p>
            <w:r>
              <w:t>Exemple obtenu en test : « Communicable depuis 2012 » + « Rétention 80 ans, jusqu'en 2090, sort final : Tri » avec référence à l'article de loi applicable.</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CE9DA"/>
          </w:tcPr>
          <w:p>
            <w:r/>
            <w:r>
              <w:rPr>
                <w:b/>
                <w:color w:val="E86A1E"/>
                <w:sz w:val="24"/>
              </w:rPr>
              <w:t>Si ça ne se passe pas comme prévu</w:t>
            </w:r>
          </w:p>
          <w:p>
            <w:r>
              <w:t>Si l'activité du dossier n'a pas de règle de communicabilité ou de rétention paramétrée, l'assistant le dira explicitement (« pas de règle définie ») plutôt que d'inventer une date — c'est le comportement correct à assumer devant la salle, pas un bug.</w:t>
            </w:r>
          </w:p>
        </w:tc>
      </w:tr>
    </w:tbl>
    <w:p>
      <w:pPr>
        <w:spacing w:after="40"/>
      </w:pPr>
    </w:p>
    <w:p>
      <w:pPr>
        <w:spacing w:before="40" w:after="40"/>
        <w:pBdr>
          <w:bottom w:val="single" w:sz="6" w:space="1" w:color="CCCCCC"/>
        </w:pBdr>
      </w:pPr>
    </w:p>
    <w:p>
      <w:pPr>
        <w:pStyle w:val="Heading3"/>
      </w:pPr>
      <w:r>
        <w:t>Démo libre (slide 22)</w:t>
      </w:r>
    </w:p>
    <w:p>
      <w:r>
        <w:rPr>
          <w:b w:val="0"/>
          <w:i w:val="0"/>
        </w:rPr>
        <w:t>Laisser 10 à 15 minutes pour que la salle pose ses propres questions. Suggestions à proposer si personne ne se lance : « combien de courriers avons-nous reçus cette semaine ? », « liste les dossiers en attente de dispatching », « quels dossiers sont éliminables cette année ? ».</w:t>
      </w:r>
    </w:p>
    <w:p>
      <w:pPr>
        <w:pStyle w:val="Heading1"/>
      </w:pPr>
      <w:r>
        <w:t>9. Séquence 14h30–15h30 — Suivi des délais, courrier sortant, fiche type</w:t>
      </w:r>
    </w:p>
    <w:p>
      <w:pPr>
        <w:pStyle w:val="ListBullet"/>
      </w:pPr>
      <w:r>
        <w:t>Slide 17-18 : montrer le tableau de bord des délais en conditions réelles si des courriers de démo ont des délais dépassés — sinon, expliquer le principe sur les statuts (slide 18).</w:t>
      </w:r>
    </w:p>
    <w:p>
      <w:pPr>
        <w:pStyle w:val="ListBullet"/>
      </w:pPr>
      <w:r>
        <w:t>Slide 19-20 : dérouler rapidement, le public a déjà compris la logique symétrique. Un seul exemple de transfert suffit.</w:t>
      </w:r>
    </w:p>
    <w:p>
      <w:pPr>
        <w:pStyle w:val="ListBullet"/>
      </w:pPr>
      <w:r>
        <w:t>Slide 21 : reprendre le tableau des champs obligatoires — c'est une bonne synthèse à faire recopier ou photographier par les participants.</w:t>
      </w:r>
    </w:p>
    <w:p>
      <w:pPr>
        <w:pStyle w:val="Heading1"/>
      </w:pPr>
      <w:r>
        <w:t>10. Séquence 15h45–16h45 — Travaux pratiques encadrés</w:t>
      </w:r>
    </w:p>
    <w:p>
      <w:r>
        <w:rPr>
          <w:b w:val="0"/>
          <w:i w:val="0"/>
        </w:rPr>
        <w:t>Cas pratique repris : Direction financière — traitement de factures fournisseurs (voir Guide du participant, Jour 2).</w:t>
      </w:r>
    </w:p>
    <w:p>
      <w:pPr>
        <w:pStyle w:val="ListBullet"/>
      </w:pPr>
      <w:r>
        <w:t>Chaque participant enregistre 2 à 3 courriers fictifs, avec numérisation/OCR et vérification des métadonnées extraites.</w:t>
      </w:r>
    </w:p>
    <w:p>
      <w:pPr>
        <w:pStyle w:val="ListBullet"/>
      </w:pPr>
      <w:r>
        <w:t>Le formateur technique circule dans la salle pour débloquer les cas individuels — prévoir un support pour le DSI/partenaire qui voudra probablement aller plus vite ou tester des cas limites.</w:t>
      </w:r>
    </w:p>
    <w:p>
      <w:pPr>
        <w:pStyle w:val="ListBullet"/>
      </w:pPr>
      <w:r>
        <w:t>Terminer par un dispatching assisté vers un service fictif, pour boucler le TP sur le sujet du jour.</w:t>
      </w:r>
    </w:p>
    <w:p>
      <w:pPr>
        <w:pStyle w:val="Heading1"/>
      </w:pPr>
      <w:r>
        <w:t>11. Séquence 16h45–17h30 — Points de vigilance, auto-évaluation, synthèse</w:t>
      </w:r>
    </w:p>
    <w:p>
      <w:pPr>
        <w:pStyle w:val="ListBullet"/>
      </w:pPr>
      <w:r>
        <w:t>Slide 24 : dérouler les 4 points de vigilance en insistant sur le n°2 (jamais valider une métadonnée IA sans contrôle visuel) — c'est le point le plus souvent négligé en usage réel.</w:t>
      </w:r>
    </w:p>
    <w:p>
      <w:pPr>
        <w:pStyle w:val="ListBullet"/>
      </w:pPr>
      <w:r>
        <w:t>Slide 25 : moment volontairement inconfortable mais important — voir section 13 ci-dessous pour l'argumentaire complet.</w:t>
      </w:r>
    </w:p>
    <w:p>
      <w:pPr>
        <w:pStyle w:val="ListBullet"/>
      </w:pPr>
      <w:r>
        <w:t>Slide 26 : auto-évaluation individuelle, corrigé en Annexe F du guide du participant — ne pas corriger collectivement pour ne pas allonger la séquence, renvoyer au corrigé écrit.</w:t>
      </w:r>
    </w:p>
    <w:p>
      <w:pPr>
        <w:pStyle w:val="ListBullet"/>
      </w:pPr>
      <w:r>
        <w:t>Slides 27-30 : rythme rapide, teaser du Jour 3 pour maintenir l'attention en fin de journée.</w:t>
      </w:r>
    </w:p>
    <w:p>
      <w:pPr>
        <w:pStyle w:val="Heading1"/>
      </w:pPr>
      <w:r>
        <w:t>12. Questions fréquentes et objections anticipées</w:t>
      </w:r>
    </w:p>
    <w:p>
      <w:r>
        <w:rPr>
          <w:b/>
          <w:color w:val="1F4E79"/>
        </w:rPr>
        <w:t>« L'IA peut-elle se tromper de service lors du dispatching ? »</w:t>
      </w:r>
    </w:p>
    <w:p>
      <w:pPr>
        <w:spacing w:after="200"/>
      </w:pPr>
      <w:r>
        <w:t>Oui, c'est pourquoi la décision finale reste humaine. Le taux de fiabilité visé (slide 27) est de 80% de propositions validées sans correction — pas 100%. C'est un gain de temps, pas une automatisation totale.</w:t>
      </w:r>
    </w:p>
    <w:p>
      <w:r>
        <w:rPr>
          <w:b/>
          <w:color w:val="1F4E79"/>
        </w:rPr>
        <w:t>« Que se passe-t-il si l'IA est indisponible (panne, surcharge) ? »</w:t>
      </w:r>
    </w:p>
    <w:p>
      <w:pPr>
        <w:spacing w:after="200"/>
      </w:pPr>
      <w:r>
        <w:t>ARCHIF continue de fonctionner normalement pour toutes les opérations manuelles (enregistrement, classement, recherche classique). Seules les fonctions IA (suggestions, chat) sont temporairement indisponibles, avec un message explicite plutôt qu'une erreur silencieuse. Voir section 14.</w:t>
      </w:r>
    </w:p>
    <w:p>
      <w:r>
        <w:rPr>
          <w:b/>
          <w:color w:val="1F4E79"/>
        </w:rPr>
        <w:t>« Nos courriers confidentiels passent-ils par l'IA ? »</w:t>
      </w:r>
    </w:p>
    <w:p>
      <w:pPr>
        <w:spacing w:after="200"/>
      </w:pPr>
      <w:r>
        <w:t>Le traitement OCR/extraction peut s'appliquer à tout document numérisé, mais l'accès aux résultats reste soumis aux habilitations classiques d'ARCHIF. Tout courrier signalé confidentiel doit voir ses habilitations de consultation restreintes immédiatement (point de vigilance n°3, slide 24).</w:t>
      </w:r>
    </w:p>
    <w:p>
      <w:r>
        <w:rPr>
          <w:b/>
          <w:color w:val="1F4E79"/>
        </w:rPr>
        <w:t>« Peut-on connecter ARCHIF à notre système actuel (question probable du DSI) ? »</w:t>
      </w:r>
    </w:p>
    <w:p>
      <w:pPr>
        <w:spacing w:after="200"/>
      </w:pPr>
      <w:r>
        <w:t>Cette question technique dépasse le cadre du Jour 2 — proposer un temps d'échange dédié à la pause ou en fin de journée avec le formateur technique, plutôt que de monopoliser la séquence collective.</w:t>
      </w:r>
    </w:p>
    <w:p>
      <w:r>
        <w:rPr>
          <w:b/>
          <w:color w:val="1F4E79"/>
        </w:rPr>
        <w:t>« L'assistant IA peut-il halluciner une information ? »</w:t>
      </w:r>
    </w:p>
    <w:p>
      <w:pPr>
        <w:spacing w:after="200"/>
      </w:pPr>
      <w:r>
        <w:t>Le système est conçu pour dire explicitement qu'il n'a rien trouvé plutôt que d'inventer une réponse (testé et confirmé). Cela dit, comme tout système IA, une vigilance raisonnable reste de mise : recommander de vérifier une information critique via le lien vers la fiche complète, systématiquement proposé.</w:t>
      </w:r>
    </w:p>
    <w:p>
      <w:pPr>
        <w:pStyle w:val="Heading1"/>
      </w:pPr>
      <w:r>
        <w:t>13. Ce que l'IA ne fait pas — à assumer sans détour</w:t>
      </w:r>
    </w:p>
    <w:p>
      <w:r>
        <w:rPr>
          <w:b w:val="0"/>
          <w:i w:val="0"/>
        </w:rPr>
        <w:t>La slide 25 est volontairement construite pour désamorcer les attentes irréalistes avant qu'elles ne se transforment en déception après la formation. Ne pas minimiser ce message.</w:t>
      </w:r>
    </w:p>
    <w:p>
      <w:pPr>
        <w:pStyle w:val="ListBullet"/>
      </w:pPr>
      <w:r>
        <w:t>L'assistant est en LECTURE SEULE : il ne crée, ne modifie, ni ne supprime aucune donnée.</w:t>
      </w:r>
    </w:p>
    <w:p>
      <w:pPr>
        <w:pStyle w:val="ListBullet"/>
      </w:pPr>
      <w:r>
        <w:t>Il ne remplace la validation humaine sur aucune étape (OCR, classification, dispatching).</w:t>
      </w:r>
    </w:p>
    <w:p>
      <w:pPr>
        <w:pStyle w:val="ListBullet"/>
      </w:pPr>
      <w:r>
        <w:t>Il ne devine jamais une information absente — il l'indique clairement.</w:t>
      </w:r>
    </w:p>
    <w:p>
      <w:pPr>
        <w:pStyle w:val="ListBullet"/>
      </w:pPr>
      <w:r>
        <w:t>Sa disponibilité dépend du service d'intelligence artificielle sous-jacent (voir section 14).</w:t>
      </w:r>
    </w:p>
    <w:tbl>
      <w:tblPr>
        <w:tblW w:type="auto" w:w="0"/>
        <w:jc w:val="center"/>
        <w:tblLook w:firstColumn="1" w:firstRow="1" w:lastColumn="0" w:lastRow="0" w:noHBand="0" w:noVBand="1" w:val="04A0"/>
      </w:tblPr>
      <w:tblGrid>
        <w:gridCol w:w="9412"/>
      </w:tblGrid>
      <w:tr>
        <w:tc>
          <w:tcPr>
            <w:tcW w:type="dxa" w:w="9412"/>
            <w:shd w:val="clear" w:color="auto" w:fill="E7F3EA"/>
          </w:tcPr>
          <w:p>
            <w:r/>
            <w:r>
              <w:rPr>
                <w:b/>
                <w:color w:val="1E7A34"/>
                <w:sz w:val="24"/>
              </w:rPr>
              <w:t>Argument à mobiliser si un participant est déçu</w:t>
            </w:r>
          </w:p>
          <w:p>
            <w:r>
              <w:t>Une IA qui reconnaît ses limites est plus fiable dans la durée qu'une IA qui prétend tout savoir. C'est un choix de conception délibéré d'ARCHIF, pas une faiblesse à corriger.</w:t>
            </w:r>
          </w:p>
        </w:tc>
      </w:tr>
    </w:tbl>
    <w:p>
      <w:pPr>
        <w:spacing w:after="40"/>
      </w:pPr>
    </w:p>
    <w:p>
      <w:pPr>
        <w:pStyle w:val="Heading1"/>
      </w:pPr>
      <w:r>
        <w:t>14. Gestion des imprévus techniques</w:t>
      </w:r>
    </w:p>
    <w:p>
      <w:pPr>
        <w:pStyle w:val="Heading3"/>
      </w:pPr>
      <w:r>
        <w:t>14.1 Le service IA renvoie un message de surcharge</w:t>
      </w:r>
    </w:p>
    <w:p>
      <w:r>
        <w:rPr>
          <w:b w:val="0"/>
          <w:i w:val="0"/>
        </w:rPr>
        <w:t>Comportement normal si plusieurs participants questionnent l'IA en même temps (démo libre, slide 22) : le fournisseur d'intelligence artificielle applique une limite de requêtes par minute. ARCHIF affiche alors un message clair invitant à réessayer, sans jamais afficher d'erreur technique brute.</w:t>
      </w:r>
    </w:p>
    <w:tbl>
      <w:tblPr>
        <w:tblW w:type="auto" w:w="0"/>
        <w:jc w:val="center"/>
        <w:tblLook w:firstColumn="1" w:firstRow="1" w:lastColumn="0" w:lastRow="0" w:noHBand="0" w:noVBand="1" w:val="04A0"/>
      </w:tblPr>
      <w:tblGrid>
        <w:gridCol w:w="9412"/>
      </w:tblGrid>
      <w:tr>
        <w:tc>
          <w:tcPr>
            <w:tcW w:type="dxa" w:w="9412"/>
            <w:shd w:val="clear" w:color="auto" w:fill="FCE9DA"/>
          </w:tcPr>
          <w:p>
            <w:r/>
            <w:r>
              <w:rPr>
                <w:b/>
                <w:color w:val="E86A1E"/>
                <w:sz w:val="24"/>
              </w:rPr>
              <w:t>Réaction formateur</w:t>
            </w:r>
          </w:p>
          <w:p>
            <w:r>
              <w:t>Ne pas paniquer : dire à la salle « le service est sollicité, on relance dans quelques secondes » et reformuler la question 15-20 secondes plus tard. Éviter d'enchaîner plusieurs questions en rafale pendant la démo libre — inviter la salle à lever la main une personne à la fois.</w:t>
            </w:r>
          </w:p>
        </w:tc>
      </w:tr>
    </w:tbl>
    <w:p>
      <w:pPr>
        <w:spacing w:after="40"/>
      </w:pPr>
    </w:p>
    <w:p>
      <w:pPr>
        <w:pStyle w:val="Heading3"/>
      </w:pPr>
      <w:r>
        <w:t>14.2 Coupure Internet</w:t>
      </w:r>
    </w:p>
    <w:p>
      <w:r>
        <w:rPr>
          <w:b w:val="0"/>
          <w:i w:val="0"/>
        </w:rPr>
        <w:t>Selon la FAQ du guide officiel (Annexe G.bis), ARCHIF peut être déployé en environnement local (intranet) et ne dépend pas nécessairement d'une connexion Internet permanente pour les opérations courantes. En revanche, les fonctions IA (extraction, dispatching intelligent, assistant conversationnel) nécessitent un accès au service d'intelligence artificielle configuré, qui peut être local ou distant selon le déploiement retenu pour le séminaire.</w:t>
      </w:r>
    </w:p>
    <w:p>
      <w:pPr>
        <w:pStyle w:val="Heading3"/>
      </w:pPr>
      <w:r>
        <w:t>14.3 Vidéoprojecteur ou poste de démonstration défaillant</w:t>
      </w:r>
    </w:p>
    <w:p>
      <w:r>
        <w:rPr>
          <w:b w:val="0"/>
          <w:i w:val="0"/>
        </w:rPr>
        <w:t>Prévoir un poste de secours pré-connecté à ARCHIF avec la même session ouverte, en veille dès 08h45.</w:t>
      </w:r>
    </w:p>
    <w:p>
      <w:pPr>
        <w:pStyle w:val="Heading1"/>
      </w:pPr>
      <w:r>
        <w:t>15. Checklist matériel et environnement avant la journée</w:t>
      </w:r>
    </w:p>
    <w:p>
      <w:pPr>
        <w:pStyle w:val="ListBullet"/>
      </w:pPr>
      <w:r>
        <w:t>Application ARCHIF accessible en ligne et testée depuis le réseau de la salle (pas seulement en local).</w:t>
      </w:r>
    </w:p>
    <w:p>
      <w:pPr>
        <w:pStyle w:val="ListBullet"/>
      </w:pPr>
      <w:r>
        <w:t>Jeu de données de démonstration chargé : au moins un contact, un courrier, un dossier d'archives avec localisation ET règles de communicabilité/rétention complètes.</w:t>
      </w:r>
    </w:p>
    <w:p>
      <w:pPr>
        <w:pStyle w:val="ListBullet"/>
      </w:pPr>
      <w:r>
        <w:t>Les 3 scénarios de démo (section 8) testés la veille avec les VRAIS codes/noms qui seront utilisés en séance.</w:t>
      </w:r>
    </w:p>
    <w:p>
      <w:pPr>
        <w:pStyle w:val="ListBullet"/>
      </w:pPr>
      <w:r>
        <w:t>Compte superadministrateur ou compte dédié formateur prêt, avec mot de passe vérifié.</w:t>
      </w:r>
    </w:p>
    <w:p>
      <w:pPr>
        <w:pStyle w:val="ListBullet"/>
      </w:pPr>
      <w:r>
        <w:t>Poste de secours en veille (voir 14.3).</w:t>
      </w:r>
    </w:p>
    <w:p>
      <w:pPr>
        <w:pStyle w:val="ListBullet"/>
      </w:pPr>
      <w:r>
        <w:t>Guide du participant et PowerPoint (ARCHIF_Jour2_Formation.pptx) imprimés ou projetés, vérifiés à jour.</w:t>
      </w:r>
    </w:p>
    <w:p>
      <w:pPr>
        <w:pStyle w:val="ListBullet"/>
      </w:pPr>
      <w:r>
        <w:t>Vérifier qu'aucune mention d'un autre logiciel de courrier n'apparaît dans les supports projetés — le public n'utilise pas cet outil, toute référence externe serait hors sujet et créerait de la confusion.</w:t>
      </w:r>
    </w:p>
    <w:p>
      <w:pPr>
        <w:pStyle w:val="Heading1"/>
      </w:pPr>
      <w:r>
        <w:t>16. Aide-mémoire : correspondance slides ↔ séquences</w:t>
      </w:r>
    </w:p>
    <w:tbl>
      <w:tblPr>
        <w:tblStyle w:val="LightGrid-Accent1"/>
        <w:tblW w:type="auto" w:w="0"/>
        <w:tblLook w:firstColumn="1" w:firstRow="1" w:lastColumn="0" w:lastRow="0" w:noHBand="0" w:noVBand="1" w:val="04A0"/>
      </w:tblPr>
      <w:tblGrid>
        <w:gridCol w:w="4706"/>
        <w:gridCol w:w="4706"/>
      </w:tblGrid>
      <w:tr>
        <w:tc>
          <w:tcPr>
            <w:tcW w:type="dxa" w:w="4706"/>
          </w:tcPr>
          <w:p>
            <w:r>
              <w:rPr>
                <w:b/>
              </w:rPr>
              <w:t>Slides</w:t>
            </w:r>
          </w:p>
        </w:tc>
        <w:tc>
          <w:tcPr>
            <w:tcW w:type="dxa" w:w="4706"/>
          </w:tcPr>
          <w:p>
            <w:r>
              <w:rPr>
                <w:b/>
              </w:rPr>
              <w:t>Séquence de ce document</w:t>
            </w:r>
          </w:p>
        </w:tc>
      </w:tr>
      <w:tr>
        <w:tc>
          <w:tcPr>
            <w:tcW w:type="dxa" w:w="4706"/>
          </w:tcPr>
          <w:p>
            <w:r>
              <w:t>1–4</w:t>
            </w:r>
          </w:p>
        </w:tc>
        <w:tc>
          <w:tcPr>
            <w:tcW w:type="dxa" w:w="4706"/>
          </w:tcPr>
          <w:p>
            <w:r>
              <w:t>§4 Déroulé + accueil</w:t>
            </w:r>
          </w:p>
        </w:tc>
      </w:tr>
      <w:tr>
        <w:tc>
          <w:tcPr>
            <w:tcW w:type="dxa" w:w="4706"/>
          </w:tcPr>
          <w:p>
            <w:r>
              <w:t>5–7</w:t>
            </w:r>
          </w:p>
        </w:tc>
        <w:tc>
          <w:tcPr>
            <w:tcW w:type="dxa" w:w="4706"/>
          </w:tcPr>
          <w:p>
            <w:r>
              <w:t>§5 Réception et enregistrement</w:t>
            </w:r>
          </w:p>
        </w:tc>
      </w:tr>
      <w:tr>
        <w:tc>
          <w:tcPr>
            <w:tcW w:type="dxa" w:w="4706"/>
          </w:tcPr>
          <w:p>
            <w:r>
              <w:t>8–13</w:t>
            </w:r>
          </w:p>
        </w:tc>
        <w:tc>
          <w:tcPr>
            <w:tcW w:type="dxa" w:w="4706"/>
          </w:tcPr>
          <w:p>
            <w:r>
              <w:t>§6 OCR, extraction IA, dispatching</w:t>
            </w:r>
          </w:p>
        </w:tc>
      </w:tr>
      <w:tr>
        <w:tc>
          <w:tcPr>
            <w:tcW w:type="dxa" w:w="4706"/>
          </w:tcPr>
          <w:p>
            <w:r>
              <w:t>14–16, 22</w:t>
            </w:r>
          </w:p>
        </w:tc>
        <w:tc>
          <w:tcPr>
            <w:tcW w:type="dxa" w:w="4706"/>
          </w:tcPr>
          <w:p>
            <w:r>
              <w:t>§7 et §8 Démo live et scripts détaillés</w:t>
            </w:r>
          </w:p>
        </w:tc>
      </w:tr>
      <w:tr>
        <w:tc>
          <w:tcPr>
            <w:tcW w:type="dxa" w:w="4706"/>
          </w:tcPr>
          <w:p>
            <w:r>
              <w:t>17–21</w:t>
            </w:r>
          </w:p>
        </w:tc>
        <w:tc>
          <w:tcPr>
            <w:tcW w:type="dxa" w:w="4706"/>
          </w:tcPr>
          <w:p>
            <w:r>
              <w:t>§9 Suivi des délais, courrier sortant, fiche type</w:t>
            </w:r>
          </w:p>
        </w:tc>
      </w:tr>
      <w:tr>
        <w:tc>
          <w:tcPr>
            <w:tcW w:type="dxa" w:w="4706"/>
          </w:tcPr>
          <w:p>
            <w:r>
              <w:t>23</w:t>
            </w:r>
          </w:p>
        </w:tc>
        <w:tc>
          <w:tcPr>
            <w:tcW w:type="dxa" w:w="4706"/>
          </w:tcPr>
          <w:p>
            <w:r>
              <w:t>§10 Travaux pratiques</w:t>
            </w:r>
          </w:p>
        </w:tc>
      </w:tr>
      <w:tr>
        <w:tc>
          <w:tcPr>
            <w:tcW w:type="dxa" w:w="4706"/>
          </w:tcPr>
          <w:p>
            <w:r>
              <w:t>24–26</w:t>
            </w:r>
          </w:p>
        </w:tc>
        <w:tc>
          <w:tcPr>
            <w:tcW w:type="dxa" w:w="4706"/>
          </w:tcPr>
          <w:p>
            <w:r>
              <w:t>§11 Points de vigilance, limites IA, auto-évaluation</w:t>
            </w:r>
          </w:p>
        </w:tc>
      </w:tr>
      <w:tr>
        <w:tc>
          <w:tcPr>
            <w:tcW w:type="dxa" w:w="4706"/>
          </w:tcPr>
          <w:p>
            <w:r>
              <w:t>27–30</w:t>
            </w:r>
          </w:p>
        </w:tc>
        <w:tc>
          <w:tcPr>
            <w:tcW w:type="dxa" w:w="4706"/>
          </w:tcPr>
          <w:p>
            <w:r>
              <w:t>§11 Indicateurs, synthèse, transition</w:t>
            </w:r>
          </w:p>
        </w:tc>
      </w:tr>
    </w:tbl>
    <w:p/>
    <w:p>
      <w:pPr>
        <w:jc w:val="center"/>
      </w:pPr>
      <w:r>
        <w:rPr>
          <w:b w:val="0"/>
          <w:i/>
          <w:color w:val="404040"/>
        </w:rPr>
        <w:t>Fin du document formateur — Jour 2.</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