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SHELVE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04040"/>
          <w:sz w:val="28"/>
          <w:szCs w:val="28"/>
        </w:rPr>
        <w:t xml:space="preserve">Système de Gestion Documentaire et Archivistique</w:t>
      </w:r>
    </w:p>
    <w:p>
      <w:r>
        <w:t xml:space="preserve"/>
      </w:r>
    </w:p>
    <w:p>
      <w:r>
        <w:t xml:space="preserve"/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2E75B6"/>
          <w:sz w:val="44"/>
          <w:szCs w:val="44"/>
        </w:rPr>
        <w:t xml:space="preserve">Module : Recherche IA (AI Search)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Manuel de Test Fonctionnel</w:t>
      </w:r>
    </w:p>
    <w:p>
      <w:r>
        <w:t xml:space="preserve"/>
      </w:r>
    </w:p>
    <w:p>
      <w:r>
        <w:t xml:space="preserve"/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Version : 1.0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Date : 24/02/2026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Auteur : Équipe QA – Shelve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CC0000"/>
          <w:sz w:val="24"/>
          <w:szCs w:val="24"/>
        </w:rPr>
        <w:t xml:space="preserve">CONFIDENTIEL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Sommaire</w:t>
      </w:r>
    </w:p>
    <w:p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1. Assistant IA</w:t>
      </w:r>
    </w:p>
    <w:p>
      <w:pPr>
        <w:spacing w:after="100"/>
        <w:jc w:val="left"/>
      </w:pPr>
      <w:r>
        <w:rPr>
          <w:rFonts w:ascii="Calibri" w:cs="Calibri" w:eastAsia="Calibri" w:hAnsi="Calibri"/>
          <w:color w:val="404040"/>
          <w:sz w:val="18"/>
          <w:szCs w:val="18"/>
        </w:rPr>
        <w:t xml:space="preserve">   5 action(s) à tester</w:t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2. Résumé IA des courriers</w:t>
      </w:r>
    </w:p>
    <w:p>
      <w:pPr>
        <w:spacing w:after="100"/>
        <w:jc w:val="left"/>
      </w:pPr>
      <w:r>
        <w:rPr>
          <w:rFonts w:ascii="Calibri" w:cs="Calibri" w:eastAsia="Calibri" w:hAnsi="Calibri"/>
          <w:color w:val="404040"/>
          <w:sz w:val="18"/>
          <w:szCs w:val="18"/>
        </w:rPr>
        <w:t xml:space="preserve">   2 action(s) à tester</w:t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3. Association IA thésaurus</w:t>
      </w:r>
    </w:p>
    <w:p>
      <w:pPr>
        <w:spacing w:after="100"/>
        <w:jc w:val="left"/>
      </w:pPr>
      <w:r>
        <w:rPr>
          <w:rFonts w:ascii="Calibri" w:cs="Calibri" w:eastAsia="Calibri" w:hAnsi="Calibri"/>
          <w:color w:val="404040"/>
          <w:sz w:val="18"/>
          <w:szCs w:val="18"/>
        </w:rPr>
        <w:t xml:space="preserve">   1 action(s) à tester</w:t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4. Prompts IA</w:t>
      </w:r>
    </w:p>
    <w:p>
      <w:pPr>
        <w:spacing w:after="100"/>
        <w:jc w:val="left"/>
      </w:pPr>
      <w:r>
        <w:rPr>
          <w:rFonts w:ascii="Calibri" w:cs="Calibri" w:eastAsia="Calibri" w:hAnsi="Calibri"/>
          <w:color w:val="404040"/>
          <w:sz w:val="18"/>
          <w:szCs w:val="18"/>
        </w:rPr>
        <w:t xml:space="preserve">   2 action(s) à tester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Recherche IA (AI Search)</w:t>
      </w:r>
    </w:p>
    <w:p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Ce document couvre les tests fonctionnels du module « Recherche IA (AI Search) » de l'application Shelve. La colonne « Observation » doit être remplie lors de l'exécution. La colonne « Recommandation » précise les points à vérifier.</w:t>
      </w:r>
    </w:p>
    <w:p>
      <w:r>
        <w:t xml:space="preserve"/>
      </w:r>
    </w:p>
    <w:p>
      <w:pPr>
        <w:pStyle w:val="Heading2"/>
        <w:spacing w:before="300" w:after="12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Assistant IA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1"/>
        <w:gridCol w:w="2531"/>
        <w:gridCol w:w="2169"/>
        <w:gridCol w:w="3109"/>
      </w:tblGrid>
      <w:tr>
        <w:trPr>
          <w:tblHeader/>
          <w:trHeight w:val="400" w:hRule="atLeast"/>
        </w:trPr>
        <w:tc>
          <w:tcPr>
            <w:tcW w:type="dxa" w:w="1591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Sous-menu</w:t>
            </w:r>
          </w:p>
        </w:tc>
        <w:tc>
          <w:tcPr>
            <w:tcW w:type="dxa" w:w="2531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 à tester</w:t>
            </w:r>
          </w:p>
        </w:tc>
        <w:tc>
          <w:tcPr>
            <w:tcW w:type="dxa" w:w="2169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3109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Recommandation</w:t>
            </w:r>
          </w:p>
        </w:tc>
      </w:tr>
      <w:tr>
        <w:tc>
          <w:tcPr>
            <w:tcW w:type="dxa" w:w="159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04040"/>
                <w:sz w:val="16"/>
                <w:szCs w:val="16"/>
              </w:rPr>
              <w:t xml:space="preserve">Assistant IA</w:t>
            </w:r>
          </w:p>
        </w:tc>
        <w:tc>
          <w:tcPr>
            <w:tcW w:type="dxa" w:w="253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Interface de recherche IA</w:t>
            </w:r>
          </w:p>
        </w:tc>
        <w:tc>
          <w:tcPr>
            <w:tcW w:type="dxa" w:w="216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0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Vérifier l'interface de chat IA</w:t>
            </w:r>
          </w:p>
        </w:tc>
      </w:tr>
      <w:tr>
        <w:tc>
          <w:tcPr>
            <w:tcW w:type="dxa" w:w="159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04040"/>
                <w:sz w:val="16"/>
                <w:szCs w:val="16"/>
              </w:rPr>
              <w:t xml:space="preserve">Assistant IA</w:t>
            </w:r>
          </w:p>
        </w:tc>
        <w:tc>
          <w:tcPr>
            <w:tcW w:type="dxa" w:w="253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Envoyer une requête au chat IA</w:t>
            </w:r>
          </w:p>
        </w:tc>
        <w:tc>
          <w:tcPr>
            <w:tcW w:type="dxa" w:w="216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0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Vérifier la réponse et les suggestions</w:t>
            </w:r>
          </w:p>
        </w:tc>
      </w:tr>
      <w:tr>
        <w:tc>
          <w:tcPr>
            <w:tcW w:type="dxa" w:w="159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04040"/>
                <w:sz w:val="16"/>
                <w:szCs w:val="16"/>
              </w:rPr>
              <w:t xml:space="preserve">Assistant IA</w:t>
            </w:r>
          </w:p>
        </w:tc>
        <w:tc>
          <w:tcPr>
            <w:tcW w:type="dxa" w:w="253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Documentation IA</w:t>
            </w:r>
          </w:p>
        </w:tc>
        <w:tc>
          <w:tcPr>
            <w:tcW w:type="dxa" w:w="216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0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Vérifier la page de documentation</w:t>
            </w:r>
          </w:p>
        </w:tc>
      </w:tr>
      <w:tr>
        <w:tc>
          <w:tcPr>
            <w:tcW w:type="dxa" w:w="159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04040"/>
                <w:sz w:val="16"/>
                <w:szCs w:val="16"/>
              </w:rPr>
              <w:t xml:space="preserve">Assistant IA</w:t>
            </w:r>
          </w:p>
        </w:tc>
        <w:tc>
          <w:tcPr>
            <w:tcW w:type="dxa" w:w="253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Tests IA</w:t>
            </w:r>
          </w:p>
        </w:tc>
        <w:tc>
          <w:tcPr>
            <w:tcW w:type="dxa" w:w="216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0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Vérifier les tests fonctionnels IA</w:t>
            </w:r>
          </w:p>
        </w:tc>
      </w:tr>
      <w:tr>
        <w:tc>
          <w:tcPr>
            <w:tcW w:type="dxa" w:w="159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04040"/>
                <w:sz w:val="16"/>
                <w:szCs w:val="16"/>
              </w:rPr>
              <w:t xml:space="preserve">Assistant IA</w:t>
            </w:r>
          </w:p>
        </w:tc>
        <w:tc>
          <w:tcPr>
            <w:tcW w:type="dxa" w:w="253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Interface de test IA</w:t>
            </w:r>
          </w:p>
        </w:tc>
        <w:tc>
          <w:tcPr>
            <w:tcW w:type="dxa" w:w="216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0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Vérifier l'interface de test</w:t>
            </w:r>
          </w:p>
        </w:tc>
      </w:tr>
    </w:tbl>
    <w:p>
      <w:r>
        <w:t xml:space="preserve"/>
      </w:r>
    </w:p>
    <w:p>
      <w:pPr>
        <w:pStyle w:val="Heading2"/>
        <w:spacing w:before="300" w:after="12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Résumé IA des courriers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1"/>
        <w:gridCol w:w="2531"/>
        <w:gridCol w:w="2169"/>
        <w:gridCol w:w="3109"/>
      </w:tblGrid>
      <w:tr>
        <w:trPr>
          <w:tblHeader/>
          <w:trHeight w:val="400" w:hRule="atLeast"/>
        </w:trPr>
        <w:tc>
          <w:tcPr>
            <w:tcW w:type="dxa" w:w="1591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Sous-menu</w:t>
            </w:r>
          </w:p>
        </w:tc>
        <w:tc>
          <w:tcPr>
            <w:tcW w:type="dxa" w:w="2531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 à tester</w:t>
            </w:r>
          </w:p>
        </w:tc>
        <w:tc>
          <w:tcPr>
            <w:tcW w:type="dxa" w:w="2169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3109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Recommandation</w:t>
            </w:r>
          </w:p>
        </w:tc>
      </w:tr>
      <w:tr>
        <w:tc>
          <w:tcPr>
            <w:tcW w:type="dxa" w:w="159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04040"/>
                <w:sz w:val="16"/>
                <w:szCs w:val="16"/>
              </w:rPr>
              <w:t xml:space="preserve">Résumé IA des courriers</w:t>
            </w:r>
          </w:p>
        </w:tc>
        <w:tc>
          <w:tcPr>
            <w:tcW w:type="dxa" w:w="253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Générer un résumé IA d'un courrier</w:t>
            </w:r>
          </w:p>
        </w:tc>
        <w:tc>
          <w:tcPr>
            <w:tcW w:type="dxa" w:w="216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0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Vérifier l'appel à l'API IA et l'affichage du résumé</w:t>
            </w:r>
          </w:p>
        </w:tc>
      </w:tr>
      <w:tr>
        <w:tc>
          <w:tcPr>
            <w:tcW w:type="dxa" w:w="159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04040"/>
                <w:sz w:val="16"/>
                <w:szCs w:val="16"/>
              </w:rPr>
              <w:t xml:space="preserve">Résumé IA des courriers</w:t>
            </w:r>
          </w:p>
        </w:tc>
        <w:tc>
          <w:tcPr>
            <w:tcW w:type="dxa" w:w="253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Sauvegarder le résumé IA</w:t>
            </w:r>
          </w:p>
        </w:tc>
        <w:tc>
          <w:tcPr>
            <w:tcW w:type="dxa" w:w="216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0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Vérifier la persistance du résumé en base</w:t>
            </w:r>
          </w:p>
        </w:tc>
      </w:tr>
    </w:tbl>
    <w:p>
      <w:r>
        <w:t xml:space="preserve"/>
      </w:r>
    </w:p>
    <w:p>
      <w:pPr>
        <w:pStyle w:val="Heading2"/>
        <w:spacing w:before="300" w:after="12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Association IA thésaurus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1"/>
        <w:gridCol w:w="2531"/>
        <w:gridCol w:w="2169"/>
        <w:gridCol w:w="3109"/>
      </w:tblGrid>
      <w:tr>
        <w:trPr>
          <w:tblHeader/>
          <w:trHeight w:val="400" w:hRule="atLeast"/>
        </w:trPr>
        <w:tc>
          <w:tcPr>
            <w:tcW w:type="dxa" w:w="1591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Sous-menu</w:t>
            </w:r>
          </w:p>
        </w:tc>
        <w:tc>
          <w:tcPr>
            <w:tcW w:type="dxa" w:w="2531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 à tester</w:t>
            </w:r>
          </w:p>
        </w:tc>
        <w:tc>
          <w:tcPr>
            <w:tcW w:type="dxa" w:w="2169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3109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Recommandation</w:t>
            </w:r>
          </w:p>
        </w:tc>
      </w:tr>
      <w:tr>
        <w:tc>
          <w:tcPr>
            <w:tcW w:type="dxa" w:w="159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04040"/>
                <w:sz w:val="16"/>
                <w:szCs w:val="16"/>
              </w:rPr>
              <w:t xml:space="preserve">Association IA thésaurus</w:t>
            </w:r>
          </w:p>
        </w:tc>
        <w:tc>
          <w:tcPr>
            <w:tcW w:type="dxa" w:w="253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Association automatique de concepts</w:t>
            </w:r>
          </w:p>
        </w:tc>
        <w:tc>
          <w:tcPr>
            <w:tcW w:type="dxa" w:w="216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0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Vérifier l'association IA des concepts aux documents</w:t>
            </w:r>
          </w:p>
        </w:tc>
      </w:tr>
    </w:tbl>
    <w:p>
      <w:r>
        <w:t xml:space="preserve"/>
      </w:r>
    </w:p>
    <w:p>
      <w:pPr>
        <w:pStyle w:val="Heading2"/>
        <w:spacing w:before="300" w:after="12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Prompts IA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1"/>
        <w:gridCol w:w="2531"/>
        <w:gridCol w:w="2169"/>
        <w:gridCol w:w="3109"/>
      </w:tblGrid>
      <w:tr>
        <w:trPr>
          <w:tblHeader/>
          <w:trHeight w:val="400" w:hRule="atLeast"/>
        </w:trPr>
        <w:tc>
          <w:tcPr>
            <w:tcW w:type="dxa" w:w="1591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Sous-menu</w:t>
            </w:r>
          </w:p>
        </w:tc>
        <w:tc>
          <w:tcPr>
            <w:tcW w:type="dxa" w:w="2531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 à tester</w:t>
            </w:r>
          </w:p>
        </w:tc>
        <w:tc>
          <w:tcPr>
            <w:tcW w:type="dxa" w:w="2169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3109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Recommandation</w:t>
            </w:r>
          </w:p>
        </w:tc>
      </w:tr>
      <w:tr>
        <w:tc>
          <w:tcPr>
            <w:tcW w:type="dxa" w:w="159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04040"/>
                <w:sz w:val="16"/>
                <w:szCs w:val="16"/>
              </w:rPr>
              <w:t xml:space="preserve">Prompts IA</w:t>
            </w:r>
          </w:p>
        </w:tc>
        <w:tc>
          <w:tcPr>
            <w:tcW w:type="dxa" w:w="253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Lister les prompts</w:t>
            </w:r>
          </w:p>
        </w:tc>
        <w:tc>
          <w:tcPr>
            <w:tcW w:type="dxa" w:w="216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0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Vérifier la gestion des prompts système</w:t>
            </w:r>
          </w:p>
        </w:tc>
      </w:tr>
      <w:tr>
        <w:tc>
          <w:tcPr>
            <w:tcW w:type="dxa" w:w="159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04040"/>
                <w:sz w:val="16"/>
                <w:szCs w:val="16"/>
              </w:rPr>
              <w:t xml:space="preserve">Prompts IA</w:t>
            </w:r>
          </w:p>
        </w:tc>
        <w:tc>
          <w:tcPr>
            <w:tcW w:type="dxa" w:w="2531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CRUD prompt</w:t>
            </w:r>
          </w:p>
        </w:tc>
        <w:tc>
          <w:tcPr>
            <w:tcW w:type="dxa" w:w="216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09"/>
            <w:tcBorders>
              <w:top w:val="single" w:color="B4C6E7" w:sz="6"/>
              <w:left w:val="single" w:color="B4C6E7" w:sz="6"/>
              <w:bottom w:val="single" w:color="B4C6E7" w:sz="6"/>
              <w:right w:val="single" w:color="B4C6E7" w:sz="6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Vérifier la création, modification, suppression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2"/>
        <w:spacing w:before="300" w:after="12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Instructions &amp; Légende</w:t>
      </w:r>
    </w:p>
    <w:p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1. Exécuter chaque action décrite dans la colonne « Action à tester ».</w:t>
      </w:r>
    </w:p>
    <w:p>
      <w:pPr>
        <w:spacing w:after="100"/>
        <w:jc w:val="left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2. Noter dans la colonne « Observation » le résultat (OK, KO, ou commentaire).</w:t>
      </w:r>
    </w:p>
    <w:p>
      <w:pPr>
        <w:spacing w:after="100"/>
        <w:jc w:val="left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3. Si l'action échoue, décrire précisément le comportement observé.</w:t>
      </w:r>
    </w:p>
    <w:p>
      <w:pPr>
        <w:spacing w:after="100"/>
        <w:jc w:val="left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4. Consulter la colonne « Recommandation » pour les points de vérification spécifiques.</w:t>
      </w:r>
    </w:p>
    <w:p>
      <w:pPr>
        <w:spacing w:after="100"/>
        <w:jc w:val="left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5. Signaler tout comportement inattendu même s'il n'est pas dans les recommandations.</w:t>
      </w:r>
    </w:p>
    <w:p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404040"/>
          <w:sz w:val="22"/>
          <w:szCs w:val="22"/>
        </w:rPr>
        <w:t xml:space="preserve">Légende :</w:t>
      </w:r>
    </w:p>
    <w:p>
      <w:pPr>
        <w:spacing w:after="100"/>
        <w:jc w:val="left"/>
      </w:pPr>
      <w:r>
        <w:rPr>
          <w:rFonts w:ascii="Calibri" w:cs="Calibri" w:eastAsia="Calibri" w:hAnsi="Calibri"/>
          <w:color w:val="008000"/>
          <w:sz w:val="20"/>
          <w:szCs w:val="20"/>
        </w:rPr>
        <w:t xml:space="preserve">• OK : Le test est passé avec succès</w:t>
      </w:r>
    </w:p>
    <w:p>
      <w:pPr>
        <w:spacing w:after="100"/>
        <w:jc w:val="left"/>
      </w:pPr>
      <w:r>
        <w:rPr>
          <w:rFonts w:ascii="Calibri" w:cs="Calibri" w:eastAsia="Calibri" w:hAnsi="Calibri"/>
          <w:color w:val="CC0000"/>
          <w:sz w:val="20"/>
          <w:szCs w:val="20"/>
        </w:rPr>
        <w:t xml:space="preserve">• KO : Le test a échoué</w:t>
      </w:r>
    </w:p>
    <w:p>
      <w:pPr>
        <w:spacing w:after="100"/>
        <w:jc w:val="left"/>
      </w:pPr>
      <w:r>
        <w:rPr>
          <w:rFonts w:ascii="Calibri" w:cs="Calibri" w:eastAsia="Calibri" w:hAnsi="Calibri"/>
          <w:color w:val="808080"/>
          <w:sz w:val="20"/>
          <w:szCs w:val="20"/>
        </w:rPr>
        <w:t xml:space="preserve">• N/A : Non applicable dans le contexte de test</w:t>
      </w:r>
    </w:p>
    <w:p>
      <w:pPr>
        <w:spacing w:after="100"/>
        <w:jc w:val="left"/>
      </w:pPr>
      <w:r>
        <w:rPr>
          <w:rFonts w:ascii="Calibri" w:cs="Calibri" w:eastAsia="Calibri" w:hAnsi="Calibri"/>
          <w:color w:val="FF8C00"/>
          <w:sz w:val="20"/>
          <w:szCs w:val="20"/>
        </w:rPr>
        <w:t xml:space="preserve">• PARTIEL : Le test est partiellement réussi, à détailler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2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Calibri" w:cs="Calibri" w:eastAsia="Calibri" w:hAnsi="Calibr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2026-02-24T20:48:33.196Z</dcterms:created>
  <dcterms:modified xsi:type="dcterms:W3CDTF">2026-02-24T20:48:33.196Z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