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A5F"/>
          <w:sz w:val="80"/>
        </w:rPr>
        <w:t>Finnid HIS</w:t>
      </w:r>
    </w:p>
    <w:p>
      <w:pPr>
        <w:jc w:val="center"/>
      </w:pPr>
      <w:r>
        <w:rPr>
          <w:color w:val="2B6CB2"/>
          <w:sz w:val="36"/>
        </w:rPr>
        <w:t>Hospital Information System — ERP</w:t>
      </w:r>
    </w:p>
    <w:p>
      <w:pPr>
        <w:jc w:val="center"/>
      </w:pPr>
      <w:r>
        <w:rPr>
          <w:i/>
          <w:color w:val="555555"/>
          <w:sz w:val="24"/>
        </w:rPr>
        <w:t>Multi-Tenant SaaS Platform for Hospitals</w:t>
      </w:r>
    </w:p>
    <w:p/>
    <w:p>
      <w:pPr>
        <w:jc w:val="center"/>
      </w:pPr>
      <w:r>
        <w:rPr>
          <w:b/>
          <w:sz w:val="32"/>
        </w:rPr>
        <w:t>Complete End-to-End Process Guide</w:t>
      </w:r>
    </w:p>
    <w:p>
      <w:pPr>
        <w:jc w:val="center"/>
      </w:pPr>
      <w:r>
        <w:rPr>
          <w:color w:val="555555"/>
          <w:sz w:val="22"/>
        </w:rPr>
        <w:t>From Project Start  →  New Hospital Onboarding  →  Patient Journey  →  Billing  →  Discharge</w:t>
      </w:r>
    </w:p>
    <w:p/>
    <w:p/>
    <w:p/>
    <w:p/>
    <w:p/>
    <w:p/>
    <w:p>
      <w:pPr>
        <w:jc w:val="center"/>
      </w:pPr>
      <w:r>
        <w:rPr>
          <w:b/>
          <w:sz w:val="24"/>
        </w:rPr>
        <w:t>Demo Presentation</w:t>
      </w:r>
    </w:p>
    <w:p>
      <w:pPr>
        <w:jc w:val="center"/>
      </w:pPr>
      <w:r>
        <w:rPr>
          <w:color w:val="555555"/>
          <w:sz w:val="20"/>
        </w:rPr>
        <w:t>Prepared: 01 July 2026</w:t>
      </w:r>
    </w:p>
    <w:p>
      <w:r>
        <w:br w:type="page"/>
      </w:r>
    </w:p>
    <w:p>
      <w:pPr>
        <w:pStyle w:val="Heading1"/>
      </w:pPr>
      <w:r>
        <w:rPr>
          <w:color w:val="1F3A5F"/>
        </w:rPr>
        <w:t>Contents</w:t>
      </w:r>
    </w:p>
    <w:p>
      <w:pPr>
        <w:pStyle w:val="ListBullet"/>
      </w:pPr>
      <w:r>
        <w:t>1.  Project Overview — what Finnid HIS is</w:t>
      </w:r>
    </w:p>
    <w:p>
      <w:pPr>
        <w:pStyle w:val="ListBullet"/>
      </w:pPr>
      <w:r>
        <w:t>2.  Architecture at a Glance</w:t>
      </w:r>
    </w:p>
    <w:p>
      <w:pPr>
        <w:pStyle w:val="ListBullet"/>
      </w:pPr>
      <w:r>
        <w:t>3.  Part A — Start the Project (run &amp; sign in)</w:t>
      </w:r>
    </w:p>
    <w:p>
      <w:pPr>
        <w:pStyle w:val="ListBullet"/>
      </w:pPr>
      <w:r>
        <w:t>4.  Part B — Add a NEW Hospital (onboarding)</w:t>
      </w:r>
    </w:p>
    <w:p>
      <w:pPr>
        <w:pStyle w:val="ListBullet"/>
      </w:pPr>
      <w:r>
        <w:t>5.  Part C — Configure the Hospital (users, roles, modules)</w:t>
      </w:r>
    </w:p>
    <w:p>
      <w:pPr>
        <w:pStyle w:val="ListBullet"/>
      </w:pPr>
      <w:r>
        <w:t>6.  Part D — End-to-End Patient Journey → Billing</w:t>
      </w:r>
    </w:p>
    <w:p>
      <w:pPr>
        <w:pStyle w:val="ListBullet"/>
      </w:pPr>
      <w:r>
        <w:t>7.  Part E — Real-time &amp; Smart Features</w:t>
      </w:r>
    </w:p>
    <w:p>
      <w:pPr>
        <w:pStyle w:val="ListBullet"/>
      </w:pPr>
      <w:r>
        <w:t>8.  Part F — Compliance, Audit &amp; Security</w:t>
      </w:r>
    </w:p>
    <w:p>
      <w:pPr>
        <w:pStyle w:val="ListBullet"/>
      </w:pPr>
      <w:r>
        <w:t>9.  Part G — Year-End (Fiscal-Year Shift) &amp; Decommission</w:t>
      </w:r>
    </w:p>
    <w:p>
      <w:pPr>
        <w:pStyle w:val="ListBullet"/>
      </w:pPr>
      <w:r>
        <w:t>10. Suggested Live Demo Flow (15 minutes)</w:t>
      </w:r>
    </w:p>
    <w:p>
      <w:pPr>
        <w:pStyle w:val="ListBullet"/>
      </w:pPr>
      <w:r>
        <w:t>11. Demo Credentials &amp; URLs (quick reference)</w:t>
      </w:r>
    </w:p>
    <w:p>
      <w:pPr>
        <w:pStyle w:val="ListBullet"/>
      </w:pPr>
      <w:r>
        <w:t>12. Quality &amp; Verification (CI + tests)</w:t>
      </w:r>
    </w:p>
    <w:p>
      <w:pPr>
        <w:pStyle w:val="ListBullet"/>
      </w:pPr>
      <w:r>
        <w:t>13. Status — Live vs Pending</w:t>
      </w:r>
    </w:p>
    <w:p>
      <w:r>
        <w:br w:type="page"/>
      </w:r>
    </w:p>
    <w:p>
      <w:pPr>
        <w:pStyle w:val="Heading1"/>
      </w:pPr>
      <w:r>
        <w:rPr>
          <w:color w:val="1F3A5F"/>
        </w:rPr>
        <w:t>1.  Project Overview</w:t>
      </w:r>
    </w:p>
    <w:p>
      <w:pPr>
        <w:spacing w:after="120"/>
      </w:pPr>
      <w:r>
        <w:rPr>
          <w:b w:val="0"/>
          <w:i w:val="0"/>
          <w:sz w:val="21"/>
        </w:rPr>
        <w:t>Finnid HIS is a multi-tenant SaaS Hospital ERP. One running platform serves many hospitals; each hospital (a “tenant”) gets its own databases, its own fiscal-year financial data, its own web domain, and role-scoped logins — all provisioned automatically in seconds, with zero manual database work.</w:t>
      </w:r>
    </w:p>
    <w:p>
      <w:pPr>
        <w:spacing w:after="40"/>
      </w:pPr>
      <w:r>
        <w:rPr>
          <w:b/>
          <w:i w:val="0"/>
          <w:sz w:val="21"/>
        </w:rPr>
        <w:t>Key idea in one line:</w:t>
      </w:r>
    </w:p>
    <w:p>
      <w:pPr>
        <w:pStyle w:val="ListBullet"/>
      </w:pPr>
      <w:r>
        <w:t>Add a hospital in ~2 seconds; it instantly has patient registration, clinical records, diagnostics, pharmacy, billing, insurance/scheme claims, HR/payroll, real-time boards, AI assists and statutory compliance — all isolated from every other hospital.</w:t>
      </w:r>
    </w:p>
    <w:p>
      <w:pPr>
        <w:spacing w:after="40"/>
      </w:pPr>
      <w:r>
        <w:rPr>
          <w:b/>
          <w:i w:val="0"/>
          <w:sz w:val="21"/>
        </w:rPr>
        <w:t>Who uses it: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shd w:val="clear" w:fill="2B6CB2"/>
          </w:tcPr>
          <w:p>
            <w:r/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880"/>
            <w:shd w:val="clear" w:fill="2B6CB2"/>
          </w:tcPr>
          <w:p>
            <w:r/>
            <w:r>
              <w:rPr>
                <w:b/>
                <w:color w:val="FFFFFF"/>
                <w:sz w:val="19"/>
              </w:rPr>
              <w:t>Who</w:t>
            </w:r>
          </w:p>
        </w:tc>
        <w:tc>
          <w:tcPr>
            <w:tcW w:type="dxa" w:w="5040"/>
            <w:shd w:val="clear" w:fill="2B6CB2"/>
          </w:tcPr>
          <w:p>
            <w:r/>
            <w:r>
              <w:rPr>
                <w:b/>
                <w:color w:val="FFFFFF"/>
                <w:sz w:val="19"/>
              </w:rPr>
              <w:t>What they do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Superadmin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Platform owner (you)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Onboards hospitals, manages modules/roles, runs year-shifts. Belongs to NO hospital.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Tenant Admin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 hospital's own admin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Manages that hospital's staff logins (create/edit/roles/reset). Scoped to its own hospital only.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Hospital Staff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Doctors, nurses, billing, pharmacy…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Do daily work; the menu shows only what their role is granted.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1F3A5F"/>
        </w:rPr>
        <w:t>2.  Architecture at a Glance</w:t>
      </w:r>
    </w:p>
    <w:p>
      <w:pPr>
        <w:spacing w:after="40"/>
      </w:pPr>
      <w:r>
        <w:rPr>
          <w:b/>
          <w:i w:val="0"/>
          <w:sz w:val="21"/>
        </w:rPr>
        <w:t>Three database planes per platform — the heart of the design: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shd w:val="clear" w:fill="2B6CB2"/>
          </w:tcPr>
          <w:p>
            <w:r/>
            <w:r>
              <w:rPr>
                <w:b/>
                <w:color w:val="FFFFFF"/>
                <w:sz w:val="19"/>
              </w:rPr>
              <w:t>Plane</w:t>
            </w:r>
          </w:p>
        </w:tc>
        <w:tc>
          <w:tcPr>
            <w:tcW w:type="dxa" w:w="3168"/>
            <w:shd w:val="clear" w:fill="2B6CB2"/>
          </w:tcPr>
          <w:p>
            <w:r/>
            <w:r>
              <w:rPr>
                <w:b/>
                <w:color w:val="FFFFFF"/>
                <w:sz w:val="19"/>
              </w:rPr>
              <w:t>Database</w:t>
            </w:r>
          </w:p>
        </w:tc>
        <w:tc>
          <w:tcPr>
            <w:tcW w:type="dxa" w:w="4752"/>
            <w:shd w:val="clear" w:fill="2B6CB2"/>
          </w:tcPr>
          <w:p>
            <w:r/>
            <w:r>
              <w:rPr>
                <w:b/>
                <w:color w:val="FFFFFF"/>
                <w:sz w:val="19"/>
              </w:rPr>
              <w:t>Holds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Control plane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HIS_Platform (one, shared)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List of tenants, fiscal years, domains, RBAC, billing, audit.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Longitudinal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{CODE}_Master (per hospital)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Patients, clinical history, doctors, wards/beds, masters. Never splits — history stays continuous across years.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Financial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{CODE}_FY{YYYY-YY} (per year)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Bills, payments, claims, pharmacy, payroll, diagnostics — one DB per fiscal year.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color w:val="555555"/>
          <w:sz w:val="21"/>
        </w:rPr>
        <w:t>Why two DBs per hospital: clinical history must stay continuous (it never splits), while money (bills/claims/payroll) is fiscal-year-scoped. So patient/clinical → _Master, financial → _FY{year}.</w:t>
      </w:r>
    </w:p>
    <w:p>
      <w:pPr>
        <w:spacing w:after="40"/>
      </w:pPr>
      <w:r>
        <w:rPr>
          <w:b/>
          <w:i w:val="0"/>
          <w:sz w:val="21"/>
        </w:rPr>
        <w:t>Technology stack: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fill="2B6CB2"/>
          </w:tcPr>
          <w:p>
            <w:r/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7488"/>
            <w:shd w:val="clear" w:fill="2B6CB2"/>
          </w:tcPr>
          <w:p>
            <w:r/>
            <w:r>
              <w:rPr>
                <w:b/>
                <w:color w:val="FFFFFF"/>
                <w:sz w:val="19"/>
              </w:rPr>
              <w:t>Technology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Backend</w:t>
            </w:r>
          </w:p>
        </w:tc>
        <w:tc>
          <w:tcPr>
            <w:tcW w:type="dxa" w:w="7488"/>
          </w:tcPr>
          <w:p>
            <w:r/>
            <w:r>
              <w:rPr>
                <w:sz w:val="19"/>
              </w:rPr>
              <w:t>ASP.NET Core (.NET 9), CQRS + MediatR, Dapper, FluentValidation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Security</w:t>
            </w:r>
          </w:p>
        </w:tc>
        <w:tc>
          <w:tcPr>
            <w:tcW w:type="dxa" w:w="7488"/>
          </w:tcPr>
          <w:p>
            <w:r/>
            <w:r>
              <w:rPr>
                <w:sz w:val="19"/>
              </w:rPr>
              <w:t>JWT auth, PBKDF2 password hashing, MFA/TOTP, AES-256-GCM field encryption at rest, RBAC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Real-time</w:t>
            </w:r>
          </w:p>
        </w:tc>
        <w:tc>
          <w:tcPr>
            <w:tcW w:type="dxa" w:w="7488"/>
          </w:tcPr>
          <w:p>
            <w:r/>
            <w:r>
              <w:rPr>
                <w:sz w:val="19"/>
              </w:rPr>
              <w:t>SignalR hubs (queue board, emergency alerts, ambulance GPS) — isolated per tenant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Interop / AI</w:t>
            </w:r>
          </w:p>
        </w:tc>
        <w:tc>
          <w:tcPr>
            <w:tcW w:type="dxa" w:w="7488"/>
          </w:tcPr>
          <w:p>
            <w:r/>
            <w:r>
              <w:rPr>
                <w:sz w:val="19"/>
              </w:rPr>
              <w:t>FHIR R4 export; transparent rule-based AI (risk, forecast, claim pre-scrub)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Data</w:t>
            </w:r>
          </w:p>
        </w:tc>
        <w:tc>
          <w:tcPr>
            <w:tcW w:type="dxa" w:w="7488"/>
          </w:tcPr>
          <w:p>
            <w:r/>
            <w:r>
              <w:rPr>
                <w:sz w:val="19"/>
              </w:rPr>
              <w:t>MS SQL Server (LocalDB in dev, Azure SQL in prod); routing via platform.DbCatalog + host→tenant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DevOps</w:t>
            </w:r>
          </w:p>
        </w:tc>
        <w:tc>
          <w:tcPr>
            <w:tcW w:type="dxa" w:w="7488"/>
          </w:tcPr>
          <w:p>
            <w:r/>
            <w:r>
              <w:rPr>
                <w:sz w:val="19"/>
              </w:rPr>
              <w:t>GitHub Actions CI (build + functional smoke), Docker, Azure Container Apps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1F3A5F"/>
        </w:rPr>
        <w:t>3.  Part A — Start the Project (run &amp; sign in)</w:t>
      </w:r>
    </w:p>
    <w:p>
      <w:pPr>
        <w:spacing w:after="40"/>
      </w:pPr>
      <w:r>
        <w:rPr>
          <w:b/>
          <w:i w:val="0"/>
          <w:sz w:val="21"/>
        </w:rPr>
        <w:t>One-time platform setup (developer / first run):</w:t>
      </w:r>
    </w:p>
    <w:p>
      <w:r>
        <w:rPr>
          <w:b/>
          <w:color w:val="2B6CB2"/>
        </w:rPr>
        <w:t>1.  Prerequisites</w:t>
      </w:r>
    </w:p>
    <w:p>
      <w:pPr>
        <w:spacing w:after="120"/>
        <w:ind w:left="432"/>
      </w:pPr>
      <w:r>
        <w:t>.NET 9 SDK, MS SQL (LocalDB or a server), sqlcmd, Node 18+ (for tests).</w:t>
      </w:r>
    </w:p>
    <w:p>
      <w:r>
        <w:rPr>
          <w:b/>
          <w:color w:val="2B6CB2"/>
        </w:rPr>
        <w:t>2.  Create the control-plane database + seed it</w:t>
      </w:r>
    </w:p>
    <w:p>
      <w:pPr>
        <w:spacing w:after="120"/>
        <w:ind w:left="432"/>
      </w:pPr>
      <w:r>
        <w:t>Run the platform migrations — this creates HIS_Platform (the control plane).</w:t>
      </w:r>
    </w:p>
    <w:p>
      <w:r>
        <w:rPr>
          <w:b/>
          <w:color w:val="2B6CB2"/>
        </w:rPr>
        <w:t>3.  Run the API (it also serves the web UI)</w:t>
      </w:r>
    </w:p>
    <w:p>
      <w:pPr>
        <w:spacing w:after="120"/>
        <w:ind w:left="432"/>
      </w:pPr>
      <w:r>
        <w:t>dotnet run --project src/HIS.Api  →  open the printed URL, e.g. http://localhost:5142. On first boot the app auto-creates the superadmin and a demo DEV tenant.</w:t>
      </w:r>
    </w:p>
    <w:p>
      <w:r>
        <w:rPr>
          <w:b/>
          <w:color w:val="2B6CB2"/>
        </w:rPr>
        <w:t>4.  Sign in as Superadmin</w:t>
      </w:r>
    </w:p>
    <w:p>
      <w:pPr>
        <w:spacing w:after="120"/>
        <w:ind w:left="432"/>
      </w:pPr>
      <w:r>
        <w:t>Go to the login page and sign in with the superadmin credentials (see §11). The title bar shows a “Platform Admin” link → opens the console.</w:t>
      </w:r>
    </w:p>
    <w:p>
      <w:pPr>
        <w:spacing w:after="120"/>
      </w:pPr>
      <w:r>
        <w:rPr>
          <w:b w:val="0"/>
          <w:i/>
          <w:color w:val="555555"/>
          <w:sz w:val="21"/>
        </w:rPr>
        <w:t>What you see after login: a landing page, the clinical Workspace (left sidebar of modules scoped to your role), and — for the superadmin — the Platform Admin console.</w:t>
      </w:r>
    </w:p>
    <w:p>
      <w:pPr>
        <w:pStyle w:val="Heading1"/>
      </w:pPr>
      <w:r>
        <w:rPr>
          <w:color w:val="1F3A5F"/>
        </w:rPr>
        <w:t>4.  Part B — Add a NEW Hospital (Onboarding)</w:t>
      </w:r>
    </w:p>
    <w:p>
      <w:pPr>
        <w:spacing w:after="120"/>
      </w:pPr>
      <w:r>
        <w:rPr>
          <w:b/>
          <w:i w:val="0"/>
          <w:color w:val="1E7E34"/>
          <w:sz w:val="21"/>
        </w:rPr>
        <w:t>Done by the Superadmin, in the browser, in ~2 seconds, with zero manual DB work.</w:t>
      </w:r>
    </w:p>
    <w:p>
      <w:pPr>
        <w:spacing w:after="40"/>
      </w:pPr>
      <w:r>
        <w:rPr>
          <w:b/>
          <w:i w:val="0"/>
          <w:sz w:val="21"/>
        </w:rPr>
        <w:t>Steps:</w:t>
      </w:r>
    </w:p>
    <w:p>
      <w:r>
        <w:rPr>
          <w:b/>
          <w:color w:val="2B6CB2"/>
        </w:rPr>
        <w:t>1.  Open the wizard</w:t>
      </w:r>
    </w:p>
    <w:p>
      <w:pPr>
        <w:spacing w:after="120"/>
        <w:ind w:left="432"/>
      </w:pPr>
      <w:r>
        <w:t>Platform Admin → Onboard hospital.</w:t>
      </w:r>
    </w:p>
    <w:p>
      <w:r>
        <w:rPr>
          <w:b/>
          <w:color w:val="2B6CB2"/>
        </w:rPr>
        <w:t>2.  Fill the form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fill="2B6CB2"/>
          </w:tcPr>
          <w:p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2880"/>
            <w:shd w:val="clear" w:fill="2B6CB2"/>
          </w:tcPr>
          <w:p>
            <w:r/>
            <w:r>
              <w:rPr>
                <w:b/>
                <w:color w:val="FFFFFF"/>
                <w:sz w:val="19"/>
              </w:rPr>
              <w:t>Example</w:t>
            </w:r>
          </w:p>
        </w:tc>
        <w:tc>
          <w:tcPr>
            <w:tcW w:type="dxa" w:w="4608"/>
            <w:shd w:val="clear" w:fill="2B6CB2"/>
          </w:tcPr>
          <w:p>
            <w:r/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Tenant code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ACME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Short id (letters/digits/-). Becomes the DB-name prefix.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Hospital name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ACME Multispeciality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Display name.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Fiscal year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FY 2026-27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Indian FY (Apr→Mar) by default; configurable.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Primary domain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acme.hospital.in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The hospital's own URL.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Common-domain alias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acme.app.finnid.in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(Optional) shared-domain access.</w:t>
            </w:r>
          </w:p>
        </w:tc>
      </w:tr>
    </w:tbl>
    <w:p>
      <w:pPr>
        <w:spacing w:after="40"/>
      </w:pPr>
    </w:p>
    <w:p>
      <w:r>
        <w:rPr>
          <w:b/>
          <w:color w:val="2B6CB2"/>
        </w:rPr>
        <w:t>3.  Click “Provision &amp; onboard”</w:t>
      </w:r>
    </w:p>
    <w:p>
      <w:pPr>
        <w:spacing w:after="40"/>
      </w:pPr>
      <w:r>
        <w:rPr>
          <w:b/>
          <w:i w:val="0"/>
          <w:sz w:val="21"/>
        </w:rPr>
        <w:t>What happens automatically (POST /api/platform/tenants/onboard) — verified end-to-end:</w:t>
      </w:r>
    </w:p>
    <w:p>
      <w:pPr>
        <w:pStyle w:val="ListBullet"/>
      </w:pPr>
      <w:r>
        <w:rPr>
          <w:b/>
        </w:rPr>
        <w:t xml:space="preserve">Step 1: </w:t>
      </w:r>
      <w:r>
        <w:t>Provisions the databases first: creates {CODE}_Master and {CODE}_FY{YYYY-YY}, applies the schema-split templates, seeds reference masters.</w:t>
      </w:r>
    </w:p>
    <w:p>
      <w:pPr>
        <w:pStyle w:val="ListBullet"/>
      </w:pPr>
      <w:r>
        <w:rPr>
          <w:b/>
        </w:rPr>
        <w:t xml:space="preserve">Step 2: </w:t>
      </w:r>
      <w:r>
        <w:t>Registers the tenant, the fiscal year (start/end), and the domains (primary + common) for request routing.</w:t>
      </w:r>
    </w:p>
    <w:p>
      <w:pPr>
        <w:pStyle w:val="ListBullet"/>
      </w:pPr>
      <w:r>
        <w:rPr>
          <w:b/>
        </w:rPr>
        <w:t xml:space="preserve">Step 3: </w:t>
      </w:r>
      <w:r>
        <w:t>Registers the DBs in platform.DbCatalog (the routing source of truth).</w:t>
      </w:r>
    </w:p>
    <w:p>
      <w:pPr>
        <w:pStyle w:val="ListBullet"/>
      </w:pPr>
      <w:r>
        <w:rPr>
          <w:b/>
        </w:rPr>
        <w:t xml:space="preserve">Step 4: </w:t>
      </w:r>
      <w:r>
        <w:t>Enables all modules for that tenant × fiscal year.</w:t>
      </w:r>
    </w:p>
    <w:p>
      <w:pPr>
        <w:pStyle w:val="ListBullet"/>
      </w:pPr>
      <w:r>
        <w:rPr>
          <w:b/>
        </w:rPr>
        <w:t xml:space="preserve">Step 5: </w:t>
      </w:r>
      <w:r>
        <w:t>Writes billing: a per-FY Subscription + a ledger charge.</w:t>
      </w:r>
    </w:p>
    <w:p>
      <w:pPr>
        <w:pStyle w:val="ListBullet"/>
      </w:pPr>
      <w:r>
        <w:rPr>
          <w:b/>
        </w:rPr>
        <w:t xml:space="preserve">Step 6: </w:t>
      </w:r>
      <w:r>
        <w:t>Audits the action. If any step fails, it rolls back — no orphan tenant/DBs.</w:t>
      </w:r>
    </w:p>
    <w:p>
      <w:pPr>
        <w:spacing w:after="120"/>
      </w:pPr>
      <w:r>
        <w:rPr>
          <w:b w:val="0"/>
          <w:i/>
          <w:color w:val="555555"/>
          <w:sz w:val="21"/>
        </w:rPr>
        <w:t>Verify: the Tenants table lists the hospital with its {CODE}_Master + {CODE}_FY… databases; both exist in SQL Server with the schema split (master, patient, clinical, billing, insurance…).</w:t>
      </w:r>
    </w:p>
    <w:p>
      <w:pPr>
        <w:pStyle w:val="Heading1"/>
      </w:pPr>
      <w:r>
        <w:rPr>
          <w:color w:val="1F3A5F"/>
        </w:rPr>
        <w:t>5.  Part C — Configure the Hospital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  <w:shd w:val="clear" w:fill="2B6CB2"/>
          </w:tcPr>
          <w:p>
            <w:r/>
            <w:r>
              <w:rPr>
                <w:b/>
                <w:color w:val="FFFFFF"/>
                <w:sz w:val="19"/>
              </w:rPr>
              <w:t>Task</w:t>
            </w:r>
          </w:p>
        </w:tc>
        <w:tc>
          <w:tcPr>
            <w:tcW w:type="dxa" w:w="6048"/>
            <w:shd w:val="clear" w:fill="2B6CB2"/>
          </w:tcPr>
          <w:p>
            <w:r/>
            <w:r>
              <w:rPr>
                <w:b/>
                <w:color w:val="FFFFFF"/>
                <w:sz w:val="19"/>
              </w:rPr>
              <w:t>How</w:t>
            </w:r>
          </w:p>
        </w:tc>
        <w:tc>
          <w:tcPr>
            <w:tcW w:type="dxa" w:w="1008"/>
            <w:shd w:val="clear" w:fill="2B6CB2"/>
          </w:tcPr>
          <w:p>
            <w:r/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Create the hospital's login users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Platform Admin → Users: create (tenant + id + password + name + role); per-user Edit, Change role, Reset password, Deactivate/Activate. Each user is bound to its tenant and can log in only to that hospital.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Live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Tenant-admin self-service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A hospital's own admin sees a “Manage Users” link — the same Users screen, locked to its own tenant (enforced server-side from the JWT).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Live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Assign modules/pages to roles (RBAC)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Platform Admin → Modules &amp; Roles → grant module / page / action to a role. The sidebar + APIs scope to these grants.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Live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Enable/disable a module per fiscal year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Platform Admin → Entitlements → toggle a module for tenant × FY.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Live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Point the domain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DNS: point acme.hospital.in at the app. The platform resolves host → tenant automatically.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Ops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1F3A5F"/>
        </w:rPr>
        <w:t>6.  Part D — End-to-End Patient Journey → Billing</w:t>
      </w:r>
    </w:p>
    <w:p>
      <w:pPr>
        <w:spacing w:after="120"/>
      </w:pPr>
      <w:r>
        <w:rPr>
          <w:b w:val="0"/>
          <w:i/>
          <w:color w:val="555555"/>
          <w:sz w:val="21"/>
        </w:rPr>
        <w:t>This is the core demo flow. A hospital staff member signs into the hospital's domain; the platform resolves host → correct tenant + current fiscal year. Every write below is audited, tenant-scoped, and fiscal-year-numbered.</w:t>
      </w:r>
    </w:p>
    <w:p>
      <w:pPr>
        <w:pStyle w:val="Heading2"/>
      </w:pPr>
      <w:r>
        <w:rPr>
          <w:color w:val="1F3A5F"/>
        </w:rPr>
        <w:t>6.1  Front office — Registration &amp; Appointment</w:t>
      </w:r>
    </w:p>
    <w:p>
      <w:r>
        <w:rPr>
          <w:b/>
          <w:color w:val="2B6CB2"/>
        </w:rPr>
        <w:t>1.  Register patient → UHID</w:t>
      </w:r>
    </w:p>
    <w:p>
      <w:pPr>
        <w:spacing w:after="120"/>
        <w:ind w:left="432"/>
      </w:pPr>
      <w:r>
        <w:t>Module: Patient Registration. Enter name/age/sex/mobile → the system issues a unique UHID, e.g. BR1-2026-331282.</w:t>
      </w:r>
    </w:p>
    <w:p>
      <w:r>
        <w:rPr>
          <w:b/>
          <w:color w:val="2B6CB2"/>
        </w:rPr>
        <w:t>2.  Book appointment / token</w:t>
      </w:r>
    </w:p>
    <w:p>
      <w:pPr>
        <w:spacing w:after="120"/>
        <w:ind w:left="432"/>
      </w:pPr>
      <w:r>
        <w:t>Module: Appointments. Pick doctor + slot → a queue token is issued, e.g. T-01.</w:t>
      </w:r>
    </w:p>
    <w:p>
      <w:pPr>
        <w:pStyle w:val="Heading2"/>
      </w:pPr>
      <w:r>
        <w:rPr>
          <w:color w:val="1F3A5F"/>
        </w:rPr>
        <w:t>6.2  Clinical — OPD / IPD</w:t>
      </w:r>
    </w:p>
    <w:p>
      <w:r>
        <w:rPr>
          <w:b/>
          <w:color w:val="2B6CB2"/>
        </w:rPr>
        <w:t>3.  OPD consultation</w:t>
      </w:r>
    </w:p>
    <w:p>
      <w:pPr>
        <w:spacing w:after="120"/>
        <w:ind w:left="432"/>
      </w:pPr>
      <w:r>
        <w:t>Module: OPD. Record diagnosis (ICD-10, e.g. I10 Hypertension), advice, and orders.</w:t>
      </w:r>
    </w:p>
    <w:p>
      <w:r>
        <w:rPr>
          <w:b/>
          <w:color w:val="2B6CB2"/>
        </w:rPr>
        <w:t>4.  IPD admission</w:t>
      </w:r>
    </w:p>
    <w:p>
      <w:pPr>
        <w:spacing w:after="120"/>
        <w:ind w:left="432"/>
      </w:pPr>
      <w:r>
        <w:t>Module: IPD. View the live Bed Board → admit into a free bed → AdmissionNo IPD-FY2026-27-000006; the bed turns Occupied.</w:t>
      </w:r>
    </w:p>
    <w:p>
      <w:r>
        <w:rPr>
          <w:b/>
          <w:color w:val="2B6CB2"/>
        </w:rPr>
        <w:t>5.  Nursing &amp; diet</w:t>
      </w:r>
    </w:p>
    <w:p>
      <w:pPr>
        <w:spacing w:after="120"/>
        <w:ind w:left="432"/>
      </w:pPr>
      <w:r>
        <w:t>Record nursing notes (vitals) and a diet order against the admission.</w:t>
      </w:r>
    </w:p>
    <w:p>
      <w:r>
        <w:rPr>
          <w:b/>
          <w:color w:val="2B6CB2"/>
        </w:rPr>
        <w:t>6.  Discharge → housekeeping</w:t>
      </w:r>
    </w:p>
    <w:p>
      <w:pPr>
        <w:spacing w:after="120"/>
        <w:ind w:left="432"/>
      </w:pPr>
      <w:r>
        <w:t>Discharge frees the bed (→ Cleaning). Housekeeping “Mark ready” returns the bed to the available pool (clean → free) so it recycles for the next patient.</w:t>
      </w:r>
    </w:p>
    <w:p>
      <w:pPr>
        <w:pStyle w:val="Heading2"/>
      </w:pPr>
      <w:r>
        <w:rPr>
          <w:color w:val="1F3A5F"/>
        </w:rPr>
        <w:t>6.3  Diagnostics &amp; Pharmacy</w:t>
      </w:r>
    </w:p>
    <w:p>
      <w:r>
        <w:rPr>
          <w:b/>
          <w:color w:val="2B6CB2"/>
        </w:rPr>
        <w:t>7.  Lab order → results</w:t>
      </w:r>
    </w:p>
    <w:p>
      <w:pPr>
        <w:spacing w:after="120"/>
        <w:ind w:left="432"/>
      </w:pPr>
      <w:r>
        <w:t>Module: Lab. Order investigations → barcode LB-FY2026-27-000007 → enter results.</w:t>
      </w:r>
    </w:p>
    <w:p>
      <w:r>
        <w:rPr>
          <w:b/>
          <w:color w:val="2B6CB2"/>
        </w:rPr>
        <w:t>8.  Radiology / Blood bank</w:t>
      </w:r>
    </w:p>
    <w:p>
      <w:pPr>
        <w:spacing w:after="120"/>
        <w:ind w:left="432"/>
      </w:pPr>
      <w:r>
        <w:t>Raise radiology orders; check blood stock and raise a blood request.</w:t>
      </w:r>
    </w:p>
    <w:p>
      <w:r>
        <w:rPr>
          <w:b/>
          <w:color w:val="2B6CB2"/>
        </w:rPr>
        <w:t>9.  Pharmacy dispense</w:t>
      </w:r>
    </w:p>
    <w:p>
      <w:pPr>
        <w:spacing w:after="120"/>
        <w:ind w:left="432"/>
      </w:pPr>
      <w:r>
        <w:t>Module: Pharmacy. Dispense against the prescription from batch/stock (batch-tracked, FEFO).</w:t>
      </w:r>
    </w:p>
    <w:p>
      <w:pPr>
        <w:pStyle w:val="Heading2"/>
      </w:pPr>
      <w:r>
        <w:rPr>
          <w:color w:val="1F3A5F"/>
        </w:rPr>
        <w:t>6.4  Billing &amp; Payment</w:t>
      </w:r>
    </w:p>
    <w:p>
      <w:r>
        <w:rPr>
          <w:b/>
          <w:color w:val="2B6CB2"/>
        </w:rPr>
        <w:t>10.  Create bill (from tariff master)</w:t>
      </w:r>
    </w:p>
    <w:p>
      <w:pPr>
        <w:spacing w:after="120"/>
        <w:ind w:left="432"/>
      </w:pPr>
      <w:r>
        <w:t>Module: Billing. Add charge lines from the tariff master → Bill BILL-FY2026-27-000008 with computed gross, discount, insurance and net payable.</w:t>
      </w:r>
    </w:p>
    <w:p>
      <w:r>
        <w:rPr>
          <w:b/>
          <w:color w:val="2B6CB2"/>
        </w:rPr>
        <w:t>11.  Collect payment</w:t>
      </w:r>
    </w:p>
    <w:p>
      <w:pPr>
        <w:spacing w:after="120"/>
        <w:ind w:left="432"/>
      </w:pPr>
      <w:r>
        <w:t>Module: Payments. Collect via the configured payment gateway (e.g. Razorpay) → receipt.</w:t>
      </w:r>
    </w:p>
    <w:p>
      <w:pPr>
        <w:pStyle w:val="Heading2"/>
      </w:pPr>
      <w:r>
        <w:rPr>
          <w:color w:val="1F3A5F"/>
        </w:rPr>
        <w:t>6.5  Insurance / Cashless / Government Schemes</w:t>
      </w:r>
    </w:p>
    <w:p>
      <w:r>
        <w:rPr>
          <w:b/>
          <w:color w:val="2B6CB2"/>
        </w:rPr>
        <w:t>12.  Capture policy + eligibility</w:t>
      </w:r>
    </w:p>
    <w:p>
      <w:pPr>
        <w:spacing w:after="120"/>
        <w:ind w:left="432"/>
      </w:pPr>
      <w:r>
        <w:t>Module: Insurance/Cashless. Capture the patient's policy; check eligibility.</w:t>
      </w:r>
    </w:p>
    <w:p>
      <w:r>
        <w:rPr>
          <w:b/>
          <w:color w:val="2B6CB2"/>
        </w:rPr>
        <w:t>13.  Pre-authorisation</w:t>
      </w:r>
    </w:p>
    <w:p>
      <w:pPr>
        <w:spacing w:after="120"/>
        <w:ind w:left="432"/>
      </w:pPr>
      <w:r>
        <w:t>Raise a pre-auth → Claim CL-FY2026-27-000001 (e.g. PreAuth ₹50,000 → Approved ₹40,000).</w:t>
      </w:r>
    </w:p>
    <w:p>
      <w:r>
        <w:rPr>
          <w:b/>
          <w:color w:val="2B6CB2"/>
        </w:rPr>
        <w:t>14.  Claim lifecycle</w:t>
      </w:r>
    </w:p>
    <w:p>
      <w:pPr>
        <w:spacing w:after="120"/>
        <w:ind w:left="432"/>
      </w:pPr>
      <w:r>
        <w:t>The claim moves PreAuth → Approval → Settlement, each stage recorded as an immutable ClaimEvent.</w:t>
      </w:r>
    </w:p>
    <w:p>
      <w:r>
        <w:rPr>
          <w:b/>
          <w:color w:val="2B6CB2"/>
        </w:rPr>
        <w:t>15.  Settlement reconciliation</w:t>
      </w:r>
    </w:p>
    <w:p>
      <w:pPr>
        <w:spacing w:after="120"/>
        <w:ind w:left="432"/>
      </w:pPr>
      <w:r>
        <w:t>On payment, bank UTR is reconciled against the approved amount → status Matched; the claim is marked Settled.</w:t>
      </w:r>
    </w:p>
    <w:p>
      <w:r>
        <w:rPr>
          <w:b/>
          <w:color w:val="2B6CB2"/>
        </w:rPr>
        <w:t>16.  Government schemes</w:t>
      </w:r>
    </w:p>
    <w:p>
      <w:pPr>
        <w:spacing w:after="120"/>
        <w:ind w:left="432"/>
      </w:pPr>
      <w:r>
        <w:t>PM-JAY (BIS verify + HBP-rate TMS claim), ESIC / CGHS verification — same claim engine.</w:t>
      </w:r>
    </w:p>
    <w:p>
      <w:pPr>
        <w:pStyle w:val="Heading2"/>
      </w:pPr>
      <w:r>
        <w:rPr>
          <w:color w:val="1F3A5F"/>
        </w:rPr>
        <w:t>6.6  Close the visit</w:t>
      </w:r>
    </w:p>
    <w:p>
      <w:r>
        <w:rPr>
          <w:b/>
          <w:color w:val="2B6CB2"/>
        </w:rPr>
        <w:t>17.  Discharge summary &amp; certificates</w:t>
      </w:r>
    </w:p>
    <w:p>
      <w:pPr>
        <w:spacing w:after="120"/>
        <w:ind w:left="432"/>
      </w:pPr>
      <w:r>
        <w:t>Issue the discharge summary and any statutory certificates (fitness, MLC, etc.).</w:t>
      </w:r>
    </w:p>
    <w:p>
      <w:pPr>
        <w:spacing w:after="120"/>
      </w:pPr>
      <w:r>
        <w:rPr>
          <w:b/>
          <w:i w:val="0"/>
          <w:color w:val="1E7E34"/>
          <w:sz w:val="21"/>
        </w:rPr>
        <w:t>Result: a complete, auditable episode — Register → Appointment → Consult/Admit → Diagnostics/Pharmacy → Bill &amp; Pay → Claim &amp; Settle → Discharge — all inside the correct tenant DB and fiscal year.</w:t>
      </w:r>
    </w:p>
    <w:p>
      <w:pPr>
        <w:pStyle w:val="Heading1"/>
      </w:pPr>
      <w:r>
        <w:rPr>
          <w:color w:val="1F3A5F"/>
        </w:rPr>
        <w:t>7.  Part E — Real-time &amp; Smart Features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fill="2B6CB2"/>
          </w:tcPr>
          <w:p>
            <w:r/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7200"/>
            <w:shd w:val="clear" w:fill="2B6CB2"/>
          </w:tcPr>
          <w:p>
            <w:r/>
            <w:r>
              <w:rPr>
                <w:b/>
                <w:color w:val="FFFFFF"/>
                <w:sz w:val="19"/>
              </w:rPr>
              <w:t>What it does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Live Queue Board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OPD queue counters + tokens update live (SignalR), isolated per tenant.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Emergency Alert Hub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Broadcasts critical/ED alerts in real time to the right tenant only.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Ambulance GPS Tracking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Dispatch ambulances and stream live GPS pings to a tracking board.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AI Suite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Patient risk (NEWS2-style score/band), inventory reorder forecast, and claim pre-scrub (auto-reject over-package before submission). Transparent, rule-based, config-swappable.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FHIR R4 Export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Exposes patients/records as FHIR R4 resources for interoperability.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1F3A5F"/>
        </w:rPr>
        <w:t>8.  Part F — Compliance, Audit &amp; Security</w:t>
      </w:r>
    </w:p>
    <w:p>
      <w:pPr>
        <w:pStyle w:val="ListBullet"/>
      </w:pPr>
      <w:r>
        <w:rPr>
          <w:b/>
        </w:rPr>
        <w:t xml:space="preserve">Audit: </w:t>
      </w:r>
      <w:r>
        <w:t>Immutable audit trail — every command is recorded (who/what/when), both control-plane and per-tenant.</w:t>
      </w:r>
    </w:p>
    <w:p>
      <w:pPr>
        <w:pStyle w:val="ListBullet"/>
      </w:pPr>
      <w:r>
        <w:rPr>
          <w:b/>
        </w:rPr>
        <w:t xml:space="preserve">Access: </w:t>
      </w:r>
      <w:r>
        <w:t>RBAC — permissions gate every action; the menu itself is scoped to a role's grants.</w:t>
      </w:r>
    </w:p>
    <w:p>
      <w:pPr>
        <w:pStyle w:val="ListBullet"/>
      </w:pPr>
      <w:r>
        <w:rPr>
          <w:b/>
        </w:rPr>
        <w:t xml:space="preserve">Security: </w:t>
      </w:r>
      <w:r>
        <w:t>MFA/TOTP + PBKDF2 password hashing + AES-256-GCM encryption of sensitive fields at rest.</w:t>
      </w:r>
    </w:p>
    <w:p>
      <w:pPr>
        <w:pStyle w:val="ListBullet"/>
      </w:pPr>
      <w:r>
        <w:rPr>
          <w:b/>
        </w:rPr>
        <w:t xml:space="preserve">Statutory: </w:t>
      </w:r>
      <w:r>
        <w:t>Bio-Medical Waste (BMWM colour-coded bags + Form-IV), MLC (auto-numbered), consent capture.</w:t>
      </w:r>
    </w:p>
    <w:p>
      <w:pPr>
        <w:pStyle w:val="ListBullet"/>
      </w:pPr>
      <w:r>
        <w:rPr>
          <w:b/>
        </w:rPr>
        <w:t xml:space="preserve">Isolation: </w:t>
      </w:r>
      <w:r>
        <w:t>Per-tenant database isolation and host→tenant routing — hospitals never see each other's data.</w:t>
      </w:r>
    </w:p>
    <w:p>
      <w:pPr>
        <w:pStyle w:val="Heading1"/>
      </w:pPr>
      <w:r>
        <w:rPr>
          <w:color w:val="1F3A5F"/>
        </w:rPr>
        <w:t>9.  Part G — Year-End (Fiscal-Year Shift) &amp; Decommission</w:t>
      </w:r>
    </w:p>
    <w:p>
      <w:pPr>
        <w:spacing w:after="40"/>
      </w:pPr>
      <w:r>
        <w:rPr>
          <w:b/>
          <w:i w:val="0"/>
          <w:sz w:val="21"/>
        </w:rPr>
        <w:t>Year shift (no downtime, history intact):</w:t>
      </w:r>
    </w:p>
    <w:p>
      <w:r>
        <w:rPr>
          <w:b/>
          <w:color w:val="2B6CB2"/>
        </w:rPr>
        <w:t>1.  Open next fiscal year</w:t>
      </w:r>
    </w:p>
    <w:p>
      <w:pPr>
        <w:spacing w:after="120"/>
        <w:ind w:left="432"/>
      </w:pPr>
      <w:r>
        <w:t>Platform Admin → Open next fiscal year → enter tenant code + pick next FY → Open.</w:t>
      </w:r>
    </w:p>
    <w:p>
      <w:r>
        <w:rPr>
          <w:b/>
          <w:color w:val="2B6CB2"/>
        </w:rPr>
        <w:t>2.  What happens</w:t>
      </w:r>
    </w:p>
    <w:p>
      <w:pPr>
        <w:spacing w:after="120"/>
        <w:ind w:left="432"/>
      </w:pPr>
      <w:r>
        <w:t>Provisions the next {CODE}_FY{next} data DB; carries module entitlements forward; rolls billing forward (CarryForward of prior balance + new charge). Clinical/patient data stays in the same {CODE}_Master — it never splits.</w:t>
      </w:r>
    </w:p>
    <w:p>
      <w:pPr>
        <w:spacing w:after="40"/>
      </w:pPr>
      <w:r>
        <w:rPr>
          <w:b/>
          <w:i w:val="0"/>
          <w:sz w:val="21"/>
        </w:rPr>
        <w:t>Decommission a tenant (cleanup):</w:t>
      </w:r>
    </w:p>
    <w:p>
      <w:pPr>
        <w:spacing w:after="120"/>
      </w:pPr>
      <w:r>
        <w:rPr>
          <w:b w:val="0"/>
          <w:i w:val="0"/>
          <w:sz w:val="21"/>
        </w:rPr>
        <w:t>Platform Admin → Tenants → red “Decommission” card. Enter + re-type the tenant code to confirm. It drops all the tenant's databases first, then deletes its control-plane rows (the immutable audit trail is retained). Tenant admins cannot do this.</w:t>
      </w:r>
    </w:p>
    <w:p>
      <w:pPr>
        <w:pStyle w:val="Heading1"/>
      </w:pPr>
      <w:r>
        <w:rPr>
          <w:color w:val="1F3A5F"/>
        </w:rPr>
        <w:t>10.  Suggested Live Demo Flow (15 minutes)</w:t>
      </w:r>
    </w:p>
    <w:p>
      <w:pPr>
        <w:spacing w:after="40"/>
      </w:pPr>
      <w:r>
        <w:rPr>
          <w:b/>
          <w:i w:val="0"/>
          <w:sz w:val="21"/>
        </w:rPr>
        <w:t>A tight click-by-click order for the presentation: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08"/>
            <w:shd w:val="clear" w:fill="2B6CB2"/>
          </w:tcPr>
          <w:p>
            <w:r/>
            <w:r>
              <w:rPr>
                <w:b/>
                <w:color w:val="FFFFFF"/>
                <w:sz w:val="19"/>
              </w:rPr>
              <w:t>Time</w:t>
            </w:r>
          </w:p>
        </w:tc>
        <w:tc>
          <w:tcPr>
            <w:tcW w:type="dxa" w:w="3744"/>
            <w:shd w:val="clear" w:fill="2B6CB2"/>
          </w:tcPr>
          <w:p>
            <w:r/>
            <w:r>
              <w:rPr>
                <w:b/>
                <w:color w:val="FFFFFF"/>
                <w:sz w:val="19"/>
              </w:rPr>
              <w:t>Do this</w:t>
            </w:r>
          </w:p>
        </w:tc>
        <w:tc>
          <w:tcPr>
            <w:tcW w:type="dxa" w:w="5040"/>
            <w:shd w:val="clear" w:fill="2B6CB2"/>
          </w:tcPr>
          <w:p>
            <w:r/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0:00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Landing + sign in as Superadmin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Show the Platform Admin console.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2:00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Onboard a new hospital “ACME”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Fill wizard → Provision. Then show the two new databases (ACME_Master, ACME_FY2026-27) in SSMS / the Tenants list.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4:00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Create a hospital user + role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Users panel → create an admin/doctor; show it is scoped to ACME.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5:30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Switch to the Workspace (DEV demo tenant)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Register a patient → UHID; book an appointment/token.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7:30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OPD consult → IPD admit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Diagnosis; admit to a bed on the live Bed Board; nursing note; discharge; Mark bed ready.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9:30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Diagnostics + Pharmacy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Lab order + result; pharmacy dispense.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11:00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Billing → Payment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Create a bill from tariff; collect payment.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12:30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Insurance claim lifecycle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Policy → pre-auth → approval → settlement (Matched).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13:30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Show the smart layer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AI risk/forecast/pre-scrub; live Queue board; Compliance &amp; Audit trail; FHIR export.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14:30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Wrap: quality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Show GitHub Actions green + the smoke suite (67 automated functional tests).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1F3A5F"/>
        </w:rPr>
        <w:t>11.  Demo Credentials &amp; URLs (quick reference)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fill="2B6CB2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6624"/>
            <w:shd w:val="clear" w:fill="2B6CB2"/>
          </w:tcPr>
          <w:p>
            <w:r/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App URL (dev)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http://localhost:5142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Landing page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/  (marketing landing)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Workspace (clinical)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/app/index.html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Platform Admin console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/app/admin.html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Login page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/app/login.html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Superadmin login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superadmin  /  ChangeMe!2026   (dev bootstrap — change in production)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Demo tenant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DEV  (auto-provisioned on first boot; fiscal year FY2026-27)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color w:val="555555"/>
          <w:sz w:val="21"/>
        </w:rPr>
        <w:t>Note: dev passwords are placeholders. Production supplies the JWT key / bootstrap password / connection strings via environment or Azure Key Vault.</w:t>
      </w:r>
    </w:p>
    <w:p>
      <w:pPr>
        <w:pStyle w:val="Heading1"/>
      </w:pPr>
      <w:r>
        <w:rPr>
          <w:color w:val="1F3A5F"/>
        </w:rPr>
        <w:t>12.  Quality &amp; Verification</w:t>
      </w:r>
    </w:p>
    <w:p>
      <w:pPr>
        <w:pStyle w:val="ListBullet"/>
      </w:pPr>
      <w:r>
        <w:rPr>
          <w:b/>
        </w:rPr>
        <w:t xml:space="preserve">CI: </w:t>
      </w:r>
      <w:r>
        <w:t>GitHub Actions CI on every push: build + a deep functional smoke suite that boots the API against a real SQL Server and exercises every module over HTTP.</w:t>
      </w:r>
    </w:p>
    <w:p>
      <w:pPr>
        <w:pStyle w:val="ListBullet"/>
      </w:pPr>
      <w:r>
        <w:rPr>
          <w:b/>
        </w:rPr>
        <w:t xml:space="preserve">Tests: </w:t>
      </w:r>
      <w:r>
        <w:t>67 automated functional tests pass (auth, registration, OPD/IPD, diagnostics, pharmacy, billing, payments, insurance, schemes, HR/payroll, occ-health, telemedicine, BMWM, MLC, queue, feedback, AI, dashboard, audit, FHIR, bed housekeeping). 0 failures.</w:t>
      </w:r>
    </w:p>
    <w:p>
      <w:pPr>
        <w:pStyle w:val="ListBullet"/>
      </w:pPr>
      <w:r>
        <w:rPr>
          <w:b/>
        </w:rPr>
        <w:t xml:space="preserve">Scope: </w:t>
      </w:r>
      <w:r>
        <w:t>Remaining items are external integrations (UIDAI/ABDM/NHCX/payment-gateway) and infra (load/DR) — intentionally mocked/pending, not defects.</w:t>
      </w:r>
    </w:p>
    <w:p>
      <w:pPr>
        <w:pStyle w:val="Heading1"/>
      </w:pPr>
      <w:r>
        <w:rPr>
          <w:color w:val="1F3A5F"/>
        </w:rPr>
        <w:t>13.  Status — Live vs Pending</w:t>
      </w:r>
    </w:p>
    <w:p>
      <w:pPr>
        <w:spacing w:after="40"/>
      </w:pPr>
      <w:r>
        <w:rPr>
          <w:b/>
          <w:i w:val="0"/>
          <w:color w:val="1E7E34"/>
          <w:sz w:val="21"/>
        </w:rPr>
        <w:t>Live &amp; verified:</w:t>
      </w:r>
    </w:p>
    <w:p>
      <w:pPr>
        <w:spacing w:after="120"/>
      </w:pPr>
      <w:r>
        <w:rPr>
          <w:b w:val="0"/>
          <w:i w:val="0"/>
          <w:sz w:val="21"/>
        </w:rPr>
        <w:t>Automated onboarding (DBs / schemas / domains / billing / modules), year-shift, per-tenant DB isolation, domain→tenant routing, RBAC-scoped menu, MFA + AES-at-rest, immutable audit trail, the full clinical + financial module set, real-time boards (queue / alerts / GPS), AI assists (risk / forecast / pre-scrub), FHIR R4 export, and the closed bed-lifecycle (admit → discharge → housekeeping).</w:t>
      </w:r>
    </w:p>
    <w:p>
      <w:pPr>
        <w:spacing w:after="40"/>
      </w:pPr>
      <w:r>
        <w:rPr>
          <w:b/>
          <w:i w:val="0"/>
          <w:color w:val="555555"/>
          <w:sz w:val="21"/>
        </w:rPr>
        <w:t>Pending (before a real hospital go-live):</w:t>
      </w:r>
    </w:p>
    <w:p>
      <w:pPr>
        <w:spacing w:after="120"/>
      </w:pPr>
      <w:r>
        <w:rPr>
          <w:b w:val="0"/>
          <w:i w:val="0"/>
          <w:sz w:val="21"/>
        </w:rPr>
        <w:t>Real external integrations (UIDAI / ABDM / NHCX / PM-JAY / ESIC / CGHS / payment gateways) and real Azure-ML AI — currently scaffolded/mocked; production TLS + secret sourcing (Key Vault); and a DR/backup plan.</w:t>
      </w:r>
    </w:p>
    <w:p/>
    <w:p>
      <w:pPr>
        <w:jc w:val="center"/>
      </w:pPr>
      <w:r>
        <w:rPr>
          <w:i/>
          <w:color w:val="555555"/>
        </w:rPr>
        <w:t>—  End of Guide 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