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Student Parliament: Standard Operating Procedures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Protocol for Member Removal, Resignation, and Vacancy Transition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Document Purpose:</w:t>
      </w:r>
      <w:r w:rsidDel="00000000" w:rsidR="00000000" w:rsidRPr="00000000">
        <w:rPr>
          <w:rtl w:val="0"/>
        </w:rPr>
        <w:t xml:space="preserve"> To ensure the continuity, stability, and integrity of the Student Parliament. This document outlines the official, legally binding internal procedures for the removal or resignation of a parliament member, and the subsequent mandatory transition process to fill the vacancy without disrupting ongoing operations.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The Removal Process (Dismissal/Impeachment)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Removing an elected or appointed member is a serious administrative action. To prevent personal biases or conflicts from influencing the process, any removal must strictly follow this three-tiered objective framework.</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Grounds for Removal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member can only be considered for removal if they meet one or more of the following objective criteria: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Attendance Forfeiture:</w:t>
      </w:r>
      <w:r w:rsidDel="00000000" w:rsidR="00000000" w:rsidRPr="00000000">
        <w:rPr>
          <w:rtl w:val="0"/>
        </w:rPr>
        <w:t xml:space="preserve"> Missing three (3) consecutive official parliament meetings or mandatory events without a prior, verified excuse submitted to the Secretary.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Neglection of Duty:</w:t>
      </w:r>
      <w:r w:rsidDel="00000000" w:rsidR="00000000" w:rsidRPr="00000000">
        <w:rPr>
          <w:rtl w:val="0"/>
        </w:rPr>
        <w:t xml:space="preserve"> Failing to execute assigned responsibilities or project deliverables twice within a single academic term.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Code of Conduct Violation:</w:t>
      </w:r>
      <w:r w:rsidDel="00000000" w:rsidR="00000000" w:rsidRPr="00000000">
        <w:rPr>
          <w:rtl w:val="0"/>
        </w:rPr>
        <w:t xml:space="preserve"> Engaging in behavior that violates general school regulations, academic integrity policies, or brings disrepute to the Student Parliament.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Step-by-Step Dismissal Procedure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Paper Trail &amp; Evidence Collection:</w:t>
      </w:r>
      <w:r w:rsidDel="00000000" w:rsidR="00000000" w:rsidRPr="00000000">
        <w:rPr>
          <w:rtl w:val="0"/>
        </w:rPr>
        <w:t xml:space="preserve"> The Secretary must compile documented evidence of the infraction (e.g., attendance logs, missed deadlines, or behavioral reports).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Private Warning &amp; Grace Period:</w:t>
      </w:r>
      <w:r w:rsidDel="00000000" w:rsidR="00000000" w:rsidRPr="00000000">
        <w:rPr>
          <w:rtl w:val="0"/>
        </w:rPr>
        <w:t xml:space="preserve"> The President (or designated Lead) and the Faculty Advisor will conduct a private intervention meeting with the member. The member is issued a formal warning and given exactly seven (7) calendar days to rectify the behavior or performance.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Parliament Vote:</w:t>
      </w:r>
      <w:r w:rsidDel="00000000" w:rsidR="00000000" w:rsidRPr="00000000">
        <w:rPr>
          <w:rtl w:val="0"/>
        </w:rPr>
        <w:t xml:space="preserve"> If no measurable improvement occurs after the seven-day grace period, the matter is brought to the floor during the next scheduled parliament session. To finalize removal, a </w:t>
      </w:r>
      <w:r w:rsidDel="00000000" w:rsidR="00000000" w:rsidRPr="00000000">
        <w:rPr>
          <w:b w:val="1"/>
          <w:bCs w:val="1"/>
          <w:rtl w:val="0"/>
        </w:rPr>
        <w:t xml:space="preserve">two-thirds (2/3) absolute majority vote</w:t>
      </w:r>
      <w:r w:rsidDel="00000000" w:rsidR="00000000" w:rsidRPr="00000000">
        <w:rPr>
          <w:rtl w:val="0"/>
        </w:rPr>
        <w:t xml:space="preserve"> via secret ballot is required.</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Asset and Access Forfeiture:</w:t>
      </w:r>
      <w:r w:rsidDel="00000000" w:rsidR="00000000" w:rsidRPr="00000000">
        <w:rPr>
          <w:rtl w:val="0"/>
        </w:rPr>
        <w:t xml:space="preserve"> Upon a successful vote, the removed member has exactly 48 hours to surrender all digital passwords, shared drive access, physical keys, and official project documentation to the Secretary.</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2. The Resignation Process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member chooses to vacate their position voluntarily, the process must minimize operational downtime and maintain organizational morale through a structured exit.</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Step-by-Step Resignation Procedure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Formal Written Notice:</w:t>
      </w:r>
      <w:r w:rsidDel="00000000" w:rsidR="00000000" w:rsidRPr="00000000">
        <w:rPr>
          <w:rtl w:val="0"/>
        </w:rPr>
        <w:t xml:space="preserve"> The resigning member must submit a formal written resignation (via email or official communication channel) to the President and Faculty Advisor. A mandatory minimum notice period of </w:t>
      </w:r>
      <w:r w:rsidDel="00000000" w:rsidR="00000000" w:rsidRPr="00000000">
        <w:rPr>
          <w:b w:val="1"/>
          <w:bCs w:val="1"/>
          <w:rtl w:val="0"/>
        </w:rPr>
        <w:t xml:space="preserve">7 to 10 calendar days</w:t>
      </w:r>
      <w:r w:rsidDel="00000000" w:rsidR="00000000" w:rsidRPr="00000000">
        <w:rPr>
          <w:rtl w:val="0"/>
        </w:rPr>
        <w:t xml:space="preserve"> must be served; immediate walkouts are prohibited.</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Exit Briefing:</w:t>
      </w:r>
      <w:r w:rsidDel="00000000" w:rsidR="00000000" w:rsidRPr="00000000">
        <w:rPr>
          <w:rtl w:val="0"/>
        </w:rPr>
        <w:t xml:space="preserve"> Within 48 hours of receiving the notice, the President or Secretary will conduct an exit briefing with the member to log the status of all active, pending, and future projects under their purview.</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Comprehensive Asset Handover:</w:t>
      </w:r>
      <w:r w:rsidDel="00000000" w:rsidR="00000000" w:rsidRPr="00000000">
        <w:rPr>
          <w:rtl w:val="0"/>
        </w:rPr>
        <w:t xml:space="preserve"> Before the final day of the notice period, the resigning member must transfer all digital assets, event blueprints, vendor/contact sheets, and physical materials into the central Parliament Shared Drive.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3. The Vacancy Transition Plan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work does not pile up on the remaining members, an empty seat must be filled within seven (7) calendar days using the following strict hierarchy of succession.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3276"/>
        <w:gridCol w:w="3744"/>
        <w:tblGridChange w:id="0">
          <w:tblGrid>
            <w:gridCol w:w="2340"/>
            <w:gridCol w:w="3276"/>
            <w:gridCol w:w="3744"/>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Priority Level</w:t>
            </w:r>
          </w:p>
        </w:tc>
        <w:tc>
          <w:tcPr>
            <w:shd w:fill="f2f2f2"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Succession Pathway</w:t>
            </w:r>
          </w:p>
        </w:tc>
        <w:tc>
          <w:tcPr>
            <w:shd w:fill="f2f2f2" w:val="clear"/>
            <w:tcMar>
              <w:top w:w="90.0" w:type="dxa"/>
              <w:left w:w="90.0" w:type="dxa"/>
              <w:bottom w:w="90.0" w:type="dxa"/>
              <w:right w:w="9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Operational Mechanism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Priority 1: Immediate</w:t>
            </w:r>
          </w:p>
        </w:tc>
        <w:tc>
          <w:tcPr>
            <w:shd w:fill="auto"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Automatic Promotion of Shadow/Deputy</w:t>
            </w:r>
          </w:p>
        </w:tc>
        <w:tc>
          <w:tcPr>
            <w:shd w:fill="auto" w:val="clear"/>
            <w:tcMar>
              <w:top w:w="90.0" w:type="dxa"/>
              <w:left w:w="90.0" w:type="dxa"/>
              <w:bottom w:w="90.0" w:type="dxa"/>
              <w:right w:w="9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If the role has an active Deputy or Junior shadow role, that individual automatically assumes the main title immediately. No vote is required.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Priority 2: Secondary</w:t>
            </w:r>
          </w:p>
        </w:tc>
        <w:tc>
          <w:tcPr>
            <w:shd w:fill="auto"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Internal Parliament Realignment</w:t>
            </w:r>
          </w:p>
        </w:tc>
        <w:tc>
          <w:tcPr>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If no deputy exists, the vacancy is opened to current general parliament members. Candidates deliver a 2-minute pitch at the next meeting, followed by a simple majority vote.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Priority 3: Final Resort</w:t>
            </w:r>
          </w:p>
        </w:tc>
        <w:tc>
          <w:tcPr>
            <w:shd w:fill="auto"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External Faculty Appointment</w:t>
            </w:r>
          </w:p>
        </w:tc>
        <w:tc>
          <w:tcPr>
            <w:shd w:fill="auto"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If no internal members apply or qualify, the Executive Board (President &amp; VP) nominates an external student from the school body, subject to final Faculty Advisor approval.</w:t>
            </w:r>
          </w:p>
        </w:tc>
      </w:tr>
    </w:tbl>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Mandatory 3-Day Handover Period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new member is selected via one of the pathways above, they must complete a mandatory briefing period:</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incoming member will shadow the outgoing member (if resigning) or the Secretary (if the previous member was removed) for 3 days.</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Operational Constraints Rule:</w:t>
      </w:r>
      <w:r w:rsidDel="00000000" w:rsidR="00000000" w:rsidRPr="00000000">
        <w:rPr>
          <w:rtl w:val="0"/>
        </w:rPr>
        <w:t xml:space="preserve"> The newly appointed member is strictly prohibited from introducing new initiatives or changing project directions during their first week. Their sole mandate is to ensure the uninterrupted execution of existing, active projects left behind by their predecessor.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