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Summary Report: Predictive Insights for Collections Strategy</w:t>
      </w:r>
    </w:p>
    <w:p>
      <w:pPr>
        <w:pStyle w:val="Heading2"/>
      </w:pPr>
      <w:r>
        <w:t>1. Summary of Predictive Insights</w:t>
      </w:r>
    </w:p>
    <w:p>
      <w:r>
        <w:t>Analysis of the Geldium customer dataset identified several indicators associated with higher delinquency risk. Using exploratory data analysis and a conceptual predictive modeling framework, the following factors were found to influence the likelihood of delinquency.</w:t>
      </w:r>
    </w:p>
    <w:p>
      <w:pPr>
        <w:pStyle w:val="ListBullet"/>
      </w:pPr>
      <w:r>
        <w:t>High credit utilization: Customers using a large percentage of their credit limit tend to have higher delinquency risk.</w:t>
      </w:r>
    </w:p>
    <w:p>
      <w:pPr>
        <w:pStyle w:val="ListBullet"/>
      </w:pPr>
      <w:r>
        <w:t>High debt-to-income ratio: Customers whose debt levels are high relative to their income may struggle to meet repayment obligations.</w:t>
      </w:r>
    </w:p>
    <w:p>
      <w:pPr>
        <w:pStyle w:val="ListBullet"/>
      </w:pPr>
      <w:r>
        <w:t>Lower income levels combined with missed payments: Customers with limited income and previous missed payments show increased probability of delinquency.</w:t>
      </w:r>
    </w:p>
    <w:p>
      <w:r>
        <w:t>These patterns suggest that customers with high credit usage and financial strain should be prioritized for proactive engagement by the collections team.</w:t>
      </w:r>
    </w:p>
    <w:p>
      <w:pPr>
        <w:pStyle w:val="Heading3"/>
      </w:pPr>
      <w:r>
        <w:t>Key Insight Example</w:t>
      </w:r>
    </w:p>
    <w:p>
      <w:r>
        <w:t>Customer Segment: Customers with high credit utilization (above 80% of credit limit).</w:t>
      </w:r>
    </w:p>
    <w:p>
      <w:r>
        <w:t>Influencing Variables: Credit Utilization, Debt-to-Income Ratio, Income.</w:t>
      </w:r>
    </w:p>
    <w:p>
      <w:r>
        <w:t>Potential Impact: Early intervention could reduce missed payments and improve repayment outcomes.</w:t>
      </w:r>
    </w:p>
    <w:p>
      <w:pPr>
        <w:pStyle w:val="Heading2"/>
      </w:pPr>
      <w:r>
        <w:t>2. Recommendation Framework</w:t>
      </w:r>
    </w:p>
    <w:p>
      <w:r>
        <w:t>Restated Insight:</w:t>
      </w:r>
    </w:p>
    <w:p>
      <w:r>
        <w:t>Customers with high credit utilization levels are more likely to experience financial strain and may be at increased risk of delinquency.</w:t>
      </w:r>
    </w:p>
    <w:p>
      <w:r>
        <w:t>Proposed Recommendation (SMART):</w:t>
      </w:r>
    </w:p>
    <w:p>
      <w:pPr>
        <w:pStyle w:val="ListBullet"/>
      </w:pPr>
      <w:r>
        <w:t>Specific: Implement an early-warning monitoring system to identify customers with credit utilization above 80%.</w:t>
      </w:r>
    </w:p>
    <w:p>
      <w:pPr>
        <w:pStyle w:val="ListBullet"/>
      </w:pPr>
      <w:r>
        <w:t>Measurable: Track reductions in missed payments and delinquency rates among this segment over the next six months.</w:t>
      </w:r>
    </w:p>
    <w:p>
      <w:pPr>
        <w:pStyle w:val="ListBullet"/>
      </w:pPr>
      <w:r>
        <w:t>Actionable: Send proactive reminders, financial guidance messages, or offer payment plan options.</w:t>
      </w:r>
    </w:p>
    <w:p>
      <w:pPr>
        <w:pStyle w:val="ListBullet"/>
      </w:pPr>
      <w:r>
        <w:t>Relevant: Reducing delinquency aligns with Geldium’s goal of improving portfolio health and lowering collection costs.</w:t>
      </w:r>
    </w:p>
    <w:p>
      <w:pPr>
        <w:pStyle w:val="ListBullet"/>
      </w:pPr>
      <w:r>
        <w:t>Time-bound: Pilot the intervention for a six-month period and review results quarterly.</w:t>
      </w:r>
    </w:p>
    <w:p>
      <w:r>
        <w:t>Justification and Business Rationale:</w:t>
      </w:r>
    </w:p>
    <w:p>
      <w:r>
        <w:t>Targeting customers with high credit utilization allows Geldium to intervene before delinquency occurs. By providing timely communication and support options, the collections team can help customers manage their credit usage and avoid missed payments, ultimately reducing financial risk for the organization.</w:t>
      </w:r>
    </w:p>
    <w:p>
      <w:pPr>
        <w:pStyle w:val="Heading2"/>
      </w:pPr>
      <w:r>
        <w:t>3. Ethical and Responsible AI Considerations</w:t>
      </w:r>
    </w:p>
    <w:p>
      <w:r>
        <w:t>While predictive models can improve risk management, it is important to ensure that they operate fairly, transparently, and responsibly.</w:t>
      </w:r>
    </w:p>
    <w:p>
      <w:pPr>
        <w:pStyle w:val="ListBullet"/>
      </w:pPr>
      <w:r>
        <w:t>Fairness risk: Certain customer groups could be disproportionately labeled as high risk due to historical data patterns. Mitigation: Regularly audit model predictions across customer segments to ensure fairness.</w:t>
      </w:r>
    </w:p>
    <w:p>
      <w:pPr>
        <w:pStyle w:val="ListBullet"/>
      </w:pPr>
      <w:r>
        <w:t>Data bias risk: Incomplete or skewed data may lead to inaccurate predictions. Mitigation: Continuously monitor model performance and update training data to maintain balanced representation.</w:t>
      </w:r>
    </w:p>
    <w:p>
      <w:r>
        <w:t>To support transparency, model outputs should be explained in simple terms to stakeholders. For example, the model highlights factors such as credit utilization and debt-to-income ratio that contribute to higher delinquency risk. Clear explanations help decision-makers understand and trust AI-assisted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