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BrainRoute Supplementary Tables</w:t>
      </w:r>
    </w:p>
    <w:p>
      <w:pPr>
        <w:jc w:val="center"/>
      </w:pPr>
      <w:r>
        <w:rPr>
          <w:i/>
        </w:rPr>
        <w:t>BrainRoute: an open platform for blood-brain barrier molecular data exploration, prediction, and community-supported verification</w:t>
      </w:r>
    </w:p>
    <w:p>
      <w:pPr>
        <w:pStyle w:val="Heading1"/>
      </w:pPr>
      <w:r>
        <w:t>Supplementary Table S1</w:t>
      </w:r>
    </w:p>
    <w:p>
      <w:r>
        <w:t>Source endpoints, evidence fields, class distributions, and limitations.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c>
          <w:tcPr>
            <w:tcW w:type="dxa" w:w="1584"/>
            <w:vAlign w:val="center"/>
            <w:shd w:fill="D9EAF7"/>
          </w:tcPr>
          <w:p>
            <w:r>
              <w:rPr>
                <w:b/>
              </w:rPr>
            </w:r>
            <w:r>
              <w:rPr>
                <w:sz w:val="16"/>
              </w:rPr>
              <w:t>Source</w:t>
            </w:r>
          </w:p>
        </w:tc>
        <w:tc>
          <w:tcPr>
            <w:tcW w:type="dxa" w:w="3744"/>
            <w:vAlign w:val="center"/>
            <w:shd w:fill="D9EAF7"/>
          </w:tcPr>
          <w:p>
            <w:r>
              <w:rPr>
                <w:b/>
              </w:rPr>
            </w:r>
            <w:r>
              <w:rPr>
                <w:sz w:val="16"/>
              </w:rPr>
              <w:t>Endpoint and mapping</w:t>
            </w:r>
          </w:p>
        </w:tc>
        <w:tc>
          <w:tcPr>
            <w:tcW w:type="dxa" w:w="1080"/>
            <w:vAlign w:val="center"/>
            <w:shd w:fill="D9EAF7"/>
          </w:tcPr>
          <w:p>
            <w:r>
              <w:rPr>
                <w:b/>
              </w:rPr>
            </w:r>
            <w:r>
              <w:rPr>
                <w:sz w:val="16"/>
              </w:rPr>
              <w:t>Raw records</w:t>
            </w:r>
          </w:p>
        </w:tc>
        <w:tc>
          <w:tcPr>
            <w:tcW w:type="dxa" w:w="936"/>
            <w:vAlign w:val="center"/>
            <w:shd w:fill="D9EAF7"/>
          </w:tcPr>
          <w:p>
            <w:r>
              <w:rPr>
                <w:b/>
              </w:rPr>
            </w:r>
            <w:r>
              <w:rPr>
                <w:sz w:val="16"/>
              </w:rPr>
              <w:t>BBB+</w:t>
            </w:r>
          </w:p>
        </w:tc>
        <w:tc>
          <w:tcPr>
            <w:tcW w:type="dxa" w:w="936"/>
            <w:vAlign w:val="center"/>
            <w:shd w:fill="D9EAF7"/>
          </w:tcPr>
          <w:p>
            <w:r>
              <w:rPr>
                <w:b/>
              </w:rPr>
            </w:r>
            <w:r>
              <w:rPr>
                <w:sz w:val="16"/>
              </w:rPr>
              <w:t>BBB-</w:t>
            </w:r>
          </w:p>
        </w:tc>
        <w:tc>
          <w:tcPr>
            <w:tcW w:type="dxa" w:w="5400"/>
            <w:vAlign w:val="center"/>
            <w:shd w:fill="D9EAF7"/>
          </w:tcPr>
          <w:p>
            <w:r>
              <w:rPr>
                <w:b/>
              </w:rPr>
            </w:r>
            <w:r>
              <w:rPr>
                <w:sz w:val="16"/>
              </w:rPr>
              <w:t>Evidence fields and limitations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sz w:val="16"/>
              </w:rPr>
              <w:t>B3DB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sz w:val="16"/>
              </w:rPr>
              <w:t>BBB+/BBB- classification: The published B3DB categorical classification was retained; BBB+ was mapped to 1 and BBB- to 0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sz w:val="16"/>
              </w:rPr>
              <w:t>7,807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sz w:val="16"/>
              </w:rPr>
              <w:t>4,956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sz w:val="16"/>
              </w:rPr>
              <w:t>2,851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sz w:val="16"/>
              </w:rPr>
              <w:t>source reference codes; evidence-quality group for all rows; numerical logBB for 1058 rows; source-specific threshold for 3621 rows. B3DB combines numerical, threshold-based, and categorical literature evidence; its quality groups must be considered when interpreting the binary endpoint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sz w:val="16"/>
              </w:rPr>
              <w:t>MoleculeNet BBBP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sz w:val="16"/>
              </w:rPr>
              <w:t>p_np: p_np=1 was mapped to BBB+ and p_np=0 was mapped to BBB-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sz w:val="16"/>
              </w:rPr>
              <w:t>2,050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sz w:val="16"/>
              </w:rPr>
              <w:t>1,567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sz w:val="16"/>
              </w:rPr>
              <w:t>483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sz w:val="16"/>
              </w:rPr>
              <w:t>compound name; SMILES; binary endpoint derived from the Martins et al. BBB penetration collection. The local file does not retain assay type, species, experimental method, or a numerical permeability value at row level</w:t>
            </w:r>
          </w:p>
        </w:tc>
      </w:tr>
    </w:tbl>
    <w:p>
      <w:r>
        <w:t>Source reconstruction retained 9,844 RDKit-valid records representing 8,090 unique InChIKeys. Forty-eight InChIKeys had more than one source label. The modeling-table curation excluded 32 conflicting-label structures; the row-level audit identified 24 retained modeling molecules with disagreeing source records.</w:t>
      </w:r>
    </w:p>
    <w:p>
      <w:pPr>
        <w:pStyle w:val="Heading1"/>
        <w:pageBreakBefore/>
      </w:pPr>
      <w:r>
        <w:t>Supplementary Table S2</w:t>
      </w:r>
    </w:p>
    <w:p>
      <w:r>
        <w:t>Matched nested-scaffold representation check. Values are estimates with scaffold-clustered 95% confidence intervals.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3096"/>
            <w:vAlign w:val="center"/>
            <w:shd w:fill="D9EAF7"/>
          </w:tcPr>
          <w:p>
            <w:r>
              <w:rPr>
                <w:b/>
              </w:rPr>
            </w:r>
            <w:r>
              <w:rPr>
                <w:sz w:val="17"/>
              </w:rPr>
              <w:t>Configuration</w:t>
            </w:r>
          </w:p>
        </w:tc>
        <w:tc>
          <w:tcPr>
            <w:tcW w:type="dxa" w:w="2520"/>
            <w:vAlign w:val="center"/>
            <w:shd w:fill="D9EAF7"/>
          </w:tcPr>
          <w:p>
            <w:r>
              <w:rPr>
                <w:b/>
              </w:rPr>
            </w:r>
            <w:r>
              <w:rPr>
                <w:sz w:val="17"/>
              </w:rPr>
              <w:t>Internal balanced accuracy</w:t>
            </w:r>
          </w:p>
        </w:tc>
        <w:tc>
          <w:tcPr>
            <w:tcW w:type="dxa" w:w="2232"/>
            <w:vAlign w:val="center"/>
            <w:shd w:fill="D9EAF7"/>
          </w:tcPr>
          <w:p>
            <w:r>
              <w:rPr>
                <w:b/>
              </w:rPr>
            </w:r>
            <w:r>
              <w:rPr>
                <w:sz w:val="17"/>
              </w:rPr>
              <w:t>Internal AUPRC</w:t>
            </w:r>
          </w:p>
        </w:tc>
        <w:tc>
          <w:tcPr>
            <w:tcW w:type="dxa" w:w="2520"/>
            <w:vAlign w:val="center"/>
            <w:shd w:fill="D9EAF7"/>
          </w:tcPr>
          <w:p>
            <w:r>
              <w:rPr>
                <w:b/>
              </w:rPr>
            </w:r>
            <w:r>
              <w:rPr>
                <w:sz w:val="17"/>
              </w:rPr>
              <w:t>External balanced accuracy</w:t>
            </w:r>
          </w:p>
        </w:tc>
        <w:tc>
          <w:tcPr>
            <w:tcW w:type="dxa" w:w="2232"/>
            <w:vAlign w:val="center"/>
            <w:shd w:fill="D9EAF7"/>
          </w:tcPr>
          <w:p>
            <w:r>
              <w:rPr>
                <w:b/>
              </w:rPr>
            </w:r>
            <w:r>
              <w:rPr>
                <w:sz w:val="17"/>
              </w:rPr>
              <w:t>External AUPRC</w:t>
            </w:r>
          </w:p>
        </w:tc>
      </w:tr>
      <w:tr>
        <w:tc>
          <w:tcPr>
            <w:tcW w:type="dxa" w:w="3096"/>
            <w:vAlign w:val="center"/>
          </w:tcPr>
          <w:p>
            <w:r/>
            <w:r>
              <w:rPr>
                <w:sz w:val="17"/>
              </w:rPr>
              <w:t>PaDEL + Morgan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sz w:val="17"/>
              </w:rPr>
              <w:t>0.779 (0.751-0.803)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sz w:val="17"/>
              </w:rPr>
              <w:t>0.932 (0.911-0.951)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sz w:val="17"/>
              </w:rPr>
              <w:t>0.662 (0.605-0.714)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sz w:val="17"/>
              </w:rPr>
              <w:t>0.672 (0.569-0.763)</w:t>
            </w:r>
          </w:p>
        </w:tc>
      </w:tr>
      <w:tr>
        <w:tc>
          <w:tcPr>
            <w:tcW w:type="dxa" w:w="3096"/>
            <w:vAlign w:val="center"/>
          </w:tcPr>
          <w:p>
            <w:r/>
            <w:r>
              <w:rPr>
                <w:sz w:val="17"/>
              </w:rPr>
              <w:t>PaDEL + Morgan + GFN2-xTB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sz w:val="17"/>
              </w:rPr>
              <w:t>0.780 (0.756-0.803)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sz w:val="17"/>
              </w:rPr>
              <w:t>0.934 (0.915-0.953)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sz w:val="17"/>
              </w:rPr>
              <w:t>0.670 (0.613-0.723)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sz w:val="17"/>
              </w:rPr>
              <w:t>0.690 (0.581-0.775)</w:t>
            </w:r>
          </w:p>
        </w:tc>
      </w:tr>
      <w:tr>
        <w:tc>
          <w:tcPr>
            <w:tcW w:type="dxa" w:w="3096"/>
            <w:vAlign w:val="center"/>
          </w:tcPr>
          <w:p>
            <w:r/>
            <w:r>
              <w:rPr>
                <w:sz w:val="17"/>
              </w:rPr>
              <w:t>Frozen Uni-Mol v1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sz w:val="17"/>
              </w:rPr>
              <w:t>0.737 (0.714-0.761)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sz w:val="17"/>
              </w:rPr>
              <w:t>0.897 (0.870-0.922)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sz w:val="17"/>
              </w:rPr>
              <w:t>0.637 (0.589-0.688)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sz w:val="17"/>
              </w:rPr>
              <w:t>0.611 (0.512-0.702)</w:t>
            </w:r>
          </w:p>
        </w:tc>
      </w:tr>
    </w:tbl>
    <w:p>
      <w:r>
        <w:t>Paired comparisons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c>
          <w:tcPr>
            <w:tcW w:type="dxa" w:w="1080"/>
            <w:vAlign w:val="center"/>
            <w:shd w:fill="D9EAF7"/>
          </w:tcPr>
          <w:p>
            <w:r>
              <w:rPr>
                <w:b/>
              </w:rPr>
            </w:r>
            <w:r>
              <w:rPr>
                <w:sz w:val="15"/>
              </w:rPr>
              <w:t>Cohort</w:t>
            </w:r>
          </w:p>
        </w:tc>
        <w:tc>
          <w:tcPr>
            <w:tcW w:type="dxa" w:w="3456"/>
            <w:vAlign w:val="center"/>
            <w:shd w:fill="D9EAF7"/>
          </w:tcPr>
          <w:p>
            <w:r>
              <w:rPr>
                <w:b/>
              </w:rPr>
            </w:r>
            <w:r>
              <w:rPr>
                <w:sz w:val="15"/>
              </w:rPr>
              <w:t>Comparison</w:t>
            </w:r>
          </w:p>
        </w:tc>
        <w:tc>
          <w:tcPr>
            <w:tcW w:type="dxa" w:w="1440"/>
            <w:vAlign w:val="center"/>
            <w:shd w:fill="D9EAF7"/>
          </w:tcPr>
          <w:p>
            <w:r>
              <w:rPr>
                <w:b/>
              </w:rPr>
            </w:r>
            <w:r>
              <w:rPr>
                <w:sz w:val="15"/>
              </w:rPr>
              <w:t>Metric</w:t>
            </w:r>
          </w:p>
        </w:tc>
        <w:tc>
          <w:tcPr>
            <w:tcW w:type="dxa" w:w="1080"/>
            <w:vAlign w:val="center"/>
            <w:shd w:fill="D9EAF7"/>
          </w:tcPr>
          <w:p>
            <w:r>
              <w:rPr>
                <w:b/>
              </w:rPr>
            </w:r>
            <w:r>
              <w:rPr>
                <w:sz w:val="15"/>
              </w:rPr>
              <w:t>Difference</w:t>
            </w:r>
          </w:p>
        </w:tc>
        <w:tc>
          <w:tcPr>
            <w:tcW w:type="dxa" w:w="1872"/>
            <w:vAlign w:val="center"/>
            <w:shd w:fill="D9EAF7"/>
          </w:tcPr>
          <w:p>
            <w:r>
              <w:rPr>
                <w:b/>
              </w:rPr>
            </w:r>
            <w:r>
              <w:rPr>
                <w:sz w:val="15"/>
              </w:rPr>
              <w:t>95% CI</w:t>
            </w:r>
          </w:p>
        </w:tc>
        <w:tc>
          <w:tcPr>
            <w:tcW w:type="dxa" w:w="1944"/>
            <w:vAlign w:val="center"/>
            <w:shd w:fill="D9EAF7"/>
          </w:tcPr>
          <w:p>
            <w:r>
              <w:rPr>
                <w:b/>
              </w:rPr>
            </w:r>
            <w:r>
              <w:rPr>
                <w:sz w:val="15"/>
              </w:rPr>
              <w:t>Holm-adjusted bootstrap p</w:t>
            </w:r>
          </w:p>
        </w:tc>
        <w:tc>
          <w:tcPr>
            <w:tcW w:type="dxa" w:w="1944"/>
            <w:vAlign w:val="center"/>
            <w:shd w:fill="D9EAF7"/>
          </w:tcPr>
          <w:p>
            <w:r>
              <w:rPr>
                <w:b/>
              </w:rPr>
            </w:r>
            <w:r>
              <w:rPr>
                <w:sz w:val="15"/>
              </w:rPr>
              <w:t>Holm-adjusted McNemar p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sz w:val="15"/>
              </w:rPr>
              <w:t>Internal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sz w:val="15"/>
              </w:rPr>
              <w:t>PaDEL + Morgan + GFN2-xTB vs PaDEL + Morgan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5"/>
              </w:rPr>
              <w:t>Balanced accuracy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sz w:val="15"/>
              </w:rPr>
              <w:t>+0.001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sz w:val="15"/>
              </w:rPr>
              <w:t>-0.007 to +0.009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sz w:val="15"/>
              </w:rPr>
              <w:t>1.0000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sz w:val="15"/>
              </w:rPr>
              <w:t>0.8390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sz w:val="15"/>
              </w:rPr>
              <w:t>Internal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sz w:val="15"/>
              </w:rPr>
              <w:t>PaDEL + Morgan + GFN2-xTB vs PaDEL + Morgan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5"/>
              </w:rPr>
              <w:t>AUPRC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sz w:val="15"/>
              </w:rPr>
              <w:t>+0.002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sz w:val="15"/>
              </w:rPr>
              <w:t>-0.001 to +0.005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sz w:val="15"/>
              </w:rPr>
              <w:t>0.6160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sz w:val="15"/>
              </w:rPr>
              <w:t>0.8390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sz w:val="15"/>
              </w:rPr>
              <w:t>Internal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sz w:val="15"/>
              </w:rPr>
              <w:t>Frozen Uni-Mol v1 vs PaDEL + Morgan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5"/>
              </w:rPr>
              <w:t>Balanced accuracy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sz w:val="15"/>
              </w:rPr>
              <w:t>-0.041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sz w:val="15"/>
              </w:rPr>
              <w:t>-0.060 to -0.022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sz w:val="15"/>
              </w:rPr>
              <w:t>&lt;0.001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sz w:val="15"/>
              </w:rPr>
              <w:t>0.0000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sz w:val="15"/>
              </w:rPr>
              <w:t>Internal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sz w:val="15"/>
              </w:rPr>
              <w:t>Frozen Uni-Mol v1 vs PaDEL + Morgan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5"/>
              </w:rPr>
              <w:t>AUPRC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sz w:val="15"/>
              </w:rPr>
              <w:t>-0.036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sz w:val="15"/>
              </w:rPr>
              <w:t>-0.045 to -0.027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sz w:val="15"/>
              </w:rPr>
              <w:t>&lt;0.001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sz w:val="15"/>
              </w:rPr>
              <w:t>0.0000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sz w:val="15"/>
              </w:rPr>
              <w:t>External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sz w:val="15"/>
              </w:rPr>
              <w:t>PaDEL + Morgan + GFN2-xTB vs PaDEL + Morgan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5"/>
              </w:rPr>
              <w:t>Balanced accuracy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sz w:val="15"/>
              </w:rPr>
              <w:t>+0.008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sz w:val="15"/>
              </w:rPr>
              <w:t>-0.012 to +0.028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sz w:val="15"/>
              </w:rPr>
              <w:t>1.0000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sz w:val="15"/>
              </w:rPr>
              <w:t>1.0000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sz w:val="15"/>
              </w:rPr>
              <w:t>External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sz w:val="15"/>
              </w:rPr>
              <w:t>PaDEL + Morgan + GFN2-xTB vs PaDEL + Morgan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5"/>
              </w:rPr>
              <w:t>AUPRC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sz w:val="15"/>
              </w:rPr>
              <w:t>+0.017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sz w:val="15"/>
              </w:rPr>
              <w:t>-0.002 to +0.039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sz w:val="15"/>
              </w:rPr>
              <w:t>0.5050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sz w:val="15"/>
              </w:rPr>
              <w:t>1.0000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sz w:val="15"/>
              </w:rPr>
              <w:t>External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sz w:val="15"/>
              </w:rPr>
              <w:t>Frozen Uni-Mol v1 vs PaDEL + Morgan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5"/>
              </w:rPr>
              <w:t>Balanced accuracy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sz w:val="15"/>
              </w:rPr>
              <w:t>-0.025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sz w:val="15"/>
              </w:rPr>
              <w:t>-0.079 to +0.029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sz w:val="15"/>
              </w:rPr>
              <w:t>1.0000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sz w:val="15"/>
              </w:rPr>
              <w:t>0.8390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sz w:val="15"/>
              </w:rPr>
              <w:t>External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sz w:val="15"/>
              </w:rPr>
              <w:t>Frozen Uni-Mol v1 vs PaDEL + Morgan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5"/>
              </w:rPr>
              <w:t>AUPRC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sz w:val="15"/>
              </w:rPr>
              <w:t>-0.061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sz w:val="15"/>
              </w:rPr>
              <w:t>-0.129 to +0.004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sz w:val="15"/>
              </w:rPr>
              <w:t>0.3600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sz w:val="15"/>
              </w:rPr>
              <w:t>0.8390</w:t>
            </w:r>
          </w:p>
        </w:tc>
      </w:tr>
    </w:tbl>
    <w:p>
      <w:r>
        <w:br w:type="page"/>
      </w:r>
    </w:p>
    <w:p>
      <w:pPr>
        <w:pStyle w:val="Heading1"/>
      </w:pPr>
      <w:r>
        <w:t>Supplementary Table S3</w:t>
      </w:r>
    </w:p>
    <w:p>
      <w:r>
        <w:t>Independent external results for each deployed model and their probability-averaged ensemble. Confidence intervals use 2,000 scaffold-clustered bootstrap resamples.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c>
          <w:tcPr>
            <w:tcW w:type="dxa" w:w="3240"/>
            <w:vAlign w:val="center"/>
            <w:shd w:fill="D9EAF7"/>
          </w:tcPr>
          <w:p>
            <w:r>
              <w:rPr>
                <w:b/>
              </w:rPr>
            </w:r>
            <w:r>
              <w:rPr>
                <w:sz w:val="15"/>
              </w:rPr>
              <w:t>Model</w:t>
            </w:r>
          </w:p>
        </w:tc>
        <w:tc>
          <w:tcPr>
            <w:tcW w:type="dxa" w:w="1872"/>
            <w:vAlign w:val="center"/>
            <w:shd w:fill="D9EAF7"/>
          </w:tcPr>
          <w:p>
            <w:r>
              <w:rPr>
                <w:b/>
              </w:rPr>
            </w:r>
            <w:r>
              <w:rPr>
                <w:sz w:val="15"/>
              </w:rPr>
              <w:t>Balanced accuracy</w:t>
            </w:r>
          </w:p>
        </w:tc>
        <w:tc>
          <w:tcPr>
            <w:tcW w:type="dxa" w:w="1872"/>
            <w:vAlign w:val="center"/>
            <w:shd w:fill="D9EAF7"/>
          </w:tcPr>
          <w:p>
            <w:r>
              <w:rPr>
                <w:b/>
              </w:rPr>
            </w:r>
            <w:r>
              <w:rPr>
                <w:sz w:val="15"/>
              </w:rPr>
              <w:t>AUPRC</w:t>
            </w:r>
          </w:p>
        </w:tc>
        <w:tc>
          <w:tcPr>
            <w:tcW w:type="dxa" w:w="1872"/>
            <w:vAlign w:val="center"/>
            <w:shd w:fill="D9EAF7"/>
          </w:tcPr>
          <w:p>
            <w:r>
              <w:rPr>
                <w:b/>
              </w:rPr>
            </w:r>
            <w:r>
              <w:rPr>
                <w:sz w:val="15"/>
              </w:rPr>
              <w:t>Sensitivity</w:t>
            </w:r>
          </w:p>
        </w:tc>
        <w:tc>
          <w:tcPr>
            <w:tcW w:type="dxa" w:w="1872"/>
            <w:vAlign w:val="center"/>
            <w:shd w:fill="D9EAF7"/>
          </w:tcPr>
          <w:p>
            <w:r>
              <w:rPr>
                <w:b/>
              </w:rPr>
            </w:r>
            <w:r>
              <w:rPr>
                <w:sz w:val="15"/>
              </w:rPr>
              <w:t>Specificity</w:t>
            </w:r>
          </w:p>
        </w:tc>
        <w:tc>
          <w:tcPr>
            <w:tcW w:type="dxa" w:w="1872"/>
            <w:vAlign w:val="center"/>
            <w:shd w:fill="D9EAF7"/>
          </w:tcPr>
          <w:p>
            <w:r>
              <w:rPr>
                <w:b/>
              </w:rPr>
            </w:r>
            <w:r>
              <w:rPr>
                <w:sz w:val="15"/>
              </w:rPr>
              <w:t>MCC</w:t>
            </w:r>
          </w:p>
        </w:tc>
        <w:tc>
          <w:tcPr>
            <w:tcW w:type="dxa" w:w="1800"/>
            <w:vAlign w:val="center"/>
            <w:shd w:fill="D9EAF7"/>
          </w:tcPr>
          <w:p>
            <w:r>
              <w:rPr>
                <w:b/>
              </w:rPr>
            </w:r>
            <w:r>
              <w:rPr>
                <w:sz w:val="15"/>
              </w:rPr>
              <w:t>Brier score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sz w:val="15"/>
              </w:rPr>
              <w:t>PaDEL + Morgan LightGBM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sz w:val="15"/>
              </w:rPr>
              <w:t>0.651 (0.594-0.699)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sz w:val="15"/>
              </w:rPr>
              <w:t>0.651 (0.564-0.732)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sz w:val="15"/>
              </w:rPr>
              <w:t>0.652 (0.572-0.725)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sz w:val="15"/>
              </w:rPr>
              <w:t>0.651 (0.578-0.714)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sz w:val="15"/>
              </w:rPr>
              <w:t>0.295 (0.184-0.393)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sz w:val="15"/>
              </w:rPr>
              <w:t>0.222 (0.195-0.252)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sz w:val="15"/>
              </w:rPr>
              <w:t>PaDEL + Morgan Extra Trees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sz w:val="15"/>
              </w:rPr>
              <w:t>0.652 (0.595-0.700)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sz w:val="15"/>
              </w:rPr>
              <w:t>0.679 (0.590-0.755)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sz w:val="15"/>
              </w:rPr>
              <w:t>0.665 (0.584-0.739)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sz w:val="15"/>
              </w:rPr>
              <w:t>0.639 (0.560-0.711)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sz w:val="15"/>
              </w:rPr>
              <w:t>0.296 (0.183-0.393)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sz w:val="15"/>
              </w:rPr>
              <w:t>0.212 (0.197-0.229)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sz w:val="15"/>
              </w:rPr>
              <w:t>PaDEL + Morgan + ChemBERTa XGBoost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sz w:val="15"/>
              </w:rPr>
              <w:t>0.655 (0.599-0.706)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sz w:val="15"/>
              </w:rPr>
              <w:t>0.644 (0.549-0.735)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sz w:val="15"/>
              </w:rPr>
              <w:t>0.620 (0.540-0.696)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sz w:val="15"/>
              </w:rPr>
              <w:t>0.690 (0.618-0.753)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sz w:val="15"/>
              </w:rPr>
              <w:t>0.306 (0.192-0.408)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sz w:val="15"/>
              </w:rPr>
              <w:t>0.211 (0.189-0.237)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sz w:val="15"/>
              </w:rPr>
              <w:t>BrainRoute probability-averaged ensemble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sz w:val="15"/>
              </w:rPr>
              <w:t>0.659 (0.600-0.712)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sz w:val="15"/>
              </w:rPr>
              <w:t>0.670 (0.583-0.752)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sz w:val="15"/>
              </w:rPr>
              <w:t>0.652 (0.568-0.726)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sz w:val="15"/>
              </w:rPr>
              <w:t>0.667 (0.590-0.735)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sz w:val="15"/>
              </w:rPr>
              <w:t>0.311 (0.194-0.417)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sz w:val="15"/>
              </w:rPr>
              <w:t>0.209 (0.188-0.233)</w:t>
            </w:r>
          </w:p>
        </w:tc>
      </w:tr>
    </w:tbl>
    <w:p>
      <w:pPr>
        <w:pStyle w:val="Heading1"/>
      </w:pPr>
      <w:r>
        <w:t>Supplementary Table S4</w:t>
      </w:r>
    </w:p>
    <w:p>
      <w:r>
        <w:t>External-set attrition and chemical-space comparison.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26"/>
        <w:gridCol w:w="1426"/>
        <w:gridCol w:w="1426"/>
        <w:gridCol w:w="1426"/>
        <w:gridCol w:w="1426"/>
        <w:gridCol w:w="1426"/>
        <w:gridCol w:w="1426"/>
        <w:gridCol w:w="1426"/>
        <w:gridCol w:w="1426"/>
        <w:gridCol w:w="1426"/>
      </w:tblGrid>
      <w:tr>
        <w:tc>
          <w:tcPr>
            <w:tcW w:type="dxa" w:w="2880"/>
            <w:vAlign w:val="center"/>
            <w:shd w:fill="D9EAF7"/>
          </w:tcPr>
          <w:p>
            <w:r>
              <w:rPr>
                <w:b/>
              </w:rPr>
            </w:r>
            <w:r>
              <w:rPr>
                <w:sz w:val="14"/>
              </w:rPr>
              <w:t>Cohort</w:t>
            </w:r>
          </w:p>
        </w:tc>
        <w:tc>
          <w:tcPr>
            <w:tcW w:type="dxa" w:w="648"/>
            <w:vAlign w:val="center"/>
            <w:shd w:fill="D9EAF7"/>
          </w:tcPr>
          <w:p>
            <w:r>
              <w:rPr>
                <w:b/>
              </w:rPr>
            </w:r>
            <w:r>
              <w:rPr>
                <w:sz w:val="14"/>
              </w:rPr>
              <w:t>n</w:t>
            </w:r>
          </w:p>
        </w:tc>
        <w:tc>
          <w:tcPr>
            <w:tcW w:type="dxa" w:w="792"/>
            <w:vAlign w:val="center"/>
            <w:shd w:fill="D9EAF7"/>
          </w:tcPr>
          <w:p>
            <w:r>
              <w:rPr>
                <w:b/>
              </w:rPr>
            </w:r>
            <w:r>
              <w:rPr>
                <w:sz w:val="14"/>
              </w:rPr>
              <w:t>BBB+</w:t>
            </w:r>
          </w:p>
        </w:tc>
        <w:tc>
          <w:tcPr>
            <w:tcW w:type="dxa" w:w="792"/>
            <w:vAlign w:val="center"/>
            <w:shd w:fill="D9EAF7"/>
          </w:tcPr>
          <w:p>
            <w:r>
              <w:rPr>
                <w:b/>
              </w:rPr>
            </w:r>
            <w:r>
              <w:rPr>
                <w:sz w:val="14"/>
              </w:rPr>
              <w:t>BBB-</w:t>
            </w:r>
          </w:p>
        </w:tc>
        <w:tc>
          <w:tcPr>
            <w:tcW w:type="dxa" w:w="936"/>
            <w:vAlign w:val="center"/>
            <w:shd w:fill="D9EAF7"/>
          </w:tcPr>
          <w:p>
            <w:r>
              <w:rPr>
                <w:b/>
              </w:rPr>
            </w:r>
            <w:r>
              <w:rPr>
                <w:sz w:val="14"/>
              </w:rPr>
              <w:t>BBB+ %</w:t>
            </w:r>
          </w:p>
        </w:tc>
        <w:tc>
          <w:tcPr>
            <w:tcW w:type="dxa" w:w="1008"/>
            <w:vAlign w:val="center"/>
            <w:shd w:fill="D9EAF7"/>
          </w:tcPr>
          <w:p>
            <w:r>
              <w:rPr>
                <w:b/>
              </w:rPr>
            </w:r>
            <w:r>
              <w:rPr>
                <w:sz w:val="14"/>
              </w:rPr>
              <w:t>Mean MW</w:t>
            </w:r>
          </w:p>
        </w:tc>
        <w:tc>
          <w:tcPr>
            <w:tcW w:type="dxa" w:w="936"/>
            <w:vAlign w:val="center"/>
            <w:shd w:fill="D9EAF7"/>
          </w:tcPr>
          <w:p>
            <w:r>
              <w:rPr>
                <w:b/>
              </w:rPr>
            </w:r>
            <w:r>
              <w:rPr>
                <w:sz w:val="14"/>
              </w:rPr>
              <w:t>Mean logP</w:t>
            </w:r>
          </w:p>
        </w:tc>
        <w:tc>
          <w:tcPr>
            <w:tcW w:type="dxa" w:w="1080"/>
            <w:vAlign w:val="center"/>
            <w:shd w:fill="D9EAF7"/>
          </w:tcPr>
          <w:p>
            <w:r>
              <w:rPr>
                <w:b/>
              </w:rPr>
            </w:r>
            <w:r>
              <w:rPr>
                <w:sz w:val="14"/>
              </w:rPr>
              <w:t>Mean TPSA</w:t>
            </w:r>
          </w:p>
        </w:tc>
        <w:tc>
          <w:tcPr>
            <w:tcW w:type="dxa" w:w="2088"/>
            <w:vAlign w:val="center"/>
            <w:shd w:fill="D9EAF7"/>
          </w:tcPr>
          <w:p>
            <w:r>
              <w:rPr>
                <w:b/>
              </w:rPr>
            </w:r>
            <w:r>
              <w:rPr>
                <w:sz w:val="14"/>
              </w:rPr>
              <w:t>Mean nearest-training Tanimoto</w:t>
            </w:r>
          </w:p>
        </w:tc>
        <w:tc>
          <w:tcPr>
            <w:tcW w:type="dxa" w:w="1872"/>
            <w:vAlign w:val="center"/>
            <w:shd w:fill="D9EAF7"/>
          </w:tcPr>
          <w:p>
            <w:r>
              <w:rPr>
                <w:b/>
              </w:rPr>
            </w:r>
            <w:r>
              <w:rPr>
                <w:sz w:val="14"/>
              </w:rPr>
              <w:t>Seen non-empty scaffold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14"/>
              </w:rPr>
              <w:t>Exact training overlaps removed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sz w:val="14"/>
              </w:rPr>
              <w:t>358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sz w:val="14"/>
              </w:rPr>
              <w:t>270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sz w:val="14"/>
              </w:rPr>
              <w:t>88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sz w:val="14"/>
              </w:rPr>
              <w:t>75.4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sz w:val="14"/>
              </w:rPr>
              <w:t>320.7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sz w:val="14"/>
              </w:rPr>
              <w:t>2.76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sz w:val="14"/>
              </w:rPr>
              <w:t>60.62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sz w:val="14"/>
              </w:rPr>
              <w:t>Not calculated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sz w:val="14"/>
              </w:rPr>
              <w:t>328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14"/>
              </w:rPr>
              <w:t>PaDEL descriptor failures excluded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sz w:val="14"/>
              </w:rPr>
              <w:t>153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sz w:val="14"/>
              </w:rPr>
              <w:t>50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sz w:val="14"/>
              </w:rPr>
              <w:t>103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sz w:val="14"/>
              </w:rPr>
              <w:t>32.7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sz w:val="14"/>
              </w:rPr>
              <w:t>532.5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sz w:val="14"/>
              </w:rPr>
              <w:t>3.24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sz w:val="14"/>
              </w:rPr>
              <w:t>118.59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sz w:val="14"/>
              </w:rPr>
              <w:t>0.427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sz w:val="14"/>
              </w:rPr>
              <w:t>36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14"/>
              </w:rPr>
              <w:t>Retained external validation cohort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sz w:val="14"/>
              </w:rPr>
              <w:t>410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sz w:val="14"/>
              </w:rPr>
              <w:t>158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sz w:val="14"/>
              </w:rPr>
              <w:t>252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sz w:val="14"/>
              </w:rPr>
              <w:t>38.5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sz w:val="14"/>
              </w:rPr>
              <w:t>375.7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sz w:val="14"/>
              </w:rPr>
              <w:t>3.13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sz w:val="14"/>
              </w:rPr>
              <w:t>80.36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sz w:val="14"/>
              </w:rPr>
              <w:t>0.383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sz w:val="14"/>
              </w:rPr>
              <w:t>84</w:t>
            </w:r>
          </w:p>
        </w:tc>
      </w:tr>
    </w:tbl>
    <w:p>
      <w:pPr>
        <w:pStyle w:val="Heading1"/>
      </w:pPr>
      <w:r>
        <w:t>Supplementary Table S5</w:t>
      </w:r>
    </w:p>
    <w:p>
      <w:r>
        <w:t>Source-exclusive validation. The fixed classification threshold was 0.5.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1584"/>
        <w:gridCol w:w="1584"/>
        <w:gridCol w:w="1584"/>
        <w:gridCol w:w="1584"/>
        <w:gridCol w:w="1584"/>
        <w:gridCol w:w="1584"/>
        <w:gridCol w:w="1584"/>
        <w:gridCol w:w="1584"/>
      </w:tblGrid>
      <w:tr>
        <w:tc>
          <w:tcPr>
            <w:tcW w:type="dxa" w:w="3024"/>
            <w:vAlign w:val="center"/>
            <w:shd w:fill="D9EAF7"/>
          </w:tcPr>
          <w:p>
            <w:r>
              <w:rPr>
                <w:b/>
              </w:rPr>
            </w:r>
            <w:r>
              <w:rPr>
                <w:sz w:val="14"/>
              </w:rPr>
              <w:t>Configuration</w:t>
            </w:r>
          </w:p>
        </w:tc>
        <w:tc>
          <w:tcPr>
            <w:tcW w:type="dxa" w:w="2952"/>
            <w:vAlign w:val="center"/>
            <w:shd w:fill="D9EAF7"/>
          </w:tcPr>
          <w:p>
            <w:r>
              <w:rPr>
                <w:b/>
              </w:rPr>
            </w:r>
            <w:r>
              <w:rPr>
                <w:sz w:val="14"/>
              </w:rPr>
              <w:t>Direction</w:t>
            </w:r>
          </w:p>
        </w:tc>
        <w:tc>
          <w:tcPr>
            <w:tcW w:type="dxa" w:w="936"/>
            <w:vAlign w:val="center"/>
            <w:shd w:fill="D9EAF7"/>
          </w:tcPr>
          <w:p>
            <w:r>
              <w:rPr>
                <w:b/>
              </w:rPr>
            </w:r>
            <w:r>
              <w:rPr>
                <w:sz w:val="14"/>
              </w:rPr>
              <w:t>Train n</w:t>
            </w:r>
          </w:p>
        </w:tc>
        <w:tc>
          <w:tcPr>
            <w:tcW w:type="dxa" w:w="936"/>
            <w:vAlign w:val="center"/>
            <w:shd w:fill="D9EAF7"/>
          </w:tcPr>
          <w:p>
            <w:r>
              <w:rPr>
                <w:b/>
              </w:rPr>
            </w:r>
            <w:r>
              <w:rPr>
                <w:sz w:val="14"/>
              </w:rPr>
              <w:t>Test n</w:t>
            </w:r>
          </w:p>
        </w:tc>
        <w:tc>
          <w:tcPr>
            <w:tcW w:type="dxa" w:w="1440"/>
            <w:vAlign w:val="center"/>
            <w:shd w:fill="D9EAF7"/>
          </w:tcPr>
          <w:p>
            <w:r>
              <w:rPr>
                <w:b/>
              </w:rPr>
            </w:r>
            <w:r>
              <w:rPr>
                <w:sz w:val="14"/>
              </w:rPr>
              <w:t>Test BBB+ / BBB-</w:t>
            </w:r>
          </w:p>
        </w:tc>
        <w:tc>
          <w:tcPr>
            <w:tcW w:type="dxa" w:w="1512"/>
            <w:vAlign w:val="center"/>
            <w:shd w:fill="D9EAF7"/>
          </w:tcPr>
          <w:p>
            <w:r>
              <w:rPr>
                <w:b/>
              </w:rPr>
            </w:r>
            <w:r>
              <w:rPr>
                <w:sz w:val="14"/>
              </w:rPr>
              <w:t>Balanced accuracy</w:t>
            </w:r>
          </w:p>
        </w:tc>
        <w:tc>
          <w:tcPr>
            <w:tcW w:type="dxa" w:w="1080"/>
            <w:vAlign w:val="center"/>
            <w:shd w:fill="D9EAF7"/>
          </w:tcPr>
          <w:p>
            <w:r>
              <w:rPr>
                <w:b/>
              </w:rPr>
            </w:r>
            <w:r>
              <w:rPr>
                <w:sz w:val="14"/>
              </w:rPr>
              <w:t>AUPRC</w:t>
            </w:r>
          </w:p>
        </w:tc>
        <w:tc>
          <w:tcPr>
            <w:tcW w:type="dxa" w:w="1152"/>
            <w:vAlign w:val="center"/>
            <w:shd w:fill="D9EAF7"/>
          </w:tcPr>
          <w:p>
            <w:r>
              <w:rPr>
                <w:b/>
              </w:rPr>
            </w:r>
            <w:r>
              <w:rPr>
                <w:sz w:val="14"/>
              </w:rPr>
              <w:t>Sensitivity</w:t>
            </w:r>
          </w:p>
        </w:tc>
        <w:tc>
          <w:tcPr>
            <w:tcW w:type="dxa" w:w="1152"/>
            <w:vAlign w:val="center"/>
            <w:shd w:fill="D9EAF7"/>
          </w:tcPr>
          <w:p>
            <w:r>
              <w:rPr>
                <w:b/>
              </w:rPr>
            </w:r>
            <w:r>
              <w:rPr>
                <w:sz w:val="14"/>
              </w:rPr>
              <w:t>Specificity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sz w:val="14"/>
              </w:rPr>
              <w:t>PaDEL + Morgan</w:t>
            </w:r>
          </w:p>
        </w:tc>
        <w:tc>
          <w:tcPr>
            <w:tcW w:type="dxa" w:w="2952"/>
            <w:vAlign w:val="center"/>
          </w:tcPr>
          <w:p>
            <w:r/>
            <w:r>
              <w:rPr>
                <w:sz w:val="14"/>
              </w:rPr>
              <w:t>B3DB-exclusive → MoleculeNet-exclusive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sz w:val="14"/>
              </w:rPr>
              <w:t>5,941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sz w:val="14"/>
              </w:rPr>
              <w:t>280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4"/>
              </w:rPr>
              <w:t>150 / 130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sz w:val="14"/>
              </w:rPr>
              <w:t>0.754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sz w:val="14"/>
              </w:rPr>
              <w:t>0.827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sz w:val="14"/>
              </w:rPr>
              <w:t>0.693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sz w:val="14"/>
              </w:rPr>
              <w:t>0.815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sz w:val="14"/>
              </w:rPr>
              <w:t>PaDEL + Morgan</w:t>
            </w:r>
          </w:p>
        </w:tc>
        <w:tc>
          <w:tcPr>
            <w:tcW w:type="dxa" w:w="2952"/>
            <w:vAlign w:val="center"/>
          </w:tcPr>
          <w:p>
            <w:r/>
            <w:r>
              <w:rPr>
                <w:sz w:val="14"/>
              </w:rPr>
              <w:t>MoleculeNet-exclusive → B3DB-exclusive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sz w:val="14"/>
              </w:rPr>
              <w:t>280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sz w:val="14"/>
              </w:rPr>
              <w:t>5,941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4"/>
              </w:rPr>
              <w:t>3909 / 2032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sz w:val="14"/>
              </w:rPr>
              <w:t>0.637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sz w:val="14"/>
              </w:rPr>
              <w:t>0.778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sz w:val="14"/>
              </w:rPr>
              <w:t>0.726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sz w:val="14"/>
              </w:rPr>
              <w:t>0.547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sz w:val="14"/>
              </w:rPr>
              <w:t>PaDEL + Morgan + GFN2-xTB</w:t>
            </w:r>
          </w:p>
        </w:tc>
        <w:tc>
          <w:tcPr>
            <w:tcW w:type="dxa" w:w="2952"/>
            <w:vAlign w:val="center"/>
          </w:tcPr>
          <w:p>
            <w:r/>
            <w:r>
              <w:rPr>
                <w:sz w:val="14"/>
              </w:rPr>
              <w:t>B3DB-exclusive → MoleculeNet-exclusive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sz w:val="14"/>
              </w:rPr>
              <w:t>5,941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sz w:val="14"/>
              </w:rPr>
              <w:t>280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4"/>
              </w:rPr>
              <w:t>150 / 130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sz w:val="14"/>
              </w:rPr>
              <w:t>0.762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sz w:val="14"/>
              </w:rPr>
              <w:t>0.833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sz w:val="14"/>
              </w:rPr>
              <w:t>0.740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sz w:val="14"/>
              </w:rPr>
              <w:t>0.785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sz w:val="14"/>
              </w:rPr>
              <w:t>PaDEL + Morgan + GFN2-xTB</w:t>
            </w:r>
          </w:p>
        </w:tc>
        <w:tc>
          <w:tcPr>
            <w:tcW w:type="dxa" w:w="2952"/>
            <w:vAlign w:val="center"/>
          </w:tcPr>
          <w:p>
            <w:r/>
            <w:r>
              <w:rPr>
                <w:sz w:val="14"/>
              </w:rPr>
              <w:t>MoleculeNet-exclusive → B3DB-exclusive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sz w:val="14"/>
              </w:rPr>
              <w:t>280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sz w:val="14"/>
              </w:rPr>
              <w:t>5,941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4"/>
              </w:rPr>
              <w:t>3909 / 2032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sz w:val="14"/>
              </w:rPr>
              <w:t>0.637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sz w:val="14"/>
              </w:rPr>
              <w:t>0.783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sz w:val="14"/>
              </w:rPr>
              <w:t>0.728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sz w:val="14"/>
              </w:rPr>
              <w:t>0.545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sz w:val="14"/>
              </w:rPr>
              <w:t>Frozen Uni-Mol v1</w:t>
            </w:r>
          </w:p>
        </w:tc>
        <w:tc>
          <w:tcPr>
            <w:tcW w:type="dxa" w:w="2952"/>
            <w:vAlign w:val="center"/>
          </w:tcPr>
          <w:p>
            <w:r/>
            <w:r>
              <w:rPr>
                <w:sz w:val="14"/>
              </w:rPr>
              <w:t>B3DB-exclusive → MoleculeNet-exclusive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sz w:val="14"/>
              </w:rPr>
              <w:t>5,941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sz w:val="14"/>
              </w:rPr>
              <w:t>280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4"/>
              </w:rPr>
              <w:t>150 / 130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sz w:val="14"/>
              </w:rPr>
              <w:t>0.744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sz w:val="14"/>
              </w:rPr>
              <w:t>0.831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sz w:val="14"/>
              </w:rPr>
              <w:t>0.673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sz w:val="14"/>
              </w:rPr>
              <w:t>0.815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sz w:val="14"/>
              </w:rPr>
              <w:t>Frozen Uni-Mol v1</w:t>
            </w:r>
          </w:p>
        </w:tc>
        <w:tc>
          <w:tcPr>
            <w:tcW w:type="dxa" w:w="2952"/>
            <w:vAlign w:val="center"/>
          </w:tcPr>
          <w:p>
            <w:r/>
            <w:r>
              <w:rPr>
                <w:sz w:val="14"/>
              </w:rPr>
              <w:t>MoleculeNet-exclusive → B3DB-exclusive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sz w:val="14"/>
              </w:rPr>
              <w:t>280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sz w:val="14"/>
              </w:rPr>
              <w:t>5,941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4"/>
              </w:rPr>
              <w:t>3909 / 2032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sz w:val="14"/>
              </w:rPr>
              <w:t>0.636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sz w:val="14"/>
              </w:rPr>
              <w:t>0.793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sz w:val="14"/>
              </w:rPr>
              <w:t>0.678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sz w:val="14"/>
              </w:rPr>
              <w:t>0.593</w:t>
            </w:r>
          </w:p>
        </w:tc>
      </w:tr>
    </w:tbl>
    <w:p>
      <w:pPr>
        <w:pStyle w:val="Heading1"/>
        <w:pageBreakBefore/>
      </w:pPr>
      <w:r>
        <w:t>Supplementary Table S6</w:t>
      </w:r>
    </w:p>
    <w:p>
      <w:r>
        <w:t>Model-specific handling of class imbalance and validation roles.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3312"/>
            <w:vAlign w:val="center"/>
            <w:shd w:fill="D9EAF7"/>
          </w:tcPr>
          <w:p>
            <w:r>
              <w:rPr>
                <w:b/>
              </w:rPr>
            </w:r>
            <w:r>
              <w:rPr>
                <w:sz w:val="17"/>
              </w:rPr>
              <w:t>Classifier</w:t>
            </w:r>
          </w:p>
        </w:tc>
        <w:tc>
          <w:tcPr>
            <w:tcW w:type="dxa" w:w="10224"/>
            <w:vAlign w:val="center"/>
            <w:shd w:fill="D9EAF7"/>
          </w:tcPr>
          <w:p>
            <w:r>
              <w:rPr>
                <w:b/>
              </w:rPr>
            </w:r>
            <w:r>
              <w:rPr>
                <w:sz w:val="17"/>
              </w:rPr>
              <w:t>Imbalance handling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sz w:val="17"/>
              </w:rPr>
              <w:t>Logistic Regression</w:t>
            </w:r>
          </w:p>
        </w:tc>
        <w:tc>
          <w:tcPr>
            <w:tcW w:type="dxa" w:w="10224"/>
            <w:vAlign w:val="center"/>
          </w:tcPr>
          <w:p>
            <w:r/>
            <w:r>
              <w:rPr>
                <w:sz w:val="17"/>
              </w:rPr>
              <w:t>class_weight='balanced'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sz w:val="17"/>
              </w:rPr>
              <w:t>Random Forest</w:t>
            </w:r>
          </w:p>
        </w:tc>
        <w:tc>
          <w:tcPr>
            <w:tcW w:type="dxa" w:w="10224"/>
            <w:vAlign w:val="center"/>
          </w:tcPr>
          <w:p>
            <w:r/>
            <w:r>
              <w:rPr>
                <w:sz w:val="17"/>
              </w:rPr>
              <w:t>class_weight='balanced'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sz w:val="17"/>
              </w:rPr>
              <w:t>Extra Trees</w:t>
            </w:r>
          </w:p>
        </w:tc>
        <w:tc>
          <w:tcPr>
            <w:tcW w:type="dxa" w:w="10224"/>
            <w:vAlign w:val="center"/>
          </w:tcPr>
          <w:p>
            <w:r/>
            <w:r>
              <w:rPr>
                <w:sz w:val="17"/>
              </w:rPr>
              <w:t>class_weight='balanced'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sz w:val="17"/>
              </w:rPr>
              <w:t>LightGBM</w:t>
            </w:r>
          </w:p>
        </w:tc>
        <w:tc>
          <w:tcPr>
            <w:tcW w:type="dxa" w:w="10224"/>
            <w:vAlign w:val="center"/>
          </w:tcPr>
          <w:p>
            <w:r/>
            <w:r>
              <w:rPr>
                <w:sz w:val="17"/>
              </w:rPr>
              <w:t>class_weight='balanced'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sz w:val="17"/>
              </w:rPr>
              <w:t>XGBoost</w:t>
            </w:r>
          </w:p>
        </w:tc>
        <w:tc>
          <w:tcPr>
            <w:tcW w:type="dxa" w:w="10224"/>
            <w:vAlign w:val="center"/>
          </w:tcPr>
          <w:p>
            <w:r/>
            <w:r>
              <w:rPr>
                <w:sz w:val="17"/>
              </w:rPr>
              <w:t>scale_pos_weight = n_negative / n_positive in each outer training partition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sz w:val="17"/>
              </w:rPr>
              <w:t>K-Nearest Neighbors</w:t>
            </w:r>
          </w:p>
        </w:tc>
        <w:tc>
          <w:tcPr>
            <w:tcW w:type="dxa" w:w="10224"/>
            <w:vAlign w:val="center"/>
          </w:tcPr>
          <w:p>
            <w:r/>
            <w:r>
              <w:rPr>
                <w:sz w:val="17"/>
              </w:rPr>
              <w:t>no class-weight parameter; distance weighting was among tuned options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c>
          <w:tcPr>
            <w:tcW w:type="dxa" w:w="4464"/>
            <w:vAlign w:val="center"/>
            <w:shd w:fill="D9EAF7"/>
          </w:tcPr>
          <w:p>
            <w:r>
              <w:rPr>
                <w:b/>
              </w:rPr>
            </w:r>
            <w:r>
              <w:rPr>
                <w:sz w:val="15"/>
              </w:rPr>
              <w:t>Validation analysis</w:t>
            </w:r>
          </w:p>
        </w:tc>
        <w:tc>
          <w:tcPr>
            <w:tcW w:type="dxa" w:w="1080"/>
            <w:vAlign w:val="center"/>
            <w:shd w:fill="D9EAF7"/>
          </w:tcPr>
          <w:p>
            <w:r>
              <w:rPr>
                <w:b/>
              </w:rPr>
            </w:r>
            <w:r>
              <w:rPr>
                <w:sz w:val="15"/>
              </w:rPr>
              <w:t>Role</w:t>
            </w:r>
          </w:p>
        </w:tc>
        <w:tc>
          <w:tcPr>
            <w:tcW w:type="dxa" w:w="864"/>
            <w:vAlign w:val="center"/>
            <w:shd w:fill="D9EAF7"/>
          </w:tcPr>
          <w:p>
            <w:r>
              <w:rPr>
                <w:b/>
              </w:rPr>
            </w:r>
            <w:r>
              <w:rPr>
                <w:sz w:val="15"/>
              </w:rPr>
              <w:t>Splits</w:t>
            </w:r>
          </w:p>
        </w:tc>
        <w:tc>
          <w:tcPr>
            <w:tcW w:type="dxa" w:w="1440"/>
            <w:vAlign w:val="center"/>
            <w:shd w:fill="D9EAF7"/>
          </w:tcPr>
          <w:p>
            <w:r>
              <w:rPr>
                <w:b/>
              </w:rPr>
            </w:r>
            <w:r>
              <w:rPr>
                <w:sz w:val="15"/>
              </w:rPr>
              <w:t>InChIKey overlap</w:t>
            </w:r>
          </w:p>
        </w:tc>
        <w:tc>
          <w:tcPr>
            <w:tcW w:type="dxa" w:w="1800"/>
            <w:vAlign w:val="center"/>
            <w:shd w:fill="D9EAF7"/>
          </w:tcPr>
          <w:p>
            <w:r>
              <w:rPr>
                <w:b/>
              </w:rPr>
            </w:r>
            <w:r>
              <w:rPr>
                <w:sz w:val="15"/>
              </w:rPr>
              <w:t>Maximum scaffold overlap</w:t>
            </w:r>
          </w:p>
        </w:tc>
        <w:tc>
          <w:tcPr>
            <w:tcW w:type="dxa" w:w="3888"/>
            <w:vAlign w:val="center"/>
            <w:shd w:fill="D9EAF7"/>
          </w:tcPr>
          <w:p>
            <w:r>
              <w:rPr>
                <w:b/>
              </w:rPr>
            </w:r>
            <w:r>
              <w:rPr>
                <w:sz w:val="15"/>
              </w:rPr>
              <w:t>Interpretation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sz w:val="15"/>
              </w:rPr>
              <w:t>Primary five-fold scaffold-grouped cross-validation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sz w:val="15"/>
              </w:rPr>
              <w:t>primary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sz w:val="15"/>
              </w:rPr>
              <w:t>5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5"/>
              </w:rPr>
              <w:t>0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sz w:val="15"/>
              </w:rPr>
              <w:t>0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sz w:val="15"/>
              </w:rPr>
              <w:t>Primary internal estimate; core scaffolds are separated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sz w:val="15"/>
              </w:rPr>
              <w:t>Secondary repeated random holdout on the InChIKey-deduplicated cohort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sz w:val="15"/>
              </w:rPr>
              <w:t>secondary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sz w:val="15"/>
              </w:rPr>
              <w:t>5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5"/>
              </w:rPr>
              <w:t>0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sz w:val="15"/>
              </w:rPr>
              <w:t>579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sz w:val="15"/>
              </w:rPr>
              <w:t>Secondary analysis; structurally related molecules may occur across partitions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sz w:val="15"/>
              </w:rPr>
              <w:t>Secondary scaffold-group holdout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sz w:val="15"/>
              </w:rPr>
              <w:t>secondary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sz w:val="15"/>
              </w:rPr>
              <w:t>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5"/>
              </w:rPr>
              <w:t>0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sz w:val="15"/>
              </w:rPr>
              <w:t>0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sz w:val="15"/>
              </w:rPr>
              <w:t>Secondary analysis; structurally related molecules may occur across partitions</w:t>
            </w:r>
          </w:p>
        </w:tc>
      </w:tr>
    </w:tbl>
    <w:p/>
    <w:p>
      <w:r>
        <w:t>Supporting machine-readable files are located in brainroute_ml_validation/reports in the BrainRoute model repository. The principal files used for these tables are source_endpoint_harmonization.csv, matched_benchmark_performance_summary.csv, matched_benchmark_paired_comparisons.csv, deployed_external_bootstrap_ci.csv, revision_external_attrition_audit.csv, source_validation_metrics.csv, revision_model_weight_policy.csv, and revision_validation_strategy_summary.csv.</w:t>
      </w:r>
    </w:p>
    <w:sectPr w:rsidR="00FC693F" w:rsidRPr="0006063C" w:rsidSect="00034616"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BrainRoute supplementary tables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