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1.png" ContentType="image/png"/>
  <Override PartName="/word/media/rId3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53df677085d04bb9b18ca3ae3a4da78dee3c1"/>
    <w:p>
      <w:pPr>
        <w:pStyle w:val="Heading1"/>
      </w:pPr>
      <w:r>
        <w:rPr>
          <w:b/>
          <w:bCs/>
        </w:rPr>
        <w:t xml:space="preserve">Selphi 2: genotype-likelihood imputation for low-coverage and capture sequencing, unified with array phasing and imputation in one binary</w:t>
      </w:r>
    </w:p>
    <w:p>
      <w:pPr>
        <w:pStyle w:val="FirstParagraph"/>
      </w:pPr>
      <w:r>
        <w:t xml:space="preserve">Authors: Adriano De Marino</w:t>
      </w:r>
      <w:r>
        <w:rPr>
          <w:vertAlign w:val="superscript"/>
        </w:rPr>
        <w:t xml:space="preserve">1</w:t>
      </w:r>
      <w:r>
        <w:t xml:space="preserve">, Sandra Bohn</w:t>
      </w:r>
      <w:r>
        <w:rPr>
          <w:vertAlign w:val="superscript"/>
        </w:rPr>
        <w:t xml:space="preserve">1</w:t>
      </w:r>
      <w:r>
        <w:t xml:space="preserve">, Jon Lerga-Jaso</w:t>
      </w:r>
      <w:r>
        <w:rPr>
          <w:vertAlign w:val="superscript"/>
        </w:rPr>
        <w:t xml:space="preserve">1</w:t>
      </w:r>
      <w:r>
        <w:t xml:space="preserve">, Biljana Novković</w:t>
      </w:r>
      <w:r>
        <w:rPr>
          <w:vertAlign w:val="superscript"/>
        </w:rPr>
        <w:t xml:space="preserve">1</w:t>
      </w:r>
      <w:r>
        <w:t xml:space="preserve">, Andrew Terpolovsky</w:t>
      </w:r>
      <w:r>
        <w:rPr>
          <w:vertAlign w:val="superscript"/>
        </w:rPr>
        <w:t xml:space="preserve">1</w:t>
      </w:r>
      <w:r>
        <w:t xml:space="preserve">, Puya G. Yazdi</w:t>
      </w:r>
      <w:r>
        <w:rPr>
          <w:vertAlign w:val="superscript"/>
        </w:rPr>
        <w:t xml:space="preserve">1,*</w:t>
      </w:r>
    </w:p>
    <w:p>
      <w:pPr>
        <w:pStyle w:val="BodyText"/>
      </w:pPr>
      <w:r>
        <w:rPr>
          <w:vertAlign w:val="superscript"/>
        </w:rPr>
        <w:t xml:space="preserve">1</w:t>
      </w:r>
      <w:r>
        <w:t xml:space="preserve"> </w:t>
      </w:r>
      <w:r>
        <w:t xml:space="preserve">Research and Development, Omicsedge, Miami, FL, USA</w:t>
      </w:r>
    </w:p>
    <w:p>
      <w:pPr>
        <w:pStyle w:val="BodyText"/>
      </w:pPr>
      <w:r>
        <w:t xml:space="preserve">* Corresponding author: pyazdi@omicsedge.com</w:t>
      </w:r>
    </w:p>
    <w:bookmarkEnd w:id="9"/>
    <w:bookmarkStart w:id="10" w:name="abstract"/>
    <w:p>
      <w:pPr>
        <w:pStyle w:val="Heading1"/>
      </w:pPr>
      <w:r>
        <w:rPr>
          <w:b/>
          <w:bCs/>
        </w:rPr>
        <w:t xml:space="preserve">Abstract</w:t>
      </w:r>
    </w:p>
    <w:p>
      <w:pPr>
        <w:pStyle w:val="FirstParagraph"/>
      </w:pPr>
      <w: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t xml:space="preserve"> </w:t>
      </w:r>
      <w: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3.1</w:t>
      </w:r>
      <m:oMath>
        <m:r>
          <m:rPr>
            <m:sty m:val="p"/>
          </m:rPr>
          <m:t>×</m:t>
        </m:r>
      </m:oMath>
      <w:r>
        <w:t xml:space="preserve"> </w:t>
      </w:r>
      <w:r>
        <w:t xml:space="preserve">faster (104 versus 327 s, 16 threads). On 30</w:t>
      </w:r>
      <m:oMath>
        <m:r>
          <m:rPr>
            <m:sty m:val="p"/>
          </m:rPr>
          <m:t>×</m:t>
        </m:r>
      </m:oMath>
      <w:r>
        <w:t xml:space="preserve"> </w:t>
      </w:r>
      <w:r>
        <w:t xml:space="preserve">GIAB genomes downsampled to ~1.8</w:t>
      </w:r>
      <m:oMath>
        <m:r>
          <m:rPr>
            <m:sty m:val="p"/>
          </m:rPr>
          <m:t>×</m:t>
        </m:r>
      </m:oMath>
      <w:r>
        <w:t xml:space="preserve">, its per-sample dosage</w:t>
      </w:r>
      <w:r>
        <w:t xml:space="preserve"> </w:t>
      </w:r>
      <m:oMath>
        <m:sSup>
          <m:e>
            <m:r>
              <m:t>R</m:t>
            </m:r>
          </m:e>
          <m:sup>
            <m:r>
              <m:t>2</m:t>
            </m:r>
          </m:sup>
        </m:sSup>
      </m:oMath>
      <w:r>
        <w:t xml:space="preserve"> </w:t>
      </w:r>
      <w:r>
        <w:t xml:space="preserve">exceeds GLIMPSE2’s in five of six samples (0.9493 versus 0.9455), and across a 0.5-4</w:t>
      </w:r>
      <m:oMath>
        <m:r>
          <m:rPr>
            <m:sty m:val="p"/>
          </m:rPr>
          <m:t>×</m:t>
        </m:r>
      </m:oMath>
      <w:r>
        <w:t xml:space="preserve"> </w:t>
      </w:r>
      <w:r>
        <w:t xml:space="preserve">sweep it leads GLIMPSE2 and QUILT2 in overall</w:t>
      </w:r>
      <w:r>
        <w:t xml:space="preserve"> </w:t>
      </w:r>
      <m:oMath>
        <m:sSup>
          <m:e>
            <m:r>
              <m:t>R</m:t>
            </m:r>
          </m:e>
          <m:sup>
            <m:r>
              <m:t>2</m:t>
            </m:r>
          </m:sup>
        </m:sSup>
      </m:oMath>
      <w:r>
        <w:t xml:space="preserve"> </w:t>
      </w:r>
      <w: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up to 58% less memory than Beagle. It ships as one self-contained x86-64 and ARM64 binary writing five output formats from a single pass.</w:t>
      </w:r>
    </w:p>
    <w:bookmarkEnd w:id="10"/>
    <w:bookmarkStart w:id="14" w:name="introduction"/>
    <w:p>
      <w:pPr>
        <w:pStyle w:val="Heading1"/>
      </w:pPr>
      <w:r>
        <w:rPr>
          <w:b/>
          <w:bCs/>
        </w:rPr>
        <w:t xml:space="preserve">Introduction</w:t>
      </w:r>
    </w:p>
    <w:p>
      <w:pPr>
        <w:pStyle w:val="FirstParagraph"/>
      </w:pPr>
      <w: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r>
        <w:rPr>
          <w:vertAlign w:val="superscript"/>
        </w:rPr>
        <w:t xml:space="preserve">1</w:t>
      </w:r>
      <w:r>
        <w:t xml:space="preserve">. As reference panels have grown from thousands to hundreds of thousands of sequenced individuals, and as the clinical relevance of rare and low-frequency variants has become increasingly apparent, the demands on imputation algorithms have evolved accordingly. Two kinds of input now dominate: genotyping arrays, which deliver confident calls at a fixed set of typed sites, and low-coverage or targeted sequencing, which delivers a thin, uneven read layer over every site.</w:t>
      </w:r>
    </w:p>
    <w:p>
      <w:pPr>
        <w:pStyle w:val="BodyText"/>
      </w:pPr>
      <w:r>
        <w:t xml:space="preserve">At one or two reads per site a sequenced genome does not yield a genotype but a genotype likelihood: the reads are consistent with more than one genotype, and their relative support for each is all the data can say. Calling a genotype first, and imputing from the calls as if they were array genotypes, discards that uncertainty and, at the many sites where no call can be made, discards the site altogether. A likelihood-aware Li and Stephens model instead integrates the read evidence at every site with the haplotype prior supplied by the reference panel, so that a single read shifts the posterior without committing it. Hybridization-capture libraries that pair deep coverage at the typed sites with a thin off-target background pose the same problem at mixed depth: the array-equivalent route, which calls the typed sites and imputes them as a chip, throws the background away, whereas a likelihood-aware model uses both layers through one emission model.</w:t>
      </w:r>
    </w:p>
    <w:p>
      <w:pPr>
        <w:pStyle w:val="BodyText"/>
      </w:pPr>
      <w:r>
        <w:t xml:space="preserve">The dominant computational framework for genotype imputation is the Li and Stephens hidden Markov model (HMM)</w:t>
      </w:r>
      <w:r>
        <w:rPr>
          <w:vertAlign w:val="superscript"/>
        </w:rPr>
        <w:t xml:space="preserve">2</w:t>
      </w:r>
      <w: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r>
        <w:rPr>
          <w:vertAlign w:val="superscript"/>
        </w:rPr>
        <w:t xml:space="preserve">3</w:t>
      </w:r>
      <w:r>
        <w:t xml:space="preserve"> </w:t>
      </w:r>
      <w:r>
        <w:t xml:space="preserve">for haplotype matching. The current landscape of imputation software is anchored by three widely used tools: IMPUTE5</w:t>
      </w:r>
      <w:r>
        <w:rPr>
          <w:vertAlign w:val="superscript"/>
        </w:rPr>
        <w:t xml:space="preserve">4</w:t>
      </w:r>
      <w:r>
        <w:t xml:space="preserve"> </w:t>
      </w:r>
      <w:r>
        <w:t xml:space="preserve">uses PBWT-based haplotype selection to achieve sub-linear scaling with panel size; Beagle</w:t>
      </w:r>
      <w:r>
        <w:rPr>
          <w:vertAlign w:val="superscript"/>
        </w:rPr>
        <w:t xml:space="preserve">5</w:t>
      </w:r>
      <w:r>
        <w:t xml:space="preserve"> </w:t>
      </w:r>
      <w:r>
        <w:t xml:space="preserve">(used here at version 5.5) combines integrated phasing</w:t>
      </w:r>
      <w:r>
        <w:rPr>
          <w:vertAlign w:val="superscript"/>
        </w:rPr>
        <w:t xml:space="preserve">6</w:t>
      </w:r>
      <w:r>
        <w:t xml:space="preserve"> </w:t>
      </w:r>
      <w:r>
        <w:t xml:space="preserve">with haplotype clustering for computational efficiency; and Minimac4</w:t>
      </w:r>
      <w:r>
        <w:rPr>
          <w:vertAlign w:val="superscript"/>
        </w:rPr>
        <w:t xml:space="preserve">7</w:t>
      </w:r>
      <w:r>
        <w:t xml:space="preserve"> </w:t>
      </w:r>
      <w: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pPr>
      <w:r>
        <w:t xml:space="preserve">The array-imputation ecosystem, meanwhile, is fragmented across multiple specialized tools. A standard end-to-end workflow phases the target with a dedicated phaser such as Eagle2</w:t>
      </w:r>
      <w:r>
        <w:rPr>
          <w:vertAlign w:val="superscript"/>
        </w:rPr>
        <w:t xml:space="preserve">8</w:t>
      </w:r>
      <w:r>
        <w:t xml:space="preserve">, SHAPEIT5</w:t>
      </w:r>
      <w:r>
        <w:rPr>
          <w:vertAlign w:val="superscript"/>
        </w:rPr>
        <w:t xml:space="preserve">9</w:t>
      </w:r>
      <w:r>
        <w:t xml:space="preserve">, or an earlier biobank-scale haplotype estimator</w:t>
      </w:r>
      <w:r>
        <w:rPr>
          <w:vertAlign w:val="superscript"/>
        </w:rPr>
        <w:t xml:space="preserve">10</w:t>
      </w:r>
      <w:r>
        <w:t xml:space="preserve">, imputes the phased target with Beagle 5.5</w:t>
      </w:r>
      <w:r>
        <w:rPr>
          <w:vertAlign w:val="superscript"/>
        </w:rPr>
        <w:t xml:space="preserve">5</w:t>
      </w:r>
      <w:r>
        <w:t xml:space="preserve">, IMPUTE5</w:t>
      </w:r>
      <w:r>
        <w:rPr>
          <w:vertAlign w:val="superscript"/>
        </w:rPr>
        <w:t xml:space="preserve">4</w:t>
      </w:r>
      <w:r>
        <w:t xml:space="preserve">, or Minimac4</w:t>
      </w:r>
      <w:r>
        <w:rPr>
          <w:vertAlign w:val="superscript"/>
        </w:rPr>
        <w:t xml:space="preserve">7</w:t>
      </w:r>
      <w: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r>
        <w:rPr>
          <w:vertAlign w:val="superscript"/>
        </w:rPr>
        <w:t xml:space="preserve">11</w:t>
      </w:r>
      <w:r>
        <w:t xml:space="preserve">) with external writers. Each handoff requires intermediate files, shell glue, and per-chromosome bookkeeping. Beagle 5.5</w:t>
      </w:r>
      <w:r>
        <w:rPr>
          <w:vertAlign w:val="superscript"/>
        </w:rPr>
        <w:t xml:space="preserve">5</w:t>
      </w:r>
      <w:r>
        <w:t xml:space="preserve"> </w:t>
      </w:r>
      <w:r>
        <w:t xml:space="preserve">integrates phasing and imputation in a single Java process, mitigating some of this fragmentation, but the genome is still processed one chromosome at a time and the output is restricted to VCF.</w:t>
      </w:r>
    </w:p>
    <w:p>
      <w:pPr>
        <w:pStyle w:val="BodyText"/>
      </w:pPr>
      <w:r>
        <w:t xml:space="preserve">The original Selphi</w:t>
      </w:r>
      <w:r>
        <w:rPr>
          <w:vertAlign w:val="superscript"/>
        </w:rPr>
        <w:t xml:space="preserve">12</w:t>
      </w:r>
      <w:r>
        <w:t xml:space="preserve"> </w:t>
      </w:r>
      <w: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r>
        <w:rPr>
          <w:vertAlign w:val="superscript"/>
        </w:rPr>
        <w:t xml:space="preserve">13</w:t>
      </w:r>
      <w:r>
        <w:t xml:space="preserve"> </w:t>
      </w:r>
      <w:r>
        <w:t xml:space="preserve">and TOPMed</w:t>
      </w:r>
      <w:r>
        <w:rPr>
          <w:vertAlign w:val="superscript"/>
        </w:rPr>
        <w:t xml:space="preserve">14</w:t>
      </w:r>
      <w:r>
        <w:t xml:space="preserve"> </w:t>
      </w:r>
      <w: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pPr>
      <w:r>
        <w:t xml:space="preserve">Recent methodological advances have addressed some of these challenges in isolation. SHAPEIT5</w:t>
      </w:r>
      <w:r>
        <w:rPr>
          <w:vertAlign w:val="superscript"/>
        </w:rPr>
        <w:t xml:space="preserve">9</w:t>
      </w:r>
      <w:r>
        <w:t xml:space="preserve"> </w:t>
      </w:r>
      <w:r>
        <w:t xml:space="preserve">cut low-frequency switch-error rates in large cohorts by splitting phasing into two passes: a confident backbone built from common variants, onto which rare alleles are then placed one at a time. GLIMPSE2</w:t>
      </w:r>
      <w:r>
        <w:rPr>
          <w:vertAlign w:val="superscript"/>
        </w:rPr>
        <w:t xml:space="preserve">15</w:t>
      </w:r>
      <w:r>
        <w:t xml:space="preserve"> </w:t>
      </w:r>
      <w:r>
        <w:t xml:space="preserve">made whole-genome low-coverage imputation tractable by storing the panel compactly, using dense bitmaps for frequent alleles and per-site carrier lists for the rare ones. QUILT2</w:t>
      </w:r>
      <w:r>
        <w:rPr>
          <w:vertAlign w:val="superscript"/>
        </w:rPr>
        <w:t xml:space="preserve">16</w:t>
      </w:r>
      <w:r>
        <w:t xml:space="preserve"> </w:t>
      </w:r>
      <w:r>
        <w:t xml:space="preserve">extended the PBWT with multi-symbol matching for application to diverse sequencing technologies. Both are designed for whole genomes sequenced at uniformly low depth. None of these tools, however, integrate phasing, imputation, panel preparation, indexing, and multi-format output in a single executable, nor do they perform whole-genome imputation in a single process against a single reference panel file.</w:t>
      </w:r>
    </w:p>
    <w:p>
      <w:pPr>
        <w:pStyle w:val="BodyText"/>
      </w:pPr>
      <w:r>
        <w:t xml:space="preserve">Here we present Selphi 2, a Rust tool built around a genotype-likelihood-aware Li-Stephens engine that imputes directly from Phred-scaled likelihoods or from aligned reads with a native pileup (</w:t>
      </w:r>
      <w:r>
        <w:rPr>
          <w:rStyle w:val="VerbatimChar"/>
        </w:rPr>
        <w:t xml:space="preserve">--lcwgs</w:t>
      </w:r>
      <w:r>
        <w:t xml:space="preserve">), and that integrates in the same binary the array pipeline: a complete reimplementation of the Selphi algorithm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pPr>
      <w:r>
        <w:t xml:space="preserve">In this paper, we describe the algorithmic components of Selphi 2 (Methods), benchmark the likelihood engine on real capture-plus-low-pass Genome in a Bottle libraries</w:t>
      </w:r>
      <w:r>
        <w:rPr>
          <w:vertAlign w:val="superscript"/>
        </w:rPr>
        <w:t xml:space="preserve">17</w:t>
      </w:r>
      <w:r>
        <w:t xml:space="preserve"> </w:t>
      </w:r>
      <w:r>
        <w:t xml:space="preserve">against the array-equivalent route and against GLIMPSE2</w:t>
      </w:r>
      <w:r>
        <w:rPr>
          <w:vertAlign w:val="superscript"/>
        </w:rPr>
        <w:t xml:space="preserve">15</w:t>
      </w:r>
      <w:r>
        <w:t xml:space="preserve">, and on uniformly downsampled Genome in a Bottle genomes against GLIMPSE2 and QUILT2</w:t>
      </w:r>
      <w:r>
        <w:rPr>
          <w:vertAlign w:val="superscript"/>
        </w:rPr>
        <w:t xml:space="preserve">16</w:t>
      </w:r>
      <w:r>
        <w:t xml:space="preserve">; then benchmark the array pipeline’s imputation accuracy and resource consumption against Selphi 1</w:t>
      </w:r>
      <w:r>
        <w:rPr>
          <w:vertAlign w:val="superscript"/>
        </w:rPr>
        <w:t xml:space="preserve">12</w:t>
      </w:r>
      <w:r>
        <w:t xml:space="preserve"> </w:t>
      </w:r>
      <w:r>
        <w:t xml:space="preserve">and Beagle 5.5</w:t>
      </w:r>
      <w:r>
        <w:rPr>
          <w:vertAlign w:val="superscript"/>
        </w:rPr>
        <w:t xml:space="preserve">5</w:t>
      </w:r>
      <w:r>
        <w:t xml:space="preserve"> </w:t>
      </w:r>
      <w:r>
        <w:t xml:space="preserve">on the 1000 Genomes Project</w:t>
      </w:r>
      <w:r>
        <w:rPr>
          <w:vertAlign w:val="superscript"/>
        </w:rPr>
        <w:t xml:space="preserve">13</w:t>
      </w:r>
      <w:r>
        <w:t xml:space="preserve"> </w:t>
      </w:r>
      <w:r>
        <w:t xml:space="preserve">and TOPMed</w:t>
      </w:r>
      <w:r>
        <w:rPr>
          <w:vertAlign w:val="superscript"/>
        </w:rPr>
        <w:t xml:space="preserve">14</w:t>
      </w:r>
      <w:r>
        <w:t xml:space="preserve"> </w:t>
      </w:r>
      <w:r>
        <w:t xml:space="preserve">reference panels, and its phasing accuracy against SHAPEIT5</w:t>
      </w:r>
      <w:r>
        <w:rPr>
          <w:vertAlign w:val="superscript"/>
        </w:rPr>
        <w:t xml:space="preserve">9</w:t>
      </w:r>
      <w:r>
        <w:t xml:space="preserve"> </w:t>
      </w:r>
      <w:r>
        <w:t xml:space="preserve">on the 1000 Genomes trio dataset (Results).</w:t>
      </w:r>
    </w:p>
    <w:p>
      <w:pPr>
        <w:pStyle w:val="CaptionedFigure"/>
      </w:pPr>
      <w: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Overview of the Selphi 2 pipeline.</w:t>
      </w:r>
      <w:r>
        <w:t xml:space="preserve"> </w:t>
      </w:r>
      <w: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state vectors in both passes, with 64-bit recombination terms and row sums)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t xml:space="preserve"> </w:t>
      </w:r>
      <w:r>
        <w:t xml:space="preserve">low-pass genomes, or capture libraries with a low-pass off-target background), a dedicated genotype-likelihood-aware engine (</w:t>
      </w:r>
      <w:r>
        <w:rPr>
          <w:rStyle w:val="VerbatimChar"/>
        </w:rPr>
        <w:t xml:space="preserve">--lcwgs</w:t>
      </w:r>
      <w:r>
        <w:t xml:space="preserve"> </w:t>
      </w:r>
      <w:r>
        <w:t xml:space="preserve">/</w:t>
      </w:r>
      <w:r>
        <w:t xml:space="preserve"> </w:t>
      </w:r>
      <w:r>
        <w:rPr>
          <w:rStyle w:val="VerbatimChar"/>
        </w:rPr>
        <w:t xml:space="preserve">--engine lcwgs</w:t>
      </w:r>
      <w: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w:t>
      </w:r>
    </w:p>
    <w:bookmarkEnd w:id="14"/>
    <w:bookmarkStart w:id="29" w:name="methods"/>
    <w:p>
      <w:pPr>
        <w:pStyle w:val="Heading1"/>
      </w:pPr>
      <w:r>
        <w:rPr>
          <w:b/>
          <w:bCs/>
        </w:rPr>
        <w:t xml:space="preserve">Methods</w:t>
      </w:r>
    </w:p>
    <w:bookmarkStart w:id="28" w:name="selphi-2"/>
    <w:p>
      <w:pPr>
        <w:pStyle w:val="Heading2"/>
      </w:pPr>
      <w:r>
        <w:rPr>
          <w:b/>
          <w:bCs/>
        </w:rPr>
        <w:t xml:space="preserve">Selphi 2</w:t>
      </w:r>
    </w:p>
    <w:bookmarkStart w:id="15" w:name="architecture-overview"/>
    <w:p>
      <w:pPr>
        <w:pStyle w:val="Heading3"/>
      </w:pPr>
      <w:r>
        <w:rPr>
          <w:b/>
          <w:bCs/>
        </w:rPr>
        <w:t xml:space="preserve">Architecture overview</w:t>
      </w:r>
    </w:p>
    <w:p>
      <w:pPr>
        <w:pStyle w:val="FirstParagraph"/>
      </w:pPr>
      <w: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r>
        <w:rPr>
          <w:vertAlign w:val="superscript"/>
        </w:rPr>
        <w:t xml:space="preserve">18</w:t>
      </w:r>
      <w: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pPr>
      <w: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bookmarkEnd w:id="15"/>
    <w:bookmarkStart w:id="16" w:name="phasing-engines"/>
    <w:p>
      <w:pPr>
        <w:pStyle w:val="Heading3"/>
      </w:pPr>
      <w:r>
        <w:rPr>
          <w:b/>
          <w:bCs/>
        </w:rPr>
        <w:t xml:space="preserve">Phasing engines</w:t>
      </w:r>
    </w:p>
    <w:p>
      <w:pPr>
        <w:pStyle w:val="FirstParagraph"/>
      </w:pPr>
      <w: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t xml:space="preserve"> </w:t>
      </w:r>
      <w: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5; Discussion).</w:t>
      </w:r>
    </w:p>
    <w:p>
      <w:pPr>
        <w:pStyle w:val="BodyText"/>
      </w:pPr>
      <w:r>
        <w:rPr>
          <w:b/>
          <w:bCs/>
        </w:rPr>
        <w:t xml:space="preserve">Haploid engine.</w:t>
      </w:r>
    </w:p>
    <w:p>
      <w:pPr>
        <w:pStyle w:val="BodyText"/>
      </w:pPr>
      <w:r>
        <w:t xml:space="preserve">The haploid phasing engine models each haplotype independently through a composite HMM with a greedy swap criterion, following the approach of Browning and Browning</w:t>
      </w:r>
      <w:r>
        <w:rPr>
          <w:vertAlign w:val="superscript"/>
        </w:rPr>
        <w:t xml:space="preserve">19</w:t>
      </w:r>
      <w:r>
        <w:t xml:space="preserve">. The algorithm operates in 15 iterations (3 burn-in with fixed phase, 12 phasing iterations with decreasing likelihood-ratio thresholds from 100,000 to 1.0).</w:t>
      </w:r>
    </w:p>
    <w:p>
      <w:pPr>
        <w:pStyle w:val="BodyText"/>
      </w:pPr>
      <w:r>
        <w:t xml:space="preserve">At each iteration, a coded-step PBWT</w:t>
      </w:r>
      <w:r>
        <w:rPr>
          <w:vertAlign w:val="superscript"/>
        </w:rPr>
        <w:t xml:space="preserve">4</w:t>
      </w:r>
      <w:r>
        <w:t xml:space="preserve"> </w:t>
      </w:r>
      <w: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r>
        <w:rPr>
          <w:vertAlign w:val="superscript"/>
        </w:rPr>
        <w:t xml:space="preserve">9</w:t>
      </w:r>
      <w:r>
        <w:t xml:space="preserve">, but operates within a single iterative framework rather than as separate stages.</w:t>
      </w:r>
    </w:p>
    <w:p>
      <w:pPr>
        <w:pStyle w:val="BodyText"/>
      </w:pPr>
      <w: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pPr>
      <w:r>
        <w:t xml:space="preserve">For rare variants, a carrier injection mechanism ensures that haplotypes carrying rare alleles are represented in the matching: when the best IBS match at a position does not carry the target’s rare allele, it is replaced by the carrier that best matches the target by identity-by-state over the 30 flanking variants on either side. This prevents rare alleles from being systematically lost during the matching step.</w:t>
      </w:r>
    </w:p>
    <w:p>
      <w:pPr>
        <w:pStyle w:val="BodyText"/>
      </w:pPr>
      <w:r>
        <w:t xml:space="preserve">EM parameter estimation</w:t>
      </w:r>
      <w:r>
        <w:rPr>
          <w:vertAlign w:val="superscript"/>
        </w:rPr>
        <w:t xml:space="preserve">20</w:t>
      </w:r>
      <w:r>
        <w:t xml:space="preserve"> </w:t>
      </w:r>
      <w:r>
        <w:t xml:space="preserve">is performed within each iteration to calibrate the mismatch probability and effective recombination rate per window, enabling the HMM transition probabilities to adapt to local recombination patterns.</w:t>
      </w:r>
    </w:p>
    <w:p>
      <w:pPr>
        <w:pStyle w:val="BodyText"/>
      </w:pPr>
      <w:r>
        <w:rPr>
          <w:b/>
          <w:bCs/>
        </w:rPr>
        <w:t xml:space="preserve">Diploid engine.</w:t>
      </w:r>
    </w:p>
    <w:p>
      <w:pPr>
        <w:pStyle w:val="BodyText"/>
      </w:pPr>
      <w:r>
        <w:t xml:space="preserve">The diploid engine models the pair of haplotypes jointly through a genotype graph, following the approach of SHAPEIT4</w:t>
      </w:r>
      <w:r>
        <w:rPr>
          <w:vertAlign w:val="superscript"/>
        </w:rPr>
        <w:t xml:space="preserve">21</w:t>
      </w:r>
      <w:r>
        <w:t xml:space="preserve"> </w:t>
      </w:r>
      <w:r>
        <w:t xml:space="preserve">and SHAPEIT5</w:t>
      </w:r>
      <w:r>
        <w:rPr>
          <w:vertAlign w:val="superscript"/>
        </w:rPr>
        <w:t xml:space="preserve">9</w:t>
      </w:r>
      <w: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pPr>
      <w: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pPr>
      <w:r>
        <w:t xml:space="preserve">By default the diploid engine forms a small</w:t>
      </w:r>
      <w:r>
        <w:t xml:space="preserve"> </w:t>
      </w:r>
      <w:r>
        <w:rPr>
          <w:b/>
          <w:bCs/>
        </w:rPr>
        <w:t xml:space="preserve">intra-run phase ensemble</w:t>
      </w:r>
      <w:r>
        <w:t xml:space="preserve"> </w:t>
      </w:r>
      <w: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t xml:space="preserve"> </w:t>
      </w:r>
      <m:oMath>
        <m:sSup>
          <m:e>
            <m:r>
              <m:t>10</m:t>
            </m:r>
          </m:e>
          <m:sup>
            <m:r>
              <m:rPr>
                <m:sty m:val="p"/>
              </m:rPr>
              <m:t>−</m:t>
            </m:r>
            <m:r>
              <m:t>6</m:t>
            </m:r>
          </m:sup>
        </m:sSup>
      </m:oMath>
      <w:r>
        <w:t xml:space="preserve"> </w:t>
      </w:r>
      <w:r>
        <w:t xml:space="preserve">in per-sample</w:t>
      </w:r>
      <w:r>
        <w:t xml:space="preserve"> </w:t>
      </w:r>
      <m:oMath>
        <m:sSup>
          <m:e>
            <m:r>
              <m:t>R</m:t>
            </m:r>
          </m:e>
          <m:sup>
            <m:r>
              <m:t>2</m:t>
            </m:r>
          </m:sup>
        </m:sSup>
      </m:oMath>
      <w:r>
        <w:t xml:space="preserve"> </w:t>
      </w:r>
      <w:r>
        <w:t xml:space="preserve">on the chromosome-22 benchmark.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t xml:space="preserve"> </w:t>
      </w:r>
      <m:oMath>
        <m:sSup>
          <m:e>
            <m:r>
              <m:t>R</m:t>
            </m:r>
          </m:e>
          <m:sup>
            <m:r>
              <m:t>2</m:t>
            </m:r>
          </m:sup>
        </m:sSup>
      </m:oMath>
      <w:r>
        <w:t xml:space="preserve"> </w:t>
      </w:r>
      <w:r>
        <w:t xml:space="preserve">from 0.9588 to 0.9605 (the ensemble step on top of the no-call-imputation fix; the current release measures 0.9609; Results, Table 5). The ensemble is disabled (N = 1, a single Viterbi solve) under</w:t>
      </w:r>
      <w:r>
        <w:t xml:space="preserve"> </w:t>
      </w:r>
      <w:r>
        <w:rPr>
          <w:rStyle w:val="VerbatimChar"/>
        </w:rPr>
        <w:t xml:space="preserve">--sample-batch-size</w:t>
      </w:r>
      <w:r>
        <w:t xml:space="preserve"> </w:t>
      </w:r>
      <w:r>
        <w:t xml:space="preserve">and</w:t>
      </w:r>
      <w:r>
        <w:t xml:space="preserve"> </w:t>
      </w:r>
      <w:r>
        <w:rPr>
          <w:rStyle w:val="VerbatimChar"/>
        </w:rPr>
        <w:t xml:space="preserve">--phase-only</w:t>
      </w:r>
      <w:r>
        <w:t xml:space="preserve">; the haploid engine does not use it, as its greedy-swap phasing converges to a single solution rather than sampling a posterior.</w:t>
      </w:r>
    </w:p>
    <w:p>
      <w:pPr>
        <w:pStyle w:val="BodyText"/>
      </w:pPr>
      <w:r>
        <w:t xml:space="preserve">During burn-in iterations the effective population size (</w:t>
      </w:r>
      <m:oMath>
        <m:sSub>
          <m:e>
            <m:r>
              <m:t>N</m:t>
            </m:r>
          </m:e>
          <m:sub>
            <m:r>
              <m:t>e</m:t>
            </m:r>
          </m:sub>
        </m:sSub>
      </m:oMath>
      <w:r>
        <w:t xml:space="preserve">) is re-estimated from the genotype graphs, inverting the Li-Stephens relation</w:t>
      </w:r>
      <w:r>
        <w:rPr>
          <w:vertAlign w:val="superscript"/>
        </w:rPr>
        <w:t xml:space="preserve">2</w:t>
      </w:r>
      <w:r>
        <w:t xml:space="preserve"> </w:t>
      </w:r>
      <m:oMath>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t xml:space="preserve">, where</w:t>
      </w:r>
      <w:r>
        <w:t xml:space="preserve"> </w:t>
      </w:r>
      <m:oMath>
        <m:r>
          <m:t>d</m:t>
        </m:r>
      </m:oMath>
      <w:r>
        <w:t xml:space="preserve"> </w:t>
      </w:r>
      <w:r>
        <w:t xml:space="preserve">is the mean inter-marker distance in cM. The rate used is the number of diplotype-graph transitions per variant, an edge count rather than a fraction of sites, so the estimate systematically overshoots and in practice settles at its upper bound. That bound therefore sets the phasing</w:t>
      </w:r>
      <w:r>
        <w:t xml:space="preserve"> </w:t>
      </w:r>
      <m:oMath>
        <m:sSub>
          <m:e>
            <m:r>
              <m:t>N</m:t>
            </m:r>
          </m:e>
          <m:sub>
            <m:r>
              <m:t>e</m:t>
            </m:r>
          </m:sub>
        </m:sSub>
      </m:oMath>
      <w:r>
        <w:t xml:space="preserve">: it is</w:t>
      </w:r>
      <w:r>
        <w:t xml:space="preserve"> </w:t>
      </w:r>
      <m:oMath>
        <m:r>
          <m:rPr>
            <m:sty m:val="p"/>
          </m:rPr>
          <m:t>min</m:t>
        </m:r>
        <m:r>
          <m:rPr>
            <m:sty m:val="p"/>
          </m:rPr>
          <m:t>(</m:t>
        </m:r>
        <m:r>
          <m:t>77.5</m:t>
        </m:r>
        <m:r>
          <m:rPr>
            <m:sty m:val="p"/>
          </m:rPr>
          <m:t>×</m:t>
        </m:r>
        <m:sSub>
          <m:e>
            <m:r>
              <m:t>n</m:t>
            </m:r>
          </m:e>
          <m:sub>
            <m:r>
              <m:rPr>
                <m:nor/>
                <m:sty m:val="p"/>
              </m:rPr>
              <m:t>haps</m:t>
            </m:r>
          </m:sub>
        </m:sSub>
        <m:r>
          <m:rPr>
            <m:sty m:val="p"/>
          </m:rPr>
          <m:t>,</m:t>
        </m:r>
        <m:sSup>
          <m:e>
            <m:r>
              <m:t>10</m:t>
            </m:r>
          </m:e>
          <m:sup>
            <m:r>
              <m:t>6</m:t>
            </m:r>
          </m:sup>
        </m:sSup>
        <m:r>
          <m:rPr>
            <m:sty m:val="p"/>
          </m:rPr>
          <m:t>)</m:t>
        </m:r>
      </m:oMath>
      <w:r>
        <w:t xml:space="preserve"> </w:t>
      </w:r>
      <w:r>
        <w:t xml:space="preserve">with a floor of 1,000, so the per-cM switch rate is held constant for panels below 12,904 haplotypes and decays as</w:t>
      </w:r>
      <w:r>
        <w:t xml:space="preserve"> </w:t>
      </w:r>
      <m:oMath>
        <m:r>
          <m:t>1</m:t>
        </m:r>
        <m:r>
          <m:rPr>
            <m:sty m:val="p"/>
          </m:rPr>
          <m:t>/</m:t>
        </m:r>
        <m:sSub>
          <m:e>
            <m:r>
              <m:t>n</m:t>
            </m:r>
          </m:e>
          <m:sub>
            <m:r>
              <m:rPr>
                <m:nor/>
                <m:sty m:val="p"/>
              </m:rPr>
              <m:t>haps</m:t>
            </m:r>
          </m:sub>
        </m:sSub>
      </m:oMath>
      <w:r>
        <w:t xml:space="preserve"> </w:t>
      </w:r>
      <w:r>
        <w:t xml:space="preserve">above. An update is applied only when it moves</w:t>
      </w:r>
      <w:r>
        <w:t xml:space="preserve"> </w:t>
      </w:r>
      <m:oMath>
        <m:sSub>
          <m:e>
            <m:r>
              <m:t>N</m:t>
            </m:r>
          </m:e>
          <m:sub>
            <m:r>
              <m:t>e</m:t>
            </m:r>
          </m:sub>
        </m:sSub>
      </m:oMath>
      <w:r>
        <w:t xml:space="preserve"> </w:t>
      </w:r>
      <w:r>
        <w:t xml:space="preserve">by more than 5%.</w:t>
      </w:r>
    </w:p>
    <w:p>
      <w:pPr>
        <w:pStyle w:val="BodyText"/>
      </w:pPr>
      <w:r>
        <w:rPr>
          <w:b/>
          <w:bCs/>
        </w:rPr>
        <w:t xml:space="preserve">Rare variant phasing (diploid).</w:t>
      </w:r>
    </w:p>
    <w:p>
      <w:pPr>
        <w:pStyle w:val="BodyText"/>
      </w:pPr>
      <w:r>
        <w:t xml:space="preserve">Rare variants (those not in the common-variant scaffold) are phased in a dedicated PBWT-based pass over the target haplotypes together with the reference panel, when one is supplied; panel phasing, which has no external reference, uses the cohort alone. This two-stage common-then-rare strategy parallels the approach introduced in SHAPEIT5</w:t>
      </w:r>
      <w:r>
        <w:rPr>
          <w:vertAlign w:val="superscript"/>
        </w:rPr>
        <w:t xml:space="preserve">9</w:t>
      </w:r>
      <w:r>
        <w:t xml:space="preserve">, whose rare pass conditions on the cohort only.</w:t>
      </w:r>
    </w:p>
    <w:p>
      <w:pPr>
        <w:pStyle w:val="BodyText"/>
      </w:pPr>
      <w:r>
        <w:t xml:space="preserve">The algorithm proceeds in three steps. First, an IBD2 scan identifies sample pairs sharing both haplotypes identical-by-descent across scaffold sites</w:t>
      </w:r>
      <w:r>
        <w:rPr>
          <w:vertAlign w:val="superscript"/>
        </w:rPr>
        <w:t xml:space="preserve">22</w:t>
      </w:r>
      <w: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pPr>
      <w:r>
        <w:t xml:space="preserve">Second, a scaffold bitmatrix is constructed at scaffold sites from the target haplotypes and, when present, the reference haplotypes,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pPr>
      <w:r>
        <w:t xml:space="preserve">Third, a backward PBWT sweep repeats the same procedure in reverse genomic order. The forward and backward results are merged by selecting the direction with higher confidence (absolute vote score) for each rare het.</w:t>
      </w:r>
    </w:p>
    <w:p>
      <w:pPr>
        <w:pStyle w:val="BodyText"/>
      </w:pPr>
      <w:r>
        <w:t xml:space="preserve">Singletons (MAC = 1 among the targets) receive no separate treatment. At such a site no PBWT neighbour carries the allele, so the threshold pass casts no vote and the decision falls to the distance pass, which places the allele on the haplotype whose PBWT match to its neighbours is shorter. This is the direction of the coalescent argument used for singletons in SHAPEIT5</w:t>
      </w:r>
      <w:r>
        <w:rPr>
          <w:vertAlign w:val="superscript"/>
        </w:rPr>
        <w:t xml:space="preserve">9</w:t>
      </w:r>
      <w:r>
        <w:t xml:space="preserve">, a recent allele sits on the more recently diverged haplotype, obtained here from PBWT divergence rather than from a coalescent HMM.</w:t>
      </w:r>
    </w:p>
    <w:p>
      <w:pPr>
        <w:pStyle w:val="BodyText"/>
      </w:pPr>
      <w:r>
        <w:rPr>
          <w:b/>
          <w:bCs/>
        </w:rPr>
        <w:t xml:space="preserve">Pedigree scaffolding.</w:t>
      </w:r>
    </w:p>
    <w:p>
      <w:pPr>
        <w:pStyle w:val="BodyText"/>
      </w:pPr>
      <w:r>
        <w:t xml:space="preserve">When pedigree information is available (PLINK PED format), Mendelian logic from parent-child relationships is applied to the genotypes before phasing. For each trio or duo, the algorithm considers all nine combinations of parental genotype sums (homozygous reference, heterozygous, homozygous alternate) at each variant. When the child has missing genotype data and both parents are homozygous, the child’s genotype is imputed. When the child is heterozygous and at least one parent is homozygous, the Mendelian phase is determined and written to the input; by default the HMM then re-derives every heterozygous site’s phase, so this resolved orientation initialises rather than constrains the sampler. Fixing those sites as a scaffold, the SHAPEIT5 treatment</w:t>
      </w:r>
      <w:r>
        <w:rPr>
          <w:vertAlign w:val="superscript"/>
        </w:rPr>
        <w:t xml:space="preserve">9</w:t>
      </w:r>
      <w:r>
        <w:t xml:space="preserve">, is available as an option but is not the default: on 54 trios genotyped at 9,283 array sites it lowered imputation R² despite the fixed phase agreeing with the children’s sequenced haplotypes at 99.95% of sites, because fixing four heterozygous sites in five lets genotype-graph segments grow to their length limit and removes the segment boundaries at which the copying model may switch haplotype. Mendelian inconsistencies (e.g., child heterozygous with both parents homozygous for the same allele) are counted but not corrected.</w:t>
      </w:r>
    </w:p>
    <w:p>
      <w:pPr>
        <w:pStyle w:val="BodyText"/>
      </w:pPr>
      <w: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pPr>
      <w:r>
        <w:rPr>
          <w:b/>
          <w:bCs/>
        </w:rPr>
        <w:t xml:space="preserve">Panel phasing.</w:t>
      </w:r>
    </w:p>
    <w:p>
      <w:pPr>
        <w:pStyle w:val="BodyText"/>
      </w:pPr>
      <w:r>
        <w:t xml:space="preserve">When no external reference panel is available, the same two phasing engines can phase a cohort against itself in a single command. The cohort haplotypes are used both as the target and as the conditioning set; the diploid engine is used unless the haploid engine is requested explicitly. Output is written as a phased VCF/BCF and, optionally, as a Selphi SRP file or a BREF3</w:t>
      </w:r>
      <w:r>
        <w:rPr>
          <w:vertAlign w:val="superscript"/>
        </w:rPr>
        <w:t xml:space="preserve">5</w:t>
      </w:r>
      <w:r>
        <w:t xml:space="preserve"> </w:t>
      </w:r>
      <w: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bookmarkEnd w:id="16"/>
    <w:bookmarkStart w:id="17" w:name="pbwt-matching-for-imputation"/>
    <w:p>
      <w:pPr>
        <w:pStyle w:val="Heading3"/>
      </w:pPr>
      <w:r>
        <w:rPr>
          <w:b/>
          <w:bCs/>
        </w:rPr>
        <w:t xml:space="preserve">PBWT matching for imputation</w:t>
      </w:r>
    </w:p>
    <w:p>
      <w:pPr>
        <w:pStyle w:val="FirstParagraph"/>
      </w:pPr>
      <w:r>
        <w:t xml:space="preserve">The imputation component uses a coded-step PBWT</w:t>
      </w:r>
      <w:r>
        <w:rPr>
          <w:vertAlign w:val="superscript"/>
        </w:rPr>
        <w:t xml:space="preserve">4</w:t>
      </w:r>
      <w:r>
        <w:t xml:space="preserve"> </w:t>
      </w:r>
      <w: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pPr>
      <w:r>
        <w:t xml:space="preserve">For each target haplotype, candidate reference haplotypes are selected based on their co-occurrence with the target in coded-step partitions. The number retained per target (</w:t>
      </w:r>
      <w:r>
        <w:rPr>
          <w:rStyle w:val="VerbatimChar"/>
        </w:rPr>
        <w:t xml:space="preserve">max_candidates</w:t>
      </w:r>
      <w:r>
        <w:t xml:space="preserve">, henceforth</w:t>
      </w:r>
      <w:r>
        <w:t xml:space="preserve"> </w:t>
      </w:r>
      <m:oMath>
        <m:sSub>
          <m:e>
            <m:r>
              <m:t>m</m:t>
            </m:r>
          </m:e>
          <m:sub>
            <m:r>
              <m:t>c</m:t>
            </m:r>
          </m:sub>
        </m:sSub>
      </m:oMath>
      <w: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bookmarkEnd w:id="17"/>
    <w:bookmarkStart w:id="18" w:name="candidate-selection-and-hmm"/>
    <w:p>
      <w:pPr>
        <w:pStyle w:val="Heading3"/>
      </w:pPr>
      <w:r>
        <w:rPr>
          <w:b/>
          <w:bCs/>
        </w:rPr>
        <w:t xml:space="preserve">Candidate selection and HMM</w:t>
      </w:r>
    </w:p>
    <w:p>
      <w:pPr>
        <w:pStyle w:val="FirstParagraph"/>
      </w:pPr>
      <w: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pPr>
      <w: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r>
        <w:rPr>
          <w:vertAlign w:val="superscript"/>
        </w:rPr>
        <w:t xml:space="preserve">2</w:t>
      </w:r>
      <w:r>
        <w:t xml:space="preserve">:</w:t>
      </w:r>
    </w:p>
    <w:p>
      <w:pPr>
        <w:pStyle w:val="BodyText"/>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pPr>
      <w:r>
        <w:t xml:space="preserve">where</w:t>
      </w:r>
      <w:r>
        <w:t xml:space="preserve"> </w:t>
      </w:r>
      <m:oMath>
        <m:sSub>
          <m:e>
            <m:r>
              <m:t>d</m:t>
            </m:r>
          </m:e>
          <m:sub>
            <m:r>
              <m:t>k</m:t>
            </m:r>
          </m:sub>
        </m:sSub>
      </m:oMath>
      <w:r>
        <w:t xml:space="preserve"> </w:t>
      </w:r>
      <w:r>
        <w:t xml:space="preserve">is the genetic distance between consecutive markers in centiMorgans,</w:t>
      </w:r>
      <w:r>
        <w:t xml:space="preserve"> </w:t>
      </w:r>
      <m:oMath>
        <m:sSub>
          <m:e>
            <m:r>
              <m:t>N</m:t>
            </m:r>
          </m:e>
          <m:sub>
            <m:r>
              <m:t>e</m:t>
            </m:r>
          </m:sub>
        </m:sSub>
      </m:oMath>
      <w:r>
        <w:t xml:space="preserve"> </w:t>
      </w:r>
      <w:r>
        <w:t xml:space="preserve">is the effective population size, and</w:t>
      </w:r>
      <w:r>
        <w:t xml:space="preserve"> </w:t>
      </w:r>
      <m:oMath>
        <m:sSub>
          <m:e>
            <m:r>
              <m:t>n</m:t>
            </m:r>
          </m:e>
          <m:sub>
            <m:r>
              <m:rPr>
                <m:nor/>
                <m:sty m:val="p"/>
              </m:rPr>
              <m:t>ref</m:t>
            </m:r>
          </m:sub>
        </m:sSub>
      </m:oMath>
      <w:r>
        <w:t xml:space="preserve"> </w:t>
      </w:r>
      <w:r>
        <w:t xml:space="preserve">is the number of candidate haplotypes. In existing imputation tools,</w:t>
      </w:r>
      <w:r>
        <w:t xml:space="preserve"> </w:t>
      </w:r>
      <m:oMath>
        <m:sSub>
          <m:e>
            <m:r>
              <m:t>N</m:t>
            </m:r>
          </m:e>
          <m:sub>
            <m:r>
              <m:t>e</m:t>
            </m:r>
          </m:sub>
        </m:sSub>
      </m:oMath>
      <w:r>
        <w:t xml:space="preserve"> </w:t>
      </w:r>
      <w:r>
        <w:t xml:space="preserve">is a single value that does not scale with reference panel size (Beagle, for example, uses a default</w:t>
      </w:r>
      <w:r>
        <w:t xml:space="preserve"> </w:t>
      </w:r>
      <m:oMath>
        <m:sSub>
          <m:e>
            <m:r>
              <m:t>N</m:t>
            </m:r>
          </m:e>
          <m:sub>
            <m:r>
              <m:t>e</m:t>
            </m:r>
          </m:sub>
        </m:sSub>
      </m:oMath>
      <w:r>
        <w:t xml:space="preserve"> </w:t>
      </w:r>
      <w:r>
        <w:t xml:space="preserve">= 100,000 for both its phasing and imputation HMMs, optionally re-estimated once per run by EM</w:t>
      </w:r>
      <w:r>
        <w:rPr>
          <w:vertAlign w:val="superscript"/>
        </w:rPr>
        <w:t xml:space="preserve">5</w:t>
      </w:r>
      <w:r>
        <w:t xml:space="preserve">). However, the optimal</w:t>
      </w:r>
      <w:r>
        <w:t xml:space="preserve"> </w:t>
      </w:r>
      <m:oMath>
        <m:sSub>
          <m:e>
            <m:r>
              <m:t>N</m:t>
            </m:r>
          </m:e>
          <m:sub>
            <m:r>
              <m:t>e</m:t>
            </m:r>
          </m:sub>
        </m:sSub>
      </m:oMath>
      <w:r>
        <w:t xml:space="preserve"> </w:t>
      </w:r>
      <w: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t xml:space="preserve"> </w:t>
      </w:r>
      <m:oMath>
        <m:sSub>
          <m:e>
            <m:r>
              <m:t>N</m:t>
            </m:r>
          </m:e>
          <m:sub>
            <m:r>
              <m:t>e</m:t>
            </m:r>
          </m:sub>
        </m:sSub>
      </m:oMath>
      <w:r>
        <w:t xml:space="preserve">.</w:t>
      </w:r>
    </w:p>
    <w:p>
      <w:pPr>
        <w:pStyle w:val="BodyText"/>
      </w:pPr>
      <w:r>
        <w:t xml:space="preserve">Selphi 2 sets</w:t>
      </w:r>
      <w:r>
        <w:t xml:space="preserve"> </w:t>
      </w:r>
      <m:oMath>
        <m:sSub>
          <m:e>
            <m:r>
              <m:t>N</m:t>
            </m:r>
          </m:e>
          <m:sub>
            <m:r>
              <m:t>e</m:t>
            </m:r>
          </m:sub>
        </m:sSub>
      </m:oMath>
      <w:r>
        <w:t xml:space="preserve"> </w:t>
      </w:r>
      <w:r>
        <w:t xml:space="preserve">automatically as a linear function of the total number of reference haplotypes:</w:t>
      </w:r>
    </w:p>
    <w:p>
      <w:pPr>
        <w:pStyle w:val="BodyText"/>
      </w:pPr>
      <m:oMathPara>
        <m:oMathParaPr>
          <m:jc m:val="center"/>
        </m:oMathParaPr>
        <m:oMath>
          <m:sSub>
            <m:e>
              <m:r>
                <m:t>N</m:t>
              </m:r>
            </m:e>
            <m:sub>
              <m:r>
                <m:t>e</m:t>
              </m:r>
            </m:sub>
          </m:sSub>
          <m:r>
            <m:rPr>
              <m:sty m:val="p"/>
            </m:rPr>
            <m:t>=</m:t>
          </m:r>
          <m:r>
            <m:rPr>
              <m:sty m:val="p"/>
            </m:rPr>
            <m:t>max</m:t>
          </m:r>
          <m:r>
            <m:rPr>
              <m:sty m:val="p"/>
            </m:rPr>
            <m:t>(</m:t>
          </m:r>
          <m:r>
            <m:t>36.4</m:t>
          </m:r>
          <m:r>
            <m:rPr>
              <m:sty m:val="p"/>
            </m:rPr>
            <m:t>×</m:t>
          </m:r>
          <m:sSub>
            <m:e>
              <m:r>
                <m:t>n</m:t>
              </m:r>
            </m:e>
            <m:sub>
              <m:r>
                <m:rPr>
                  <m:nor/>
                  <m:sty m:val="p"/>
                </m:rPr>
                <m:t>ref,total</m:t>
              </m:r>
            </m:sub>
          </m:sSub>
          <m:r>
            <m:rPr>
              <m:sty m:val="p"/>
            </m:rPr>
            <m:t>,</m:t>
          </m:r>
          <m:r>
            <m:t> </m:t>
          </m:r>
          <m:r>
            <m:t>100</m:t>
          </m:r>
          <m:r>
            <m:rPr>
              <m:sty m:val="p"/>
            </m:rPr>
            <m:t>,</m:t>
          </m:r>
          <m:r>
            <m:t>000</m:t>
          </m:r>
          <m:r>
            <m:rPr>
              <m:sty m:val="p"/>
            </m:rPr>
            <m:t>)</m:t>
          </m:r>
        </m:oMath>
      </m:oMathPara>
    </w:p>
    <w:p>
      <w:pPr>
        <w:pStyle w:val="FirstParagraph"/>
      </w:pPr>
      <w:r>
        <w:t xml:space="preserve">where</w:t>
      </w:r>
      <w:r>
        <w:t xml:space="preserve"> </w:t>
      </w:r>
      <m:oMath>
        <m:sSub>
          <m:e>
            <m:r>
              <m:t>n</m:t>
            </m:r>
          </m:e>
          <m:sub>
            <m:r>
              <m:rPr>
                <m:nor/>
                <m:sty m:val="p"/>
              </m:rPr>
              <m:t>ref,total</m:t>
            </m:r>
          </m:sub>
        </m:sSub>
      </m:oMath>
      <w:r>
        <w:t xml:space="preserve"> </w:t>
      </w:r>
      <w:r>
        <w:t xml:space="preserve">is the total number of haplotypes in the reference panel (not the number of candidates selected for the HMM). This scaling was derived empirically by optimizing imputation</w:t>
      </w:r>
      <w:r>
        <w:t xml:space="preserve"> </w:t>
      </w:r>
      <m:oMath>
        <m:sSup>
          <m:e>
            <m:r>
              <m:t>R</m:t>
            </m:r>
          </m:e>
          <m:sup>
            <m:r>
              <m:t>2</m:t>
            </m:r>
          </m:sup>
        </m:sSup>
      </m:oMath>
      <w:r>
        <w:t xml:space="preserve"> </w:t>
      </w:r>
      <w:r>
        <w:t xml:space="preserve">across three reference panels spanning two orders of magnitude in size: the 1000 Genomes Phase 3 panel (4,802 haplotypes; optimal</w:t>
      </w:r>
      <w:r>
        <w:t xml:space="preserve"> </w:t>
      </w:r>
      <m:oMath>
        <m:sSub>
          <m:e>
            <m:r>
              <m:t>N</m:t>
            </m:r>
          </m:e>
          <m:sub>
            <m:r>
              <m:t>e</m:t>
            </m:r>
          </m:sub>
        </m:sSub>
      </m:oMath>
      <w:r>
        <w:t xml:space="preserve"> </w:t>
      </w:r>
      <w:r>
        <w:t xml:space="preserve">≈ 175,000), a UK Biobank</w:t>
      </w:r>
      <w:r>
        <w:rPr>
          <w:vertAlign w:val="superscript"/>
        </w:rPr>
        <w:t xml:space="preserve">23</w:t>
      </w:r>
      <w:r>
        <w:t xml:space="preserve"> </w:t>
      </w:r>
      <w:r>
        <w:t xml:space="preserve">and 1000 Genomes composite (75,552 haplotypes; optimal</w:t>
      </w:r>
      <w:r>
        <w:t xml:space="preserve"> </w:t>
      </w:r>
      <m:oMath>
        <m:sSub>
          <m:e>
            <m:r>
              <m:t>N</m:t>
            </m:r>
          </m:e>
          <m:sub>
            <m:r>
              <m:t>e</m:t>
            </m:r>
          </m:sub>
        </m:sSub>
      </m:oMath>
      <w:r>
        <w:t xml:space="preserve"> </w:t>
      </w:r>
      <w:r>
        <w:t xml:space="preserve">≈ 2,750,000), and the TOPMed panel (171,054 haplotypes; optimal</w:t>
      </w:r>
      <w:r>
        <w:t xml:space="preserve"> </w:t>
      </w:r>
      <m:oMath>
        <m:sSub>
          <m:e>
            <m:r>
              <m:t>N</m:t>
            </m:r>
          </m:e>
          <m:sub>
            <m:r>
              <m:t>e</m:t>
            </m:r>
          </m:sub>
        </m:sSub>
      </m:oMath>
      <w:r>
        <w:t xml:space="preserve"> </w:t>
      </w:r>
      <w:r>
        <w:t xml:space="preserve">≈ 6,200,000). The constant ratio</w:t>
      </w:r>
      <w:r>
        <w:t xml:space="preserve"> </w:t>
      </w:r>
      <m:oMath>
        <m:sSub>
          <m:e>
            <m:r>
              <m:t>N</m:t>
            </m:r>
          </m:e>
          <m:sub>
            <m:r>
              <m:t>e</m:t>
            </m:r>
          </m:sub>
        </m:sSub>
        <m:r>
          <m:rPr>
            <m:sty m:val="p"/>
          </m:rPr>
          <m:t>/</m:t>
        </m:r>
        <m:sSub>
          <m:e>
            <m:r>
              <m:t>n</m:t>
            </m:r>
          </m:e>
          <m:sub>
            <m:r>
              <m:rPr>
                <m:nor/>
                <m:sty m:val="p"/>
              </m:rPr>
              <m:t>ref</m:t>
            </m:r>
          </m:sub>
        </m:sSub>
        <m:r>
          <m:rPr>
            <m:sty m:val="p"/>
          </m:rPr>
          <m:t>≈</m:t>
        </m:r>
        <m:r>
          <m:t>36.4</m:t>
        </m:r>
      </m:oMath>
      <w:r>
        <w:t xml:space="preserve"> </w:t>
      </w:r>
      <w: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t xml:space="preserve"> </w:t>
      </w:r>
      <m:oMath>
        <m:sSup>
          <m:e>
            <m:r>
              <m:t>R</m:t>
            </m:r>
          </m:e>
          <m:sup>
            <m:r>
              <m:t>2</m:t>
            </m:r>
          </m:sup>
        </m:sSup>
      </m:oMath>
      <w:r>
        <w:t xml:space="preserve"> </w:t>
      </w:r>
      <w:r>
        <w:t xml:space="preserve">is maximised at the formula’s</w:t>
      </w:r>
      <w:r>
        <w:t xml:space="preserve"> </w:t>
      </w:r>
      <m:oMath>
        <m:sSub>
          <m:e>
            <m:r>
              <m:t>N</m:t>
            </m:r>
          </m:e>
          <m:sub>
            <m:r>
              <m:t>e</m:t>
            </m:r>
          </m:sub>
        </m:sSub>
        <m:r>
          <m:rPr>
            <m:sty m:val="p"/>
          </m:rPr>
          <m:t>≈</m:t>
        </m:r>
        <m:r>
          <m:t>175</m:t>
        </m:r>
        <m:r>
          <m:rPr>
            <m:sty m:val="p"/>
          </m:rPr>
          <m:t>,</m:t>
        </m:r>
        <m:r>
          <m:t>000</m:t>
        </m:r>
      </m:oMath>
      <w:r>
        <w:t xml:space="preserve">, while rare variants favour a lower</w:t>
      </w:r>
      <w:r>
        <w:t xml:space="preserve"> </w:t>
      </w:r>
      <m:oMath>
        <m:sSub>
          <m:e>
            <m:r>
              <m:t>N</m:t>
            </m:r>
          </m:e>
          <m:sub>
            <m:r>
              <m:t>e</m:t>
            </m:r>
          </m:sub>
        </m:sSub>
      </m:oMath>
      <w:r>
        <w:t xml:space="preserve"> </w:t>
      </w:r>
      <w:r>
        <w:t xml:space="preserve">(≈50,000) and common variants a higher one (≈350,000), so the single formula value balances a genuine rare-versus-common tradeoff rather than sitting at either extreme.</w:t>
      </w:r>
    </w:p>
    <w:p>
      <w:pPr>
        <w:pStyle w:val="BodyText"/>
      </w:pPr>
      <w:r>
        <w:t xml:space="preserve">The effective population size is further calibrated per site using a MAF-adaptive scheme:</w:t>
      </w:r>
      <w:r>
        <w:t xml:space="preserve"> </w:t>
      </w:r>
      <m:oMath>
        <m:sSub>
          <m:e>
            <m:r>
              <m:t>N</m:t>
            </m:r>
          </m:e>
          <m:sub>
            <m:r>
              <m:t>e</m:t>
            </m:r>
          </m:sub>
        </m:sSub>
      </m:oMath>
      <w:r>
        <w:t xml:space="preserve"> </w:t>
      </w:r>
      <w:r>
        <w:t xml:space="preserve">is set to</w:t>
      </w:r>
      <w:r>
        <w:t xml:space="preserve"> </w:t>
      </w:r>
      <m:oMath>
        <m:r>
          <m:t>0.85</m:t>
        </m:r>
        <m:r>
          <m:rPr>
            <m:sty m:val="p"/>
          </m:rPr>
          <m:t>×</m:t>
        </m:r>
        <m:sSub>
          <m:e>
            <m:r>
              <m:t>N</m:t>
            </m:r>
          </m:e>
          <m:sub>
            <m:r>
              <m:t>e</m:t>
            </m:r>
            <m:r>
              <m:rPr>
                <m:sty m:val="p"/>
              </m:rPr>
              <m:t>,</m:t>
            </m:r>
            <m:r>
              <m:rPr>
                <m:nor/>
                <m:sty m:val="p"/>
              </m:rPr>
              <m:t>base</m:t>
            </m:r>
          </m:sub>
        </m:sSub>
      </m:oMath>
      <w:r>
        <w:t xml:space="preserve"> </w:t>
      </w:r>
      <w:r>
        <w:t xml:space="preserve">for rare variants (MAF &lt; 0.5%) and</w:t>
      </w:r>
      <w:r>
        <w:t xml:space="preserve"> </w:t>
      </w:r>
      <m:oMath>
        <m:r>
          <m:t>1.2</m:t>
        </m:r>
        <m:r>
          <m:rPr>
            <m:sty m:val="p"/>
          </m:rPr>
          <m:t>×</m:t>
        </m:r>
        <m:sSub>
          <m:e>
            <m:r>
              <m:t>N</m:t>
            </m:r>
          </m:e>
          <m:sub>
            <m:r>
              <m:t>e</m:t>
            </m:r>
            <m:r>
              <m:rPr>
                <m:sty m:val="p"/>
              </m:rPr>
              <m:t>,</m:t>
            </m:r>
            <m:r>
              <m:rPr>
                <m:nor/>
                <m:sty m:val="p"/>
              </m:rPr>
              <m:t>base</m:t>
            </m:r>
          </m:sub>
        </m:sSub>
      </m:oMath>
      <w:r>
        <w:t xml:space="preserve"> </w:t>
      </w:r>
      <w:r>
        <w:t xml:space="preserve">for common variants (MAF &gt; 2%), with a linear ramp in MAF between the two thresholds. When the haploid phasing engine is used, the per-window</w:t>
      </w:r>
      <w:r>
        <w:t xml:space="preserve"> </w:t>
      </w:r>
      <m:oMath>
        <m:sSub>
          <m:e>
            <m:r>
              <m:t>N</m:t>
            </m:r>
          </m:e>
          <m:sub>
            <m:r>
              <m:t>e</m:t>
            </m:r>
          </m:sub>
        </m:sSub>
      </m:oMath>
      <w:r>
        <w:t xml:space="preserve"> </w:t>
      </w:r>
      <w:r>
        <w:t xml:space="preserve">it estimates during phasing replaces this scheme in the imputation HMM unless disabled; with the default diploid engine the MAF-adaptive scheme applies as written. Users may override the automatic</w:t>
      </w:r>
      <w:r>
        <w:t xml:space="preserve"> </w:t>
      </w:r>
      <m:oMath>
        <m:sSub>
          <m:e>
            <m:r>
              <m:t>N</m:t>
            </m:r>
          </m:e>
          <m:sub>
            <m:r>
              <m:t>e</m:t>
            </m:r>
          </m:sub>
        </m:sSub>
      </m:oMath>
      <w:r>
        <w:t xml:space="preserve"> </w:t>
      </w:r>
      <w:r>
        <w:t xml:space="preserve">with a fixed value for reproducibility with prior results.</w:t>
      </w:r>
    </w:p>
    <w:p>
      <w:pPr>
        <w:pStyle w:val="BodyText"/>
      </w:pPr>
      <w:r>
        <w:rPr>
          <w:b/>
          <w:bCs/>
        </w:rPr>
        <w:t xml:space="preserve">Adaptive candidate-set sizing.</w:t>
      </w:r>
      <w:r>
        <w:t xml:space="preserve"> </w:t>
      </w:r>
      <w:r>
        <w:t xml:space="preserve">Selphi 1 retained conditioning haplotypes with fixed per-variant match caps, independent of reference panel size: a forward top-</w:t>
      </w:r>
      <m:oMath>
        <m:sSub>
          <m:e>
            <m:r>
              <m:t>K</m:t>
            </m:r>
          </m:e>
          <m:sub>
            <m:r>
              <m:t>1</m:t>
            </m:r>
          </m:sub>
        </m:sSub>
      </m:oMath>
      <w:r>
        <w:t xml:space="preserve"> </w:t>
      </w:r>
      <w:r>
        <w:t xml:space="preserve">= 450, reduced to</w:t>
      </w:r>
      <w:r>
        <w:t xml:space="preserve"> </w:t>
      </w:r>
      <m:oMath>
        <m:sSub>
          <m:e>
            <m:r>
              <m:t>K</m:t>
            </m:r>
          </m:e>
          <m:sub>
            <m:r>
              <m:t>2</m:t>
            </m:r>
          </m:sub>
        </m:sSub>
      </m:oMath>
      <w:r>
        <w:t xml:space="preserve"> </w:t>
      </w:r>
      <w:r>
        <w:t xml:space="preserve">= 60 matches per variant in a backward re-scoring pass, then a top-</w:t>
      </w:r>
      <m:oMath>
        <m:sSub>
          <m:e>
            <m:r>
              <m:t>K</m:t>
            </m:r>
          </m:e>
          <m:sub>
            <m:r>
              <m:t>3</m:t>
            </m:r>
          </m:sub>
        </m:sSub>
      </m:oMath>
      <w:r>
        <w:t xml:space="preserve"> </w:t>
      </w:r>
      <w:r>
        <w:t xml:space="preserve">= 50 filter. Selphi 2 instead sizes the per-target candidate set adaptively. The maximum number of reference haplotypes retained per target, denoted</w:t>
      </w:r>
      <w:r>
        <w:t xml:space="preserve"> </w:t>
      </w:r>
      <m:oMath>
        <m:sSub>
          <m:e>
            <m:r>
              <m:t>m</m:t>
            </m:r>
          </m:e>
          <m:sub>
            <m:r>
              <m:t>c</m:t>
            </m:r>
          </m:sub>
        </m:sSub>
      </m:oMath>
      <w:r>
        <w:t xml:space="preserve">, henceforth, is set automatically as a function of reference panel size and panel diversity. A fixed</w:t>
      </w:r>
      <w:r>
        <w:t xml:space="preserve"> </w:t>
      </w:r>
      <m:oMath>
        <m:sSub>
          <m:e>
            <m:r>
              <m:t>m</m:t>
            </m:r>
          </m:e>
          <m:sub>
            <m:r>
              <m:t>c</m:t>
            </m:r>
          </m:sub>
        </m:sSub>
      </m:oMath>
      <w:r>
        <w:t xml:space="preserve"> </w:t>
      </w:r>
      <w:r>
        <w:t xml:space="preserve">(for example</w:t>
      </w:r>
      <w:r>
        <w:t xml:space="preserve"> </w:t>
      </w:r>
      <m:oMath>
        <m:sSub>
          <m:e>
            <m:r>
              <m:t>m</m:t>
            </m:r>
          </m:e>
          <m:sub>
            <m:r>
              <m:t>c</m:t>
            </m:r>
          </m:sub>
        </m:sSub>
        <m:r>
          <m:rPr>
            <m:sty m:val="p"/>
          </m:rPr>
          <m:t>=</m:t>
        </m:r>
        <m:r>
          <m:t>2</m:t>
        </m:r>
        <m:r>
          <m:rPr>
            <m:sty m:val="p"/>
          </m:rPr>
          <m:t>,</m:t>
        </m:r>
        <m:r>
          <m:t>500</m:t>
        </m:r>
      </m:oMath>
      <w:r>
        <w:t xml:space="preserve">) generates a panel-relative truncation rate that varies by two orders of magnitude across panels:</w:t>
      </w:r>
      <w:r>
        <w:t xml:space="preserve"> </w:t>
      </w:r>
      <m:oMath>
        <m:sSub>
          <m:e>
            <m:r>
              <m:t>m</m:t>
            </m:r>
          </m:e>
          <m:sub>
            <m:r>
              <m:t>c</m:t>
            </m:r>
          </m:sub>
        </m:sSub>
        <m:r>
          <m:rPr>
            <m:sty m:val="p"/>
          </m:rPr>
          <m:t>=</m:t>
        </m:r>
        <m:r>
          <m:t>2</m:t>
        </m:r>
        <m:r>
          <m:rPr>
            <m:sty m:val="p"/>
          </m:rPr>
          <m:t>,</m:t>
        </m:r>
        <m:r>
          <m:t>500</m:t>
        </m:r>
      </m:oMath>
      <w:r>
        <w:t xml:space="preserve"> </w:t>
      </w:r>
      <w: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t xml:space="preserve"> </w:t>
      </w:r>
      <m:oMath>
        <m:sSup>
          <m:e>
            <m:r>
              <m:t>R</m:t>
            </m:r>
          </m:e>
          <m:sup>
            <m:r>
              <m:t>2</m:t>
            </m:r>
          </m:sup>
        </m:sSup>
      </m:oMath>
      <w:r>
        <w:t xml:space="preserve"> </w:t>
      </w:r>
      <w:r>
        <w:t xml:space="preserve">losses concentrated on low-frequency variants in admixed cohorts.</w:t>
      </w:r>
    </w:p>
    <w:p>
      <w:pPr>
        <w:pStyle w:val="BodyText"/>
      </w:pPr>
      <w:r>
        <w:t xml:space="preserve">Selphi 2 resolves</w:t>
      </w:r>
      <w:r>
        <w:t xml:space="preserve"> </w:t>
      </w:r>
      <m:oMath>
        <m:sSub>
          <m:e>
            <m:r>
              <m:t>m</m:t>
            </m:r>
          </m:e>
          <m:sub>
            <m:r>
              <m:t>c</m:t>
            </m:r>
          </m:sub>
        </m:sSub>
      </m:oMath>
      <w:r>
        <w:t xml:space="preserve"> </w:t>
      </w:r>
      <w:r>
        <w:t xml:space="preserve">automatically as</w:t>
      </w:r>
    </w:p>
    <w:p>
      <w:pPr>
        <w:pStyle w:val="BodyText"/>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pPr>
      <w:r>
        <w:t xml:space="preserve">where</w:t>
      </w:r>
      <w:r>
        <w:t xml:space="preserve"> </w:t>
      </w:r>
      <m:oMath>
        <m:sSub>
          <m:e>
            <m:r>
              <m:t>N</m:t>
            </m:r>
          </m:e>
          <m:sub>
            <m:r>
              <m:rPr>
                <m:nor/>
                <m:sty m:val="p"/>
              </m:rPr>
              <m:t>ref</m:t>
            </m:r>
          </m:sub>
        </m:sSub>
      </m:oMath>
      <w:r>
        <w:t xml:space="preserve"> </w:t>
      </w:r>
      <w:r>
        <w:t xml:space="preserve">is the total number of reference haplotypes,</w:t>
      </w:r>
      <w:r>
        <w:t xml:space="preserve"> </w:t>
      </w:r>
      <m:oMath>
        <m:r>
          <m:t>γ</m:t>
        </m:r>
      </m:oMath>
      <w:r>
        <w:t xml:space="preserve"> </w:t>
      </w:r>
      <w:r>
        <w:t xml:space="preserve">is a base fraction,</w:t>
      </w:r>
      <w:r>
        <w:t xml:space="preserve"> </w:t>
      </w:r>
      <m:oMath>
        <m:r>
          <m:t>α</m:t>
        </m:r>
      </m:oMath>
      <w:r>
        <w:t xml:space="preserve"> </w:t>
      </w:r>
      <w:r>
        <w:t xml:space="preserve">is a diversity-coupled fraction, and</w:t>
      </w:r>
      <w: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t xml:space="preserve"> </w:t>
      </w:r>
      <w:r>
        <w:t xml:space="preserve">is the coefficient of variation of compressed tile sizes in the SRP, computed once at panel load.</w:t>
      </w:r>
      <w:r>
        <w:t xml:space="preserve"> </w:t>
      </w:r>
      <m:oMath>
        <m:sSub>
          <m:e>
            <m:r>
              <m:rPr>
                <m:sty m:val="p"/>
              </m:rPr>
              <m:t>C</m:t>
            </m:r>
            <m:r>
              <m:rPr>
                <m:sty m:val="p"/>
              </m:rPr>
              <m:t>V</m:t>
            </m:r>
          </m:e>
          <m:sub>
            <m:r>
              <m:rPr>
                <m:nor/>
                <m:sty m:val="p"/>
              </m:rPr>
              <m:t>panel</m:t>
            </m:r>
          </m:sub>
        </m:sSub>
      </m:oMath>
      <w:r>
        <w:t xml:space="preserve"> </w:t>
      </w:r>
      <w:r>
        <w:t xml:space="preserve">is a proxy for haplotype-pattern diversity: panels containing multiple distinct mosaic structures (multiple ancestries, divergent sub-populations) compress less uniformly than ancestrally homogeneous panels, yielding higher CV.</w:t>
      </w:r>
    </w:p>
    <w:p>
      <w:pPr>
        <w:pStyle w:val="BodyText"/>
      </w:pPr>
      <w:r>
        <w:rPr>
          <w:b/>
          <w:bCs/>
        </w:rPr>
        <w:t xml:space="preserve">Choice of</w:t>
      </w:r>
      <w:r>
        <w:rPr>
          <w:b/>
          <w:bCs/>
        </w:rPr>
        <w:t xml:space="preserve"> </w:t>
      </w:r>
      <m:oMath>
        <m:r>
          <m:t>γ</m:t>
        </m:r>
      </m:oMath>
      <w:r>
        <w:rPr>
          <w:b/>
          <w:bCs/>
        </w:rPr>
        <w:t xml:space="preserve">,</w:t>
      </w:r>
      <w:r>
        <w:rPr>
          <w:b/>
          <w:bCs/>
        </w:rPr>
        <w:t xml:space="preserve"> </w:t>
      </w:r>
      <m:oMath>
        <m:r>
          <m:t>α</m:t>
        </m:r>
      </m:oMath>
      <w:r>
        <w:rPr>
          <w:b/>
          <w:bCs/>
        </w:rPr>
        <w:t xml:space="preserve">, and the small-panel rule.</w:t>
      </w:r>
      <w:r>
        <w:t xml:space="preserve"> </w:t>
      </w:r>
      <w: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t xml:space="preserve"> </w:t>
      </w:r>
      <w:r>
        <w:rPr>
          <w:b/>
          <w:bCs/>
        </w:rPr>
        <w:t xml:space="preserve">entire panel</w:t>
      </w:r>
      <w:r>
        <w:t xml:space="preserve"> </w:t>
      </w:r>
      <w:r>
        <w:t xml:space="preserve">as the conditioning set when it contains at most 16,000 haplotypes (≈8,000 samples), applying the formula</w:t>
      </w:r>
      <w: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t xml:space="preserve">, with</w:t>
      </w:r>
      <w:r>
        <w:t xml:space="preserve"> </w:t>
      </w:r>
      <m:oMath>
        <m:r>
          <m:t>γ</m:t>
        </m:r>
        <m:r>
          <m:rPr>
            <m:sty m:val="p"/>
          </m:rPr>
          <m:t>=</m:t>
        </m:r>
        <m:r>
          <m:t>0.10</m:t>
        </m:r>
      </m:oMath>
      <w:r>
        <w:t xml:space="preserve"> </w:t>
      </w:r>
      <w:r>
        <w:t xml:space="preserve">and</w:t>
      </w:r>
      <w:r>
        <w:t xml:space="preserve"> </w:t>
      </w:r>
      <m:oMath>
        <m:r>
          <m:t>α</m:t>
        </m:r>
        <m:r>
          <m:rPr>
            <m:sty m:val="p"/>
          </m:rPr>
          <m:t>=</m:t>
        </m:r>
        <m:r>
          <m:t>0.80</m:t>
        </m:r>
      </m:oMath>
      <w:r>
        <w:t xml:space="preserve">, only above that size (the result is additionally capped at</w:t>
      </w:r>
      <w:r>
        <w:t xml:space="preserve"> </w:t>
      </w:r>
      <m:oMath>
        <m:sSub>
          <m:e>
            <m:r>
              <m:t>N</m:t>
            </m:r>
          </m:e>
          <m:sub>
            <m:r>
              <m:rPr>
                <m:nor/>
                <m:sty m:val="p"/>
              </m:rPr>
              <m:t>ref</m:t>
            </m:r>
          </m:sub>
        </m:sSub>
      </m:oMath>
      <w: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t xml:space="preserve"> </w:t>
      </w:r>
      <m:oMath>
        <m:sSub>
          <m:e>
            <m:r>
              <m:t>m</m:t>
            </m:r>
          </m:e>
          <m:sub>
            <m:r>
              <m:t>c</m:t>
            </m:r>
          </m:sub>
        </m:sSub>
        <m:r>
          <m:rPr>
            <m:sty m:val="p"/>
          </m:rPr>
          <m:t>=</m:t>
        </m:r>
        <m:r>
          <m:t>132</m:t>
        </m:r>
        <m:r>
          <m:rPr>
            <m:sty m:val="p"/>
          </m:rPr>
          <m:t>,</m:t>
        </m:r>
        <m:r>
          <m:t>676</m:t>
        </m:r>
      </m:oMath>
      <w:r>
        <w:t xml:space="preserve"> </w:t>
      </w:r>
      <w:r>
        <w:t xml:space="preserve">for the TOPMed panel (</w:t>
      </w:r>
      <m:oMath>
        <m:sSub>
          <m:e>
            <m:r>
              <m:rPr>
                <m:sty m:val="p"/>
              </m:rPr>
              <m:t>C</m:t>
            </m:r>
            <m:r>
              <m:rPr>
                <m:sty m:val="p"/>
              </m:rPr>
              <m:t>V</m:t>
            </m:r>
          </m:e>
          <m:sub>
            <m:r>
              <m:rPr>
                <m:nor/>
                <m:sty m:val="p"/>
              </m:rPr>
              <m:t>panel</m:t>
            </m:r>
          </m:sub>
        </m:sSub>
        <m:r>
          <m:rPr>
            <m:sty m:val="p"/>
          </m:rPr>
          <m:t>=</m:t>
        </m:r>
        <m:r>
          <m:t>0.845</m:t>
        </m:r>
      </m:oMath>
      <w:r>
        <w:t xml:space="preserve">,</w:t>
      </w:r>
      <w:r>
        <w:t xml:space="preserve"> </w:t>
      </w:r>
      <m:oMath>
        <m:sSub>
          <m:e>
            <m:r>
              <m:t>N</m:t>
            </m:r>
          </m:e>
          <m:sub>
            <m:r>
              <m:rPr>
                <m:nor/>
                <m:sty m:val="p"/>
              </m:rPr>
              <m:t>ref</m:t>
            </m:r>
          </m:sub>
        </m:sSub>
        <m:r>
          <m:rPr>
            <m:sty m:val="p"/>
          </m:rPr>
          <m:t>=</m:t>
        </m:r>
        <m:r>
          <m:t>171</m:t>
        </m:r>
        <m:r>
          <m:rPr>
            <m:sty m:val="p"/>
          </m:rPr>
          <m:t>,</m:t>
        </m:r>
        <m:r>
          <m:t>054</m:t>
        </m:r>
      </m:oMath>
      <w:r>
        <w:t xml:space="preserve">; 78% of the panel). Users may override the automatic</w:t>
      </w:r>
      <w:r>
        <w:t xml:space="preserve"> </w:t>
      </w:r>
      <m:oMath>
        <m:sSub>
          <m:e>
            <m:r>
              <m:t>m</m:t>
            </m:r>
          </m:e>
          <m:sub>
            <m:r>
              <m:t>c</m:t>
            </m:r>
          </m:sub>
        </m:sSub>
      </m:oMath>
      <w:r>
        <w:t xml:space="preserve"> </w:t>
      </w:r>
      <w:r>
        <w:t xml:space="preserve">with a fixed value for reproducibility with prior results.</w:t>
      </w:r>
    </w:p>
    <w:p>
      <w:pPr>
        <w:pStyle w:val="BodyText"/>
      </w:pPr>
      <w:r>
        <w:t xml:space="preserve">The resulting HMM posterior weights are stored as sparse CSR matrices (row-per-chip-variant, column-per-reference-haplotype), with entries below</w:t>
      </w:r>
      <w:r>
        <w:t xml:space="preserve"> </w:t>
      </w:r>
      <m:oMath>
        <m:r>
          <m:t>1</m:t>
        </m:r>
        <m:r>
          <m:rPr>
            <m:sty m:val="p"/>
          </m:rPr>
          <m:t>/</m:t>
        </m:r>
        <m:r>
          <m:rPr>
            <m:sty m:val="p"/>
          </m:rPr>
          <m:t>(</m:t>
        </m:r>
        <m:r>
          <m:t>H</m:t>
        </m:r>
        <m:r>
          <m:rPr>
            <m:sty m:val="p"/>
          </m:rPr>
          <m:t>+</m:t>
        </m:r>
        <m:r>
          <m:t>1</m:t>
        </m:r>
        <m:r>
          <m:rPr>
            <m:sty m:val="p"/>
          </m:rPr>
          <m:t>)</m:t>
        </m:r>
      </m:oMath>
      <w:r>
        <w:t xml:space="preserve"> </w:t>
      </w:r>
      <w:r>
        <w:t xml:space="preserve">set to zero.</w:t>
      </w:r>
    </w:p>
    <w:bookmarkEnd w:id="18"/>
    <w:bookmarkStart w:id="19" w:name="interpolation-and-output"/>
    <w:p>
      <w:pPr>
        <w:pStyle w:val="Heading3"/>
      </w:pPr>
      <w:r>
        <w:rPr>
          <w:b/>
          <w:bCs/>
        </w:rPr>
        <w:t xml:space="preserve">Interpolation and output</w:t>
      </w:r>
    </w:p>
    <w:p>
      <w:pPr>
        <w:pStyle w:val="FirstParagraph"/>
      </w:pPr>
      <w:r>
        <w:t xml:space="preserve">Between consecutive shared-variant positions (chip sites), imputed dosages at reference-panel-only positions are computed by linear interpolation of the HMM-derived haplotype weights, following the standard approach</w:t>
      </w:r>
      <w:r>
        <w:rPr>
          <w:vertAlign w:val="superscript"/>
        </w:rPr>
        <w:t xml:space="preserve">4,7</w:t>
      </w:r>
      <w:r>
        <w:t xml:space="preserve">:</w:t>
      </w:r>
    </w:p>
    <w:p>
      <w:pPr>
        <w:pStyle w:val="BodyText"/>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pPr>
      <w:r>
        <w:t xml:space="preserve">where</w:t>
      </w:r>
      <w:r>
        <w:t xml:space="preserve"> </w:t>
      </w:r>
      <m:oMath>
        <m:sSub>
          <m:e>
            <m:r>
              <m:t>w</m:t>
            </m:r>
          </m:e>
          <m:sub>
            <m:r>
              <m:t>r</m:t>
            </m:r>
          </m:sub>
        </m:sSub>
        <m:r>
          <m:rPr>
            <m:sty m:val="p"/>
          </m:rPr>
          <m:t>(</m:t>
        </m:r>
        <m:r>
          <m:t>j</m:t>
        </m:r>
        <m:r>
          <m:rPr>
            <m:sty m:val="p"/>
          </m:rPr>
          <m:t>)</m:t>
        </m:r>
      </m:oMath>
      <w:r>
        <w:t xml:space="preserve"> </w:t>
      </w:r>
      <w:r>
        <w:t xml:space="preserve">is the interpolated weight of reference haplotype r at position j, and</w:t>
      </w:r>
      <w:r>
        <w:t xml:space="preserve"> </w:t>
      </w:r>
      <m:oMath>
        <m:sSub>
          <m:e>
            <m:r>
              <m:t>x</m:t>
            </m:r>
          </m:e>
          <m:sub>
            <m:r>
              <m:t>r</m:t>
            </m:r>
          </m:sub>
        </m:sSub>
        <m:r>
          <m:rPr>
            <m:sty m:val="p"/>
          </m:rPr>
          <m:t>(</m:t>
        </m:r>
        <m:r>
          <m:t>j</m:t>
        </m:r>
        <m:r>
          <m:rPr>
            <m:sty m:val="p"/>
          </m:rPr>
          <m:t>)</m:t>
        </m:r>
      </m:oMath>
      <w:r>
        <w:t xml:space="preserve"> </w:t>
      </w:r>
      <w: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pPr>
      <w:r>
        <w:t xml:space="preserve">Interpolation operates on tiles of 1,024 variants</w:t>
      </w:r>
      <w:r>
        <w:t xml:space="preserve"> </w:t>
      </w:r>
      <m:oMath>
        <m:r>
          <m:rPr>
            <m:sty m:val="p"/>
          </m:rPr>
          <m:t>×</m:t>
        </m:r>
      </m:oMath>
      <w:r>
        <w:t xml:space="preserve"> </w:t>
      </w:r>
      <w: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pPr>
      <w:r>
        <w:t xml:space="preserve">The per-variant dosage R-squared (DR2) quality metric</w:t>
      </w:r>
      <w:r>
        <w:rPr>
          <w:vertAlign w:val="superscript"/>
        </w:rPr>
        <w:t xml:space="preserve">24</w:t>
      </w:r>
      <w:r>
        <w:t xml:space="preserve"> </w:t>
      </w:r>
      <w:r>
        <w:t xml:space="preserve">is computed using a numerically stable two-pass method:</w:t>
      </w:r>
    </w:p>
    <w:p>
      <w:pPr>
        <w:pStyle w:val="BodyText"/>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pPr>
      <w:r>
        <w:t xml:space="preserve">where</w:t>
      </w:r>
      <w: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t xml:space="preserve"> </w:t>
      </w:r>
      <w:r>
        <w:t xml:space="preserve">is the estimated alternate allele frequency, and var(dosage) is computed as the mean of squared deviations from the mean (avoiding the numerically unstable single-pass</w:t>
      </w:r>
      <w: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t xml:space="preserve"> </w:t>
      </w:r>
      <w:r>
        <w:t xml:space="preserve">formula).</w:t>
      </w:r>
    </w:p>
    <w:p>
      <w:pPr>
        <w:pStyle w:val="BodyText"/>
      </w:pPr>
      <w:r>
        <w:t xml:space="preserve">VCF output formatting performs no floating-point-to-string conversion at all. Dosages are quantized to the emitted precision (three decimals for DS, two for AP) and the quantized values index byte-slice lookup tables rendered once at start-up: a 2</w:t>
      </w:r>
      <w:r>
        <w:t xml:space="preserve"> </w:t>
      </w:r>
      <m:oMath>
        <m:r>
          <m:rPr>
            <m:sty m:val="p"/>
          </m:rPr>
          <m:t>×</m:t>
        </m:r>
      </m:oMath>
      <w:r>
        <w:t xml:space="preserve"> </w:t>
      </w:r>
      <w:r>
        <w:t xml:space="preserve">2</w:t>
      </w:r>
      <w:r>
        <w:t xml:space="preserve"> </w:t>
      </w:r>
      <m:oMath>
        <m:r>
          <m:rPr>
            <m:sty m:val="p"/>
          </m:rPr>
          <m:t>×</m:t>
        </m:r>
      </m:oMath>
      <w:r>
        <w:t xml:space="preserve"> </w:t>
      </w:r>
      <w:r>
        <w:t xml:space="preserve">2,001-entry table over (haplotype-1 call, haplotype-2 call, dosage index) emits an entire</w:t>
      </w:r>
      <w:r>
        <w:t xml:space="preserve"> </w:t>
      </w:r>
      <w:r>
        <w:rPr>
          <w:rStyle w:val="VerbatimChar"/>
        </w:rPr>
        <w:t xml:space="preserve">GT:DS</w:t>
      </w:r>
      <w:r>
        <w:t xml:space="preserve"> </w:t>
      </w:r>
      <w:r>
        <w:t xml:space="preserve">field as a single memory copy, and a 101</w:t>
      </w:r>
      <w:r>
        <w:t xml:space="preserve"> </w:t>
      </w:r>
      <m:oMath>
        <m:r>
          <m:rPr>
            <m:sty m:val="p"/>
          </m:rPr>
          <m:t>×</m:t>
        </m:r>
      </m:oMath>
      <w:r>
        <w:t xml:space="preserve"> </w:t>
      </w:r>
      <w:r>
        <w:t xml:space="preserve">101-entry table does the same for the paired</w:t>
      </w:r>
      <w:r>
        <w:t xml:space="preserve"> </w:t>
      </w:r>
      <w:r>
        <w:rPr>
          <w:rStyle w:val="VerbatimChar"/>
        </w:rPr>
        <w:t xml:space="preserve">AP1:AP2</w:t>
      </w:r>
      <w:r>
        <w:t xml:space="preserve"> </w:t>
      </w:r>
      <w:r>
        <w:t xml:space="preserve">field. Every sample at every variant takes this path, so per-sample formatting cost is constant and independent of the dosage value.</w:t>
      </w:r>
    </w:p>
    <w:p>
      <w:pPr>
        <w:pStyle w:val="BodyText"/>
      </w:pPr>
      <w:r>
        <w:t xml:space="preserve">Selphi 2 supports five output formats from a single interpolation pass: VCF.gz (multi-threaded BGZF compression), native BCF 2.2</w:t>
      </w:r>
      <w:r>
        <w:rPr>
          <w:vertAlign w:val="superscript"/>
        </w:rPr>
        <w:t xml:space="preserve">25</w:t>
      </w:r>
      <w:r>
        <w:t xml:space="preserve">, Apache Parquet (zstd-compressed, variant-major columnar layout), PLINK2 PGEN</w:t>
      </w:r>
      <w:r>
        <w:rPr>
          <w:vertAlign w:val="superscript"/>
        </w:rPr>
        <w:t xml:space="preserve">11</w:t>
      </w:r>
      <w:r>
        <w:t xml:space="preserve"> </w:t>
      </w:r>
      <w: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bookmarkEnd w:id="19"/>
    <w:bookmarkStart w:id="20" w:name="X564c65032df1e52b5739bf2dcd4ddb74148b8b4"/>
    <w:p>
      <w:pPr>
        <w:pStyle w:val="Heading3"/>
      </w:pPr>
      <w:r>
        <w:rPr>
          <w:b/>
          <w:bCs/>
        </w:rPr>
        <w:t xml:space="preserve">Low-coverage sequencing imputation engine</w:t>
      </w:r>
    </w:p>
    <w:p>
      <w:pPr>
        <w:pStyle w:val="FirstParagraph"/>
      </w:pPr>
      <w:r>
        <w:t xml:space="preserve">The phasing-and-imputation pipeline above targets array-genotyped data, where the input is a set of confident hard genotype calls at chip sites. Low-coverage whole-genome sequencing (lcWGS) presents a different inference problem: at 0.5-4</w:t>
      </w:r>
      <m:oMath>
        <m:r>
          <m:rPr>
            <m:sty m:val="p"/>
          </m:rPr>
          <m:t>×</m:t>
        </m:r>
      </m:oMath>
      <w:r>
        <w:t xml:space="preserve"> </w:t>
      </w:r>
      <w:r>
        <w:t xml:space="preserve">depth, and at the off-target sites of a capture library, most sites carry no confident call but a soft genotype likelihood (GL) derived from one or two reads, while deeply covered sites contribute near-certain likelihoods through the same model with no special handling. Selphi 2 provides a dedicated lcWGS engine, selected with</w:t>
      </w:r>
      <w:r>
        <w:t xml:space="preserve"> </w:t>
      </w:r>
      <w:r>
        <w:rPr>
          <w:rStyle w:val="VerbatimChar"/>
        </w:rPr>
        <w:t xml:space="preserve">--lcwgs</w:t>
      </w:r>
      <w:r>
        <w:t xml:space="preserve">, that reuses the reference-panel ingestion (SRP), the</w:t>
      </w:r>
      <w:r>
        <w:t xml:space="preserve"> </w:t>
      </w:r>
      <w:r>
        <w:rPr>
          <w:rStyle w:val="VerbatimChar"/>
        </w:rPr>
        <w:t xml:space="preserve">HaplotypeBitmatrix</w:t>
      </w:r>
      <w:r>
        <w:t xml:space="preserve">, the genetic map, and the output writers, but replaces the hard-call HMM with a genotype-likelihood-aware Li-Stephens model. GLIMPSE2</w:t>
      </w:r>
      <w:r>
        <w:rPr>
          <w:vertAlign w:val="superscript"/>
        </w:rPr>
        <w:t xml:space="preserve">15</w:t>
      </w:r>
      <w:r>
        <w:t xml:space="preserve"> </w:t>
      </w:r>
      <w:r>
        <w:t xml:space="preserve">established that this regime is best addressed by imputing directly from genotype likelihoods rather than from hard calls; we benchmark against it in Results.</w:t>
      </w:r>
    </w:p>
    <w:p>
      <w:pPr>
        <w:pStyle w:val="BodyText"/>
      </w:pPr>
      <w:r>
        <w:t xml:space="preserve">The engine reads per-sample Phred-scaled genotype likelihoods (the</w:t>
      </w:r>
      <w:r>
        <w:t xml:space="preserve"> </w:t>
      </w:r>
      <w:r>
        <w:rPr>
          <w:rStyle w:val="VerbatimChar"/>
        </w:rPr>
        <w:t xml:space="preserve">PL</w:t>
      </w:r>
      <w:r>
        <w:t xml:space="preserve"> </w:t>
      </w:r>
      <w:r>
        <w:t xml:space="preserve">field produced by</w:t>
      </w:r>
      <w:r>
        <w:t xml:space="preserve"> </w:t>
      </w:r>
      <w:r>
        <w:rPr>
          <w:rStyle w:val="VerbatimChar"/>
        </w:rPr>
        <w:t xml:space="preserve">bcftools mpileup | call</w:t>
      </w:r>
      <w: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r>
        <w:rPr>
          <w:vertAlign w:val="superscript"/>
        </w:rPr>
        <w:t xml:space="preserve">25</w:t>
      </w:r>
      <w:r>
        <w:t xml:space="preserve"> </w:t>
      </w:r>
      <w: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t xml:space="preserve"> </w:t>
      </w:r>
      <w:r>
        <w:t xml:space="preserve">if the base matches else</w:t>
      </w:r>
      <w:r>
        <w:t xml:space="preserve"> </w:t>
      </w:r>
      <m:oMath>
        <m:r>
          <m:t>ε</m:t>
        </m:r>
        <m:r>
          <m:rPr>
            <m:sty m:val="p"/>
          </m:rPr>
          <m:t>/</m:t>
        </m:r>
        <m:r>
          <m:t>3</m:t>
        </m:r>
      </m:oMath>
      <w:r>
        <w:t xml:space="preserve">, with</w:t>
      </w:r>
      <w:r>
        <w:t xml:space="preserve"> </w:t>
      </w:r>
      <m:oMath>
        <m:r>
          <m:t>ε</m:t>
        </m:r>
        <m:r>
          <m:rPr>
            <m:sty m:val="p"/>
          </m:rPr>
          <m:t>=</m:t>
        </m:r>
        <m:sSup>
          <m:e>
            <m:r>
              <m:t>10</m:t>
            </m:r>
          </m:e>
          <m:sup>
            <m:r>
              <m:rPr>
                <m:sty m:val="p"/>
              </m:rPr>
              <m:t>−</m:t>
            </m:r>
            <m:r>
              <m:t>Q</m:t>
            </m:r>
            <m:r>
              <m:rPr>
                <m:sty m:val="p"/>
              </m:rPr>
              <m:t>/</m:t>
            </m:r>
            <m:r>
              <m:t>10</m:t>
            </m:r>
          </m:sup>
        </m:sSup>
      </m:oMath>
      <w:r>
        <w:t xml:space="preserve"> </w:t>
      </w:r>
      <w:r>
        <w:t xml:space="preserve">and the heterozygous term</w:t>
      </w:r>
      <w: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t xml:space="preserve">), filtered by mapping and base quality (defaults MAPQ ≥ 20, base quality ≥ 20, at most 250 reads per site;</w:t>
      </w:r>
      <w:r>
        <w:t xml:space="preserve"> </w:t>
      </w:r>
      <w:r>
        <w:rPr>
          <w:rStyle w:val="VerbatimChar"/>
        </w:rPr>
        <w:t xml:space="preserve">LCWGS_MIN_MAPQ</w:t>
      </w:r>
      <w:r>
        <w:t xml:space="preserve">,</w:t>
      </w:r>
      <w:r>
        <w:t xml:space="preserve"> </w:t>
      </w:r>
      <w:r>
        <w:rPr>
          <w:rStyle w:val="VerbatimChar"/>
        </w:rPr>
        <w:t xml:space="preserve">LCWGS_MIN_BQ</w:t>
      </w:r>
      <w:r>
        <w:t xml:space="preserve">,</w:t>
      </w:r>
      <w:r>
        <w:t xml:space="preserve"> </w:t>
      </w:r>
      <w:r>
        <w:rPr>
          <w:rStyle w:val="VerbatimChar"/>
        </w:rPr>
        <w:t xml:space="preserve">LCWGS_MAX_DEPTH</w:t>
      </w:r>
      <w:r>
        <w:t xml:space="preserve">); the result matches</w:t>
      </w:r>
      <w:r>
        <w:t xml:space="preserve"> </w:t>
      </w:r>
      <w:r>
        <w:rPr>
          <w:rStyle w:val="VerbatimChar"/>
        </w:rPr>
        <w:t xml:space="preserve">bcftools mpileup</w:t>
      </w:r>
      <w:r>
        <w:t xml:space="preserve"> </w:t>
      </w:r>
      <w: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Style w:val="VerbatimChar"/>
        </w:rPr>
        <w:t xml:space="preserve">.bai</w:t>
      </w:r>
      <w:r>
        <w:t xml:space="preserve">/</w:t>
      </w:r>
      <w:r>
        <w:rPr>
          <w:rStyle w:val="VerbatimChar"/>
        </w:rPr>
        <w:t xml:space="preserve">.crai</w:t>
      </w:r>
      <w:r>
        <w:t xml:space="preserve">) is used to decode only the requested span. Non-SNP panel sites, for which the pileup collects no read evidence, are excluded from the native target set and imputed from the haplotype scaffold, as in GLIMPSE2 and as on the likelihood-file path when that file is restricted to SNPs; carrying them as flat-likelihood target sites instead changes the head-to-head result of Table 1b within noise (+0.184 against +0.190 pp non-reference concordance over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t xml:space="preserve"> </w:t>
      </w:r>
      <m:oMath>
        <m:r>
          <m:t>P</m:t>
        </m:r>
        <m:r>
          <m:rPr>
            <m:sty m:val="p"/>
          </m:rPr>
          <m:t>(</m:t>
        </m:r>
        <m:r>
          <m:rPr>
            <m:nor/>
            <m:sty m:val="p"/>
          </m:rPr>
          <m:t>read</m:t>
        </m:r>
        <m:r>
          <m:t> </m:t>
        </m:r>
        <m:r>
          <m:rPr>
            <m:sty m:val="p"/>
          </m:rPr>
          <m:t>|</m:t>
        </m:r>
        <m:r>
          <m:t> </m:t>
        </m:r>
        <m:r>
          <m:rPr>
            <m:nor/>
            <m:sty m:val="p"/>
          </m:rPr>
          <m:t>REF</m:t>
        </m:r>
        <m:r>
          <m:rPr>
            <m:sty m:val="p"/>
          </m:rPr>
          <m:t>)</m:t>
        </m:r>
      </m:oMath>
      <w:r>
        <w:t xml:space="preserve"> </w:t>
      </w:r>
      <w:r>
        <w:t xml:space="preserve">and</w:t>
      </w:r>
      <w:r>
        <w:t xml:space="preserve"> </w:t>
      </w:r>
      <m:oMath>
        <m:r>
          <m:t>P</m:t>
        </m:r>
        <m:r>
          <m:rPr>
            <m:sty m:val="p"/>
          </m:rPr>
          <m:t>(</m:t>
        </m:r>
        <m:r>
          <m:rPr>
            <m:nor/>
            <m:sty m:val="p"/>
          </m:rPr>
          <m:t>read</m:t>
        </m:r>
        <m:r>
          <m:t> </m:t>
        </m:r>
        <m:r>
          <m:rPr>
            <m:sty m:val="p"/>
          </m:rPr>
          <m:t>|</m:t>
        </m:r>
        <m:r>
          <m:t> </m:t>
        </m:r>
        <m:r>
          <m:rPr>
            <m:nor/>
            <m:sty m:val="p"/>
          </m:rPr>
          <m:t>ALT</m:t>
        </m:r>
        <m:r>
          <m:rPr>
            <m:sty m:val="p"/>
          </m:rPr>
          <m:t>)</m:t>
        </m:r>
      </m:oMath>
      <w:r>
        <w:t xml:space="preserve"> </w:t>
      </w:r>
      <w:r>
        <w:t xml:space="preserve">into the genotype likelihoods as for a SNP. To verify that this in-process pileup is faithful to the external</w:t>
      </w:r>
      <w:r>
        <w:t xml:space="preserve"> </w:t>
      </w:r>
      <w:r>
        <w:rPr>
          <w:rStyle w:val="VerbatimChar"/>
        </w:rPr>
        <w:t xml:space="preserve">bcftools mpileup</w:t>
      </w:r>
      <w:r>
        <w:t xml:space="preserve"> </w:t>
      </w:r>
      <w:r>
        <w:t xml:space="preserve">path, we ran a downsampling check (a 52</w:t>
      </w:r>
      <m:oMath>
        <m:r>
          <m:rPr>
            <m:sty m:val="p"/>
          </m:rPr>
          <m:t>×</m:t>
        </m:r>
      </m:oMath>
      <w:r>
        <w:t xml:space="preserve"> </w:t>
      </w:r>
      <w:r>
        <w:t xml:space="preserve">whole-genome sample reduced to 1</w:t>
      </w:r>
      <m:oMath>
        <m:r>
          <m:rPr>
            <m:sty m:val="p"/>
          </m:rPr>
          <m:t>×</m:t>
        </m:r>
      </m:oMath>
      <w:r>
        <w:t xml:space="preserve">, with the full-depth calls as truth): Selphi 2’s native pileup attains per-allele-frequency-bin aggregate</w:t>
      </w:r>
      <w:r>
        <w:t xml:space="preserve"> </w:t>
      </w:r>
      <m:oMath>
        <m:sSup>
          <m:e>
            <m:r>
              <m:t>r</m:t>
            </m:r>
          </m:e>
          <m:sup>
            <m:r>
              <m:t>2</m:t>
            </m:r>
          </m:sup>
        </m:sSup>
      </m:oMath>
      <w:r>
        <w:t xml:space="preserve"> </w:t>
      </w:r>
      <w: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t xml:space="preserve"> </w:t>
      </w:r>
      <w:r>
        <w:rPr>
          <w:rStyle w:val="VerbatimChar"/>
        </w:rPr>
        <w:t xml:space="preserve">GT:DS:GP</w:t>
      </w:r>
      <w:r>
        <w:t xml:space="preserve"> </w:t>
      </w:r>
      <w: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pPr>
      <w:r>
        <w:rPr>
          <w:i/>
          <w:iCs/>
        </w:rPr>
        <w:t xml:space="preserve">Base alignment quality.</w:t>
      </w:r>
      <w:r>
        <w:t xml:space="preserve"> </w:t>
      </w:r>
      <w:r>
        <w:t xml:space="preserve">The native pileup applies base alignment quality (BAQ)</w:t>
      </w:r>
      <w:r>
        <w:rPr>
          <w:vertAlign w:val="superscript"/>
        </w:rPr>
        <w:t xml:space="preserve">30</w:t>
      </w:r>
      <w:r>
        <w:t xml:space="preserve"> </w:t>
      </w:r>
      <w:r>
        <w:t xml:space="preserve">exactly as</w:t>
      </w:r>
      <w:r>
        <w:t xml:space="preserve"> </w:t>
      </w:r>
      <w:r>
        <w:rPr>
          <w:rStyle w:val="VerbatimChar"/>
        </w:rPr>
        <w:t xml:space="preserve">bcftools mpileup</w:t>
      </w:r>
      <w:r>
        <w:t xml:space="preserve"> </w:t>
      </w:r>
      <w:r>
        <w:t xml:space="preserve">does by default. Extended BAQ is computed by a bit-exact port of the htslib</w:t>
      </w:r>
      <w:r>
        <w:t xml:space="preserve"> </w:t>
      </w:r>
      <w:r>
        <w:rPr>
          <w:rStyle w:val="VerbatimChar"/>
        </w:rPr>
        <w:t xml:space="preserve">probaln_glocal</w:t>
      </w:r>
      <w:r>
        <w:t xml:space="preserve"> </w:t>
      </w:r>
      <w:r>
        <w:t xml:space="preserve">and</w:t>
      </w:r>
      <w:r>
        <w:t xml:space="preserve"> </w:t>
      </w:r>
      <w:r>
        <w:rPr>
          <w:rStyle w:val="VerbatimChar"/>
        </w:rPr>
        <w:t xml:space="preserve">sam_prob_realn</w:t>
      </w:r>
      <w:r>
        <w:t xml:space="preserve"> </w:t>
      </w:r>
      <w:r>
        <w:t xml:space="preserve">routines (on these libraries 28,596 of 28,596 reads receive base qualities identical to</w:t>
      </w:r>
      <w:r>
        <w:t xml:space="preserve"> </w:t>
      </w:r>
      <w:r>
        <w:rPr>
          <w:rStyle w:val="VerbatimChar"/>
        </w:rPr>
        <w:t xml:space="preserve">samtools calmd -r -E</w:t>
      </w:r>
      <w:r>
        <w:t xml:space="preserve">), applied to the reads that bcftools 1.22’s partial-realignment heuristic selects: a pileup column triggers realignment on indel or soft-clip evidence, and a read is judged once, at its first triggering column. On the capture libraries 7.6% of reads are realigned. Without BAQ the native pileup trailed the bcftools-likelihood arm of the head-to-head (Results, Table 1b: +0.125 against +0.197 pp over GLIMPSE2); with BAQ the two arms are at parity (+0.190 pp). GLIMPSE2’s own pileup applies no BAQ.</w:t>
      </w:r>
    </w:p>
    <w:p>
      <w:pPr>
        <w:pStyle w:val="BodyText"/>
      </w:pPr>
      <w:r>
        <w:rPr>
          <w:i/>
          <w:iCs/>
        </w:rPr>
        <w:t xml:space="preserve">Gibbs schedule, phasing and recombination model.</w:t>
      </w:r>
      <w:r>
        <w:t xml:space="preserve"> </w:t>
      </w:r>
      <w:r>
        <w:t xml:space="preserve">The engine imputes each target sample independently against the reference panel with a genotype-likelihood-aware Li-Stephens forward-backward: sparse-PBWT conditioning-set selection, an eight-founder phasing HMM re-committed at each Gibbs iteration (opt-out</w:t>
      </w:r>
      <w:r>
        <w:t xml:space="preserve"> </w:t>
      </w:r>
      <w:r>
        <w:rPr>
          <w:rStyle w:val="VerbatimChar"/>
        </w:rPr>
        <w:t xml:space="preserve">LCWGS_NO_FOUNDER_PHASE=1</w:t>
      </w:r>
      <w:r>
        <w:t xml:space="preserve">, which reverts to a heuristic diplotype-mosaic segment commitment), and a band-mode recombination rate in the imputation forward-backward (default; the phasing HMM keeps the conditioning-set-independent rate at every site):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t xml:space="preserve">) so a copied haplotype can recombine onto a true rare-allele carrier instead of remaining locked to a flanking non-carrier, the single change that lifts the ultra-rare bin to parity with or above GLIMPSE2 (Results, Table 2b), reducible to the prior uniform rate with</w:t>
      </w:r>
      <w:r>
        <w:t xml:space="preserve"> </w:t>
      </w:r>
      <w:r>
        <w:rPr>
          <w:rStyle w:val="VerbatimChar"/>
        </w:rPr>
        <w:t xml:space="preserve">LCWGS_RECOMB_DENOM=max</w:t>
      </w:r>
      <w:r>
        <w:t xml:space="preserve">. A rare-carrier-aware augmentation is applied at every Gibbs iteration (opt-out</w:t>
      </w:r>
      <w:r>
        <w:t xml:space="preserve"> </w:t>
      </w:r>
      <w:r>
        <w:rPr>
          <w:rStyle w:val="VerbatimChar"/>
        </w:rPr>
        <w:t xml:space="preserve">LCWGS_NO_RARE_CARRIER</w:t>
      </w:r>
      <w:r>
        <w:t xml:space="preserve">): at each rare site, a target haplotype currently sampled as carrying the minor allele has that site’s panel carriers appended to its own conditioning set, so a true carrier becomes copyable once the sampler has tentatively placed the rare allele on that haplotype. The augmentation is per haplotype rather than global, and when the conditioning set is capped the appended carriers are ranked behind the haplotype’s similarity-selected states, so the common-site copying model is left intact. The forward matrix is stored only at</w:t>
      </w:r>
      <w:r>
        <w:t xml:space="preserve"> </w:t>
      </w:r>
      <m:oMath>
        <m:rad>
          <m:radPr>
            <m:degHide m:val="on"/>
          </m:radPr>
          <m:deg/>
          <m:e>
            <m:r>
              <m:t>n</m:t>
            </m:r>
          </m:e>
        </m:rad>
      </m:oMath>
      <w:r>
        <w:t xml:space="preserve"> </w:t>
      </w:r>
      <w:r>
        <w:t xml:space="preserve">checkpoint columns and recomputed per block during the backward pass. The Gibbs iteration count and the cM window size are explicit accuracy/speed controls.</w:t>
      </w:r>
    </w:p>
    <w:p>
      <w:pPr>
        <w:pStyle w:val="BodyText"/>
      </w:pPr>
      <w:r>
        <w:rPr>
          <w:i/>
          <w:iCs/>
        </w:rPr>
        <w:t xml:space="preserve">Likelihood-file input.</w:t>
      </w:r>
      <w:r>
        <w:t xml:space="preserve"> </w:t>
      </w:r>
      <w:r>
        <w:t xml:space="preserve">Records without a</w:t>
      </w:r>
      <w:r>
        <w:t xml:space="preserve"> </w:t>
      </w:r>
      <w:r>
        <w:rPr>
          <w:rStyle w:val="VerbatimChar"/>
        </w:rPr>
        <w:t xml:space="preserve">PL</w:t>
      </w:r>
      <w:r>
        <w:t xml:space="preserve"> </w:t>
      </w:r>
      <w:r>
        <w:t xml:space="preserve">field (for example the indel records that</w:t>
      </w:r>
      <w:r>
        <w:t xml:space="preserve"> </w:t>
      </w:r>
      <w:r>
        <w:rPr>
          <w:rStyle w:val="VerbatimChar"/>
        </w:rPr>
        <w:t xml:space="preserve">bcftools call -C alleles</w:t>
      </w:r>
      <w:r>
        <w:t xml:space="preserve"> </w:t>
      </w:r>
      <w:r>
        <w:t xml:space="preserve">emits genotype-only when the alleles file contains indels but</w:t>
      </w:r>
      <w:r>
        <w:t xml:space="preserve"> </w:t>
      </w:r>
      <w:r>
        <w:rPr>
          <w:rStyle w:val="VerbatimChar"/>
        </w:rPr>
        <w:t xml:space="preserve">mpileup</w:t>
      </w:r>
      <w:r>
        <w:t xml:space="preserve"> </w:t>
      </w:r>
      <w:r>
        <w:t xml:space="preserve">ran with</w:t>
      </w:r>
      <w:r>
        <w:t xml:space="preserve"> </w:t>
      </w:r>
      <w:r>
        <w:rPr>
          <w:rStyle w:val="VerbatimChar"/>
        </w:rPr>
        <w:t xml:space="preserve">-I</w:t>
      </w:r>
      <w:r>
        <w:t xml:space="preserve">) are currently read as flat-likelihood target sites; a</w:t>
      </w:r>
      <w:r>
        <w:t xml:space="preserve"> </w:t>
      </w:r>
      <w:r>
        <w:rPr>
          <w:rStyle w:val="VerbatimChar"/>
        </w:rPr>
        <w:t xml:space="preserve">PL</w:t>
      </w:r>
      <w:r>
        <w:t xml:space="preserve"> </w:t>
      </w:r>
      <w:r>
        <w:t xml:space="preserve">VCF should therefore be restricted to records carrying likelihoods (</w:t>
      </w:r>
      <w:r>
        <w:rPr>
          <w:rStyle w:val="VerbatimChar"/>
        </w:rPr>
        <w:t xml:space="preserve">bcftools view -v snps</w:t>
      </w:r>
      <w:r>
        <w:t xml:space="preserve">), as in every likelihood-file run reported here, or the BAM path used instead (Limitations).</w:t>
      </w:r>
    </w:p>
    <w:p>
      <w:pPr>
        <w:pStyle w:val="BodyText"/>
      </w:pPr>
      <w: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AVX2 or NEON selected at runtime (the AVX-512 path loads 16 bit-packed reference alleles directly as a mask register), with a scalar fallback; the selection step accumulates IBS match lengths in a per-target sparse map rather than a dense target</w:t>
      </w:r>
      <m:oMath>
        <m:r>
          <m:rPr>
            <m:sty m:val="p"/>
          </m:rPr>
          <m:t>×</m:t>
        </m:r>
      </m:oMath>
      <w:r>
        <w:t xml:space="preserve">panel matrix, so its memory is independent of panel haplotype count.</w:t>
      </w:r>
    </w:p>
    <w:bookmarkEnd w:id="20"/>
    <w:bookmarkStart w:id="21" w:name="sparse-reference-panel-format-srp"/>
    <w:p>
      <w:pPr>
        <w:pStyle w:val="Heading3"/>
      </w:pPr>
      <w:r>
        <w:rPr>
          <w:b/>
          <w:bCs/>
        </w:rPr>
        <w:t xml:space="preserve">Sparse Reference Panel format (SRP)</w:t>
      </w:r>
    </w:p>
    <w:p>
      <w:pPr>
        <w:pStyle w:val="FirstParagraph"/>
      </w:pPr>
      <w:r>
        <w:t xml:space="preserve">The SRP format stores reference panel haplotypes as a 2D tiled sparse matrix. Each tile covers 1,024 variants</w:t>
      </w:r>
      <w:r>
        <w:t xml:space="preserve"> </w:t>
      </w:r>
      <m:oMath>
        <m:r>
          <m:rPr>
            <m:sty m:val="p"/>
          </m:rPr>
          <m:t>×</m:t>
        </m:r>
      </m:oMath>
      <w:r>
        <w:t xml:space="preserve"> </w:t>
      </w:r>
      <w: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pPr>
      <w:r>
        <w:t xml:space="preserve">SRP creation is fully streaming: source data (BCF, VCF, or BREF3</w:t>
      </w:r>
      <w:r>
        <w:rPr>
          <w:vertAlign w:val="superscript"/>
        </w:rPr>
        <w:t xml:space="preserve">5</w:t>
      </w:r>
      <w:r>
        <w:t xml:space="preserve">) is processed chunk-by-chunk, with each source chunk decompressed once and scattered to tile columns in parallel. Completed stripes are flushed to disk immediately, keeping peak memory below 500 MB for any panel size. The parallel BCF reader uses CSI index</w:t>
      </w:r>
      <w:r>
        <w:rPr>
          <w:vertAlign w:val="superscript"/>
        </w:rPr>
        <w:t xml:space="preserve">25</w:t>
      </w:r>
      <w:r>
        <w:t xml:space="preserve"> </w:t>
      </w:r>
      <w: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t xml:space="preserve"> </w:t>
      </w:r>
      <w:r>
        <w:rPr>
          <w:rStyle w:val="VerbatimChar"/>
        </w:rPr>
        <w:t xml:space="preserve">unbref3</w:t>
      </w:r>
      <w:r>
        <w:t xml:space="preserve"> </w:t>
      </w:r>
      <w:r>
        <w:t xml:space="preserve">and the per-stage intermediate files it requires; the decode is lossless, reproducing the panel genotypes byte-for-byte on an SRP round-trip (Results).</w:t>
      </w:r>
    </w:p>
    <w:p>
      <w:pPr>
        <w:pStyle w:val="BodyText"/>
      </w:pPr>
      <w: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bookmarkEnd w:id="21"/>
    <w:bookmarkStart w:id="22" w:name="multi-chromosome-processing"/>
    <w:p>
      <w:pPr>
        <w:pStyle w:val="Heading3"/>
      </w:pPr>
      <w:r>
        <w:rPr>
          <w:b/>
          <w:bCs/>
        </w:rPr>
        <w:t xml:space="preserve">Multi-chromosome processing</w:t>
      </w:r>
    </w:p>
    <w:p>
      <w:pPr>
        <w:pStyle w:val="FirstParagraph"/>
      </w:pPr>
      <w: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pPr>
      <w: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pPr>
      <w:r>
        <w:t xml:space="preserve">Output is written to a single VCF/BCF file across all chromosomes, with per-chromosome BGZF blocks concatenated natively (preserving block alignment for tabix/CSI indexing).</w:t>
      </w:r>
    </w:p>
    <w:bookmarkEnd w:id="22"/>
    <w:bookmarkStart w:id="23" w:name="ld-correction"/>
    <w:p>
      <w:pPr>
        <w:pStyle w:val="Heading3"/>
      </w:pPr>
      <w:r>
        <w:rPr>
          <w:b/>
          <w:bCs/>
        </w:rPr>
        <w:t xml:space="preserve">LD correction</w:t>
      </w:r>
    </w:p>
    <w:p>
      <w:pPr>
        <w:pStyle w:val="FirstParagraph"/>
      </w:pPr>
      <w:r>
        <w:t xml:space="preserve">Genetic map distances used in the HMM transition probabilities are corrected for local linkage disequilibrium (LD) patterns</w:t>
      </w:r>
      <w:r>
        <w:rPr>
          <w:vertAlign w:val="superscript"/>
        </w:rPr>
        <w:t xml:space="preserve">26</w:t>
      </w:r>
      <w: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bookmarkEnd w:id="23"/>
    <w:bookmarkStart w:id="24" w:name="reference-panels-and-relatedness"/>
    <w:p>
      <w:pPr>
        <w:pStyle w:val="Heading3"/>
      </w:pPr>
      <w:r>
        <w:rPr>
          <w:b/>
          <w:bCs/>
        </w:rPr>
        <w:t xml:space="preserve">Reference panels and relatedness</w:t>
      </w:r>
    </w:p>
    <w:p>
      <w:pPr>
        <w:pStyle w:val="FirstParagraph"/>
      </w:pPr>
      <w:r>
        <w:t xml:space="preserve">Six reference panels are used. The</w:t>
      </w:r>
      <w:r>
        <w:t xml:space="preserve"> </w:t>
      </w:r>
      <w:r>
        <w:rPr>
          <w:b/>
          <w:bCs/>
        </w:rPr>
        <w:t xml:space="preserve">1000 Genomes Phase 3</w:t>
      </w:r>
      <w:r>
        <w:t xml:space="preserve"> </w:t>
      </w:r>
      <w:r>
        <w:t xml:space="preserve">panel (2,401 samples, 4,802 haplotypes) is used with its published phasing; the 801 evaluation targets are a disjoint held-out subset. The</w:t>
      </w:r>
      <w:r>
        <w:t xml:space="preserve"> </w:t>
      </w:r>
      <w:r>
        <w:rPr>
          <w:b/>
          <w:bCs/>
        </w:rPr>
        <w:t xml:space="preserve">no-trios</w:t>
      </w:r>
      <w:r>
        <w:t xml:space="preserve"> </w:t>
      </w:r>
      <w:r>
        <w:t xml:space="preserve">panel (2,239 samples, 4,478 haplotypes), used for the phasing benchmark and the downsampled low-coverage benchmark (Table 2), is the 1000 Genomes cohort with all declared trio offspring and parents removed. The</w:t>
      </w:r>
      <w:r>
        <w:t xml:space="preserve"> </w:t>
      </w:r>
      <w:r>
        <w:rPr>
          <w:b/>
          <w:bCs/>
        </w:rPr>
        <w:t xml:space="preserve">out-of-panel</w:t>
      </w:r>
      <w:r>
        <w:t xml:space="preserve"> </w:t>
      </w:r>
      <w:r>
        <w:t xml:space="preserve">benchmark uses the 3,166 1000 Genomes samples of the gnomAD Human Genome Diversity Project and 1000 Genomes harmonized callset (6,332 haplotypes) as the panel and the 925 HGDP individuals as targets; the same panel serves the coverage sweep (Table 2b). The</w:t>
      </w:r>
      <w:r>
        <w:t xml:space="preserve"> </w:t>
      </w:r>
      <w:r>
        <w:rPr>
          <w:b/>
          <w:bCs/>
        </w:rPr>
        <w:t xml:space="preserve">75,552-haplotype</w:t>
      </w:r>
      <w:r>
        <w:t xml:space="preserve"> </w:t>
      </w:r>
      <w:r>
        <w:t xml:space="preserve">panel (37,776 samples) combines 34,582 UK Biobank whole-genome sequences, ancestry-balanced by down-sampling the majority European-ancestry set, with the full 1000 Genomes cohort (3,194 samples), phased with SHAPEIT5</w:t>
      </w:r>
      <w:r>
        <w:rPr>
          <w:vertAlign w:val="superscript"/>
        </w:rPr>
        <w:t xml:space="preserve">9</w:t>
      </w:r>
      <w:r>
        <w:t xml:space="preserve">; its ancestry composition is approximately 49% European, 22% South Asian, 19% African, 10% East Asian and 1% admixed-American. The</w:t>
      </w:r>
      <w:r>
        <w:t xml:space="preserve"> </w:t>
      </w:r>
      <w:r>
        <w:rPr>
          <w:b/>
          <w:bCs/>
        </w:rPr>
        <w:t xml:space="preserve">TOPMed Freeze 8</w:t>
      </w:r>
      <w:r>
        <w:t xml:space="preserve"> </w:t>
      </w:r>
      <w:r>
        <w:t xml:space="preserve">panel (171,054 haplotypes, 85,527 samples) is a TOPMed Freeze 8 reference panel from which the MESA study samples were removed, so the 5,000 MESA evaluation targets are held out from it. The</w:t>
      </w:r>
      <w:r>
        <w:t xml:space="preserve"> </w:t>
      </w:r>
      <w:r>
        <w:rPr>
          <w:b/>
          <w:bCs/>
        </w:rPr>
        <w:t xml:space="preserve">NA12878-trio-removed 1000 Genomes</w:t>
      </w:r>
      <w:r>
        <w:t xml:space="preserve"> </w:t>
      </w:r>
      <w:r>
        <w:t xml:space="preserve">panel (2,398 samples, 4,796 haplotypes) is the NYGC 30</w:t>
      </w:r>
      <m:oMath>
        <m:r>
          <m:rPr>
            <m:sty m:val="p"/>
          </m:rPr>
          <m:t>×</m:t>
        </m:r>
      </m:oMath>
      <w:r>
        <w:t xml:space="preserve"> </w:t>
      </w:r>
      <w:r>
        <w:t xml:space="preserve">GRCh38 call set of the 2,401 samples not among the 801 array targets, with alleles longer than 255 bp removed (1,070,399 chromosome-22 sites: 929,834 SNPs and 140,565 indels, 54,406 of them monomorphic in the retained samples) and NA12878, NA12891 and NA12892 removed; it serves the capture-library benchmark (Tables 1-1d). None of HG002-HG007 is present in any panel. A seventh capture library (NA12878) was sequenced on the same design but is not reported: a possible relative (NA12872) remains in the panel and the version of its truth set is unrecorded. For chromosomes 20, 10 and 1 the panel was additionally restricted, for both tools, to sites polymorphic in the retained samples with alleles ≤ 250 bp (chromosome 20: 1,564,145 sites, 1,357,434 SNPs and 206,711 indels); on chromosome 22 only GLIMPSE2 received the polymorphic-site restriction (1,015,993 sites) that its BAM input path requires (Limitations).</w:t>
      </w:r>
    </w:p>
    <w:p>
      <w:pPr>
        <w:pStyle w:val="BodyText"/>
      </w:pPr>
      <w: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t xml:space="preserve"> </w:t>
      </w:r>
      <w:r>
        <w:rPr>
          <w:i/>
          <w:iCs/>
        </w:rPr>
        <w:t xml:space="preserve">evaluation targets</w:t>
      </w:r>
      <w: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bookmarkEnd w:id="24"/>
    <w:bookmarkStart w:id="25" w:name="Xb89cf25ae68878ae3bd6e7d57b51847af9ce43e"/>
    <w:p>
      <w:pPr>
        <w:pStyle w:val="Heading3"/>
      </w:pPr>
      <w:r>
        <w:rPr>
          <w:b/>
          <w:bCs/>
        </w:rPr>
        <w:t xml:space="preserve">Consumer-array benchmark: data preparation and evaluation</w:t>
      </w:r>
    </w:p>
    <w:p>
      <w:pPr>
        <w:pStyle w:val="FirstParagraph"/>
      </w:pPr>
      <w:r>
        <w:t xml:space="preserve">For the consumer-array benchmark (Results,</w:t>
      </w:r>
      <w:r>
        <w:t xml:space="preserve"> </w:t>
      </w:r>
      <w:r>
        <w:rPr>
          <w:i/>
          <w:iCs/>
        </w:rPr>
        <w:t xml:space="preserve">Imputation accuracy on consumer arrays against high-coverage WGS truth</w:t>
      </w:r>
      <w:r>
        <w:t xml:space="preserve">; Table 5),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t xml:space="preserve">). All six were confirmed absent from the reference panel before any analysis.</w:t>
      </w:r>
    </w:p>
    <w:p>
      <w:pPr>
        <w:pStyle w:val="BodyText"/>
      </w:pPr>
      <w:r>
        <w:rPr>
          <w:i/>
          <w:iCs/>
        </w:rPr>
        <w:t xml:space="preserve">Truth construction.</w:t>
      </w:r>
      <w:r>
        <w:t xml:space="preserve"> </w:t>
      </w:r>
      <w:r>
        <w:t xml:space="preserve">DRAGEN hard-filtered WGS calls were normalized and decomposed with</w:t>
      </w:r>
      <w:r>
        <w:t xml:space="preserve"> </w:t>
      </w:r>
      <w:r>
        <w:rPr>
          <w:rStyle w:val="VerbatimChar"/>
        </w:rPr>
        <w:t xml:space="preserve">bcftools norm -m-any</w:t>
      </w:r>
      <w:r>
        <w:t xml:space="preserve"> </w:t>
      </w:r>
      <w:r>
        <w:t xml:space="preserve">against the GRCh38 reference, then restricted to high-confidence genotypes by requiring</w:t>
      </w:r>
      <w:r>
        <w:t xml:space="preserve"> </w:t>
      </w:r>
      <w:r>
        <w:rPr>
          <w:rStyle w:val="VerbatimChar"/>
        </w:rPr>
        <w:t xml:space="preserve">FILTER=PASS</w:t>
      </w:r>
      <w:r>
        <w:t xml:space="preserve">, genotype quality</w:t>
      </w:r>
      <w:r>
        <w:t xml:space="preserve"> </w:t>
      </w:r>
      <w:r>
        <w:rPr>
          <w:rStyle w:val="VerbatimChar"/>
        </w:rPr>
        <w:t xml:space="preserve">GQ ≥ 20</w:t>
      </w:r>
      <w:r>
        <w:t xml:space="preserve">, and read depth</w:t>
      </w:r>
      <w:r>
        <w:t xml:space="preserve"> </w:t>
      </w:r>
      <w:r>
        <w:rPr>
          <w:rStyle w:val="VerbatimChar"/>
        </w:rPr>
        <w:t xml:space="preserve">DP ≥ 10</w:t>
      </w:r>
      <w:r>
        <w:t xml:space="preserve">. This removed roughly 13% of raw calls on average across the six samples (9% to 14% per sample; e.g. 4.98M to 4.34M for one sample);</w:t>
      </w:r>
      <w:r>
        <w:t xml:space="preserve"> </w:t>
      </w:r>
      <w:r>
        <w:rPr>
          <w:rStyle w:val="VerbatimChar"/>
        </w:rPr>
        <w:t xml:space="preserve">FILTER=PASS</w:t>
      </w:r>
      <w:r>
        <w:t xml:space="preserve"> </w:t>
      </w:r>
      <w:r>
        <w:t xml:space="preserve">alone retained many low-confidence calls (genotypes supported by</w:t>
      </w:r>
      <w:r>
        <w:t xml:space="preserve"> </w:t>
      </w:r>
      <w:r>
        <w:rPr>
          <w:rStyle w:val="VerbatimChar"/>
        </w:rPr>
        <w:t xml:space="preserve">GQ</w:t>
      </w:r>
      <w:r>
        <w:t xml:space="preserve"> </w:t>
      </w:r>
      <w:r>
        <w:t xml:space="preserve">as low as 5) and was insufficient. Both SNPs and indels were retained and evaluated separately. The high-confidence set defines the truth genotype at every site it contains.</w:t>
      </w:r>
    </w:p>
    <w:p>
      <w:pPr>
        <w:pStyle w:val="BodyText"/>
      </w:pPr>
      <w:r>
        <w:rPr>
          <w:i/>
          <w:iCs/>
        </w:rPr>
        <w:t xml:space="preserve">Array input.</w:t>
      </w:r>
      <w:r>
        <w:t xml:space="preserve"> </w:t>
      </w:r>
      <w: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pPr>
      <w:r>
        <w:rPr>
          <w:i/>
          <w:iCs/>
        </w:rPr>
        <w:t xml:space="preserve">Imputation.</w:t>
      </w:r>
      <w:r>
        <w:t xml:space="preserve"> </w:t>
      </w:r>
      <w:r>
        <w:t xml:space="preserve">The array cohort was imputed against the 75,552-haplotype reference panel with each tool given the same per-chromosome genetic map. For the</w:t>
      </w:r>
      <w:r>
        <w:t xml:space="preserve"> </w:t>
      </w:r>
      <w:r>
        <w:t xml:space="preserve">“Beagle-phased”</w:t>
      </w:r>
      <w:r>
        <w:t xml:space="preserve"> </w:t>
      </w:r>
      <w:r>
        <w:t xml:space="preserve">rows, both Selphi 2 and Selphi 1.5.3 were given Beagle’s phase-only output as their phased input, isolating the imputation step from phasing quality; the</w:t>
      </w:r>
      <w:r>
        <w:t xml:space="preserve"> </w:t>
      </w:r>
      <w:r>
        <w:t xml:space="preserve">“haploid”</w:t>
      </w:r>
      <w:r>
        <w:t xml:space="preserve">/</w:t>
      </w:r>
      <w:r>
        <w:t xml:space="preserve">“diploid”</w:t>
      </w:r>
      <w:r>
        <w:t xml:space="preserve"> </w:t>
      </w:r>
      <w:r>
        <w:t xml:space="preserve">rows use Selphi 2’s internal phasing engines. Beagle 5.5 (build 03 Oct 2025) was run as a full phase-plus-impute pipeline against the same panel in</w:t>
      </w:r>
      <w:r>
        <w:t xml:space="preserve"> </w:t>
      </w:r>
      <w:r>
        <w:rPr>
          <w:rStyle w:val="VerbatimChar"/>
        </w:rPr>
        <w:t xml:space="preserve">bref3</w:t>
      </w:r>
      <w:r>
        <w:t xml:space="preserve"> </w:t>
      </w:r>
      <w:r>
        <w:t xml:space="preserve">form.</w:t>
      </w:r>
    </w:p>
    <w:p>
      <w:pPr>
        <w:pStyle w:val="BodyText"/>
      </w:pPr>
      <w:r>
        <w:rPr>
          <w:i/>
          <w:iCs/>
        </w:rPr>
        <w:t xml:space="preserve">Evaluation.</w:t>
      </w:r>
      <w:r>
        <w:t xml:space="preserve"> </w:t>
      </w:r>
      <w:r>
        <w:t xml:space="preserve">For each sample, variant class (SNP, indel), and chromosome we computed</w:t>
      </w:r>
      <w:r>
        <w:t xml:space="preserve"> </w:t>
      </w:r>
      <m:oMath>
        <m:sSup>
          <m:e>
            <m:r>
              <m:t>R</m:t>
            </m:r>
          </m:e>
          <m:sup>
            <m:r>
              <m:t>2</m:t>
            </m:r>
          </m:sup>
        </m:sSup>
      </m:oMath>
      <w:r>
        <w:t xml:space="preserve"> </w:t>
      </w:r>
      <w: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t xml:space="preserve"> </w:t>
      </w:r>
      <m:oMath>
        <m:sSup>
          <m:e>
            <m:r>
              <m:t>R</m:t>
            </m:r>
          </m:e>
          <m:sup>
            <m:r>
              <m:t>2</m:t>
            </m:r>
          </m:sup>
        </m:sSup>
      </m:oMath>
      <w:r>
        <w:t xml:space="preserve">, a 95% confidence interval obtained from 20,000 paired bootstrap resamples of the six per-sample differences, and a two-sided exact Wilcoxon signed-rank test; with n = 6 paired samples the smallest attainable two-sided p value is 0.031.</w:t>
      </w:r>
    </w:p>
    <w:bookmarkEnd w:id="25"/>
    <w:bookmarkStart w:id="26" w:name="Xa5f5f858e84e2ea9a54af716240de0f20cf5b8d"/>
    <w:p>
      <w:pPr>
        <w:pStyle w:val="Heading3"/>
      </w:pPr>
      <w:r>
        <w:rPr>
          <w:b/>
          <w:bCs/>
        </w:rPr>
        <w:t xml:space="preserve">Capture-plus-low-pass GIAB benchmark: data, processing and evaluation</w:t>
      </w:r>
    </w:p>
    <w:p>
      <w:pPr>
        <w:pStyle w:val="FirstParagraph"/>
      </w:pPr>
      <w:r>
        <w:rPr>
          <w:i/>
          <w:iCs/>
        </w:rPr>
        <w:t xml:space="preserve">Libraries.</w:t>
      </w:r>
      <w:r>
        <w:t xml:space="preserve"> </w:t>
      </w:r>
      <w:r>
        <w:t xml:space="preserve">Six GIAB reference samples (HG002-HG007; HG002 = NA24385, HG003 = NA24149, HG004 = NA24143, HG005 = NA24631, HG006 = NA24694, HG007 = NA24695) were sequenced by Gene by Gene, Ltd. (Houston, TX, USA) on an MGI DNBSEQ instrument (2</w:t>
      </w:r>
      <w:r>
        <w:t xml:space="preserve"> </w:t>
      </w:r>
      <m:oMath>
        <m:r>
          <m:rPr>
            <m:sty m:val="p"/>
          </m:rPr>
          <m:t>×</m:t>
        </m:r>
      </m:oMath>
      <w:r>
        <w:t xml:space="preserve"> </w:t>
      </w:r>
      <w:r>
        <w:t xml:space="preserve">150 bp; adapters pre-trimmed; 27-46 M read pairs per sample) from a hybridization-capture library whose baits target the 613,711 autosomal biallelic Global Screening Array (GSA) SNP sites. Reads were aligned with bwa-mem 0.7.19-r1273 (</w:t>
      </w:r>
      <w:r>
        <w:rPr>
          <w:rStyle w:val="VerbatimChar"/>
        </w:rPr>
        <w:t xml:space="preserve">-K 100000000 -Y</w:t>
      </w:r>
      <w:r>
        <w:t xml:space="preserve">) to GRCh38_full_analysis_set_plus_decoy_hla and processed with samtools 1.22</w:t>
      </w:r>
      <w:r>
        <w:t xml:space="preserve"> </w:t>
      </w:r>
      <w:r>
        <w:rPr>
          <w:rStyle w:val="VerbatimChar"/>
        </w:rPr>
        <w:t xml:space="preserve">fixmate</w:t>
      </w:r>
      <w:r>
        <w:t xml:space="preserve">,</w:t>
      </w:r>
      <w:r>
        <w:t xml:space="preserve"> </w:t>
      </w:r>
      <w:r>
        <w:rPr>
          <w:rStyle w:val="VerbatimChar"/>
        </w:rPr>
        <w:t xml:space="preserve">sort</w:t>
      </w:r>
      <w:r>
        <w:t xml:space="preserve"> </w:t>
      </w:r>
      <w:r>
        <w:t xml:space="preserve">and</w:t>
      </w:r>
      <w:r>
        <w:t xml:space="preserve"> </w:t>
      </w:r>
      <w:r>
        <w:rPr>
          <w:rStyle w:val="VerbatimChar"/>
        </w:rPr>
        <w:t xml:space="preserve">markdup</w:t>
      </w:r>
      <w:r>
        <w:t xml:space="preserve"> </w:t>
      </w:r>
      <w:r>
        <w:t xml:space="preserve">(duplicates marked, not removed; 4.8% in HG002); coverage was profiled with mosdepth 0.3.10. Between 71% and 73% of reads fall within ±150 bp of an array site; on-target depth is 28.1-52.1</w:t>
      </w:r>
      <m:oMath>
        <m:r>
          <m:rPr>
            <m:sty m:val="p"/>
          </m:rPr>
          <m:t>×</m:t>
        </m:r>
      </m:oMath>
      <w:r>
        <w:t xml:space="preserve">, the off-target background 1.6-2.7</w:t>
      </w:r>
      <m:oMath>
        <m:r>
          <m:rPr>
            <m:sty m:val="p"/>
          </m:rPr>
          <m:t>×</m:t>
        </m:r>
      </m:oMath>
      <w:r>
        <w:t xml:space="preserve">, and the autosome-wide mean 2.68-4.71</w:t>
      </w:r>
      <m:oMath>
        <m:r>
          <m:rPr>
            <m:sty m:val="p"/>
          </m:rPr>
          <m:t>×</m:t>
        </m:r>
      </m:oMath>
      <w:r>
        <w:t xml:space="preserve"> </w:t>
      </w:r>
      <w:r>
        <w:t xml:space="preserve">including on-target reads (chromosome 22: 2.38-4.17</w:t>
      </w:r>
      <m:oMath>
        <m:r>
          <m:rPr>
            <m:sty m:val="p"/>
          </m:rPr>
          <m:t>×</m:t>
        </m:r>
      </m:oMath>
      <w:r>
        <w:t xml:space="preserve">); 43-45% of sequenced bases fall in GSA ±100 bp windows that cover 4.08% of the autosomes. On chromosome 22, 506,862-572,999 of the 929,834 panel SNP sites (54.5-61.6%) carry no read at MAPQ ≥ 20 and base quality ≥ 20. The typed-site list is the 613,711 autosomal biallelic ACGT GSA SNPs (9,144 on chromosome 22).</w:t>
      </w:r>
    </w:p>
    <w:p>
      <w:pPr>
        <w:pStyle w:val="BodyText"/>
      </w:pPr>
      <w:r>
        <w:rPr>
          <w:i/>
          <w:iCs/>
        </w:rPr>
        <w:t xml:space="preserve">Array-equivalent route.</w:t>
      </w:r>
      <w:r>
        <w:t xml:space="preserve"> </w:t>
      </w:r>
      <w:r>
        <w:t xml:space="preserve">Genotypes were called only at the GSA sites with bcftools 1.22 (</w:t>
      </w:r>
      <w:r>
        <w:rPr>
          <w:rStyle w:val="VerbatimChar"/>
        </w:rPr>
        <w:t xml:space="preserve">mpileup -a AD,DP -q 20 -Q 20 -d 500</w:t>
      </w:r>
      <w:r>
        <w:t xml:space="preserve"> </w:t>
      </w:r>
      <w:r>
        <w:t xml:space="preserve">restricted to the GSA sites, piped to</w:t>
      </w:r>
      <w:r>
        <w:t xml:space="preserve"> </w:t>
      </w:r>
      <w:r>
        <w:rPr>
          <w:rStyle w:val="VerbatimChar"/>
        </w:rPr>
        <w:t xml:space="preserve">call -m -A -C alleles</w:t>
      </w:r>
      <w:r>
        <w:t xml:space="preserve">); no-calls were dropped (8,672-8,721 called chromosome-22 sites per sample) and the genotype VCF was imputed with</w:t>
      </w:r>
      <w:r>
        <w:t xml:space="preserve"> </w:t>
      </w:r>
      <w:r>
        <w:rPr>
          <w:rStyle w:val="VerbatimChar"/>
        </w:rPr>
        <w:t xml:space="preserve">selphi</w:t>
      </w:r>
      <w:r>
        <w:t xml:space="preserve"> </w:t>
      </w:r>
      <w:r>
        <w:t xml:space="preserve">at its defaults, which auto-route it to the array (genotype) engine.</w:t>
      </w:r>
    </w:p>
    <w:p>
      <w:pPr>
        <w:pStyle w:val="BodyText"/>
      </w:pPr>
      <w:r>
        <w:rPr>
          <w:i/>
          <w:iCs/>
        </w:rPr>
        <w:t xml:space="preserve">Likelihood routes.</w:t>
      </w:r>
      <w:r>
        <w:t xml:space="preserve"> </w:t>
      </w:r>
      <w:r>
        <w:t xml:space="preserve">For the likelihood-file arm, bcftools 1.22</w:t>
      </w:r>
      <w:r>
        <w:t xml:space="preserve"> </w:t>
      </w:r>
      <w:r>
        <w:rPr>
          <w:rStyle w:val="VerbatimChar"/>
        </w:rPr>
        <w:t xml:space="preserve">mpileup -I -E -a DP -q 20 -Q 20</w:t>
      </w:r>
      <w:r>
        <w:t xml:space="preserve"> </w:t>
      </w:r>
      <w:r>
        <w:t xml:space="preserve">was restricted to the panel SNP sites and piped to</w:t>
      </w:r>
      <w:r>
        <w:t xml:space="preserve"> </w:t>
      </w:r>
      <w:r>
        <w:rPr>
          <w:rStyle w:val="VerbatimChar"/>
        </w:rPr>
        <w:t xml:space="preserve">call -Aim -C alleles</w:t>
      </w:r>
      <w:r>
        <w:t xml:space="preserve"> </w:t>
      </w:r>
      <w:r>
        <w:t xml:space="preserve">with a SNP-only alleles file (929,834 rows on chromosome 22); the</w:t>
      </w:r>
      <w:r>
        <w:t xml:space="preserve"> </w:t>
      </w:r>
      <w:r>
        <w:rPr>
          <w:rStyle w:val="VerbatimChar"/>
        </w:rPr>
        <w:t xml:space="preserve">PL</w:t>
      </w:r>
      <w:r>
        <w:t xml:space="preserve"> </w:t>
      </w:r>
      <w:r>
        <w:t xml:space="preserve">VCF was imputed with</w:t>
      </w:r>
      <w:r>
        <w:t xml:space="preserve"> </w:t>
      </w:r>
      <w:r>
        <w:rPr>
          <w:rStyle w:val="VerbatimChar"/>
        </w:rPr>
        <w:t xml:space="preserve">selphi --lcwgs --input</w:t>
      </w:r>
      <w:r>
        <w:t xml:space="preserve">. For the native arm the BAM was imputed directly with</w:t>
      </w:r>
      <w:r>
        <w:t xml:space="preserve"> </w:t>
      </w:r>
      <w:r>
        <w:rPr>
          <w:rStyle w:val="VerbatimChar"/>
        </w:rPr>
        <w:t xml:space="preserve">selphi --lcwgs --bam</w:t>
      </w:r>
      <w:r>
        <w:t xml:space="preserve"> </w:t>
      </w:r>
      <w:r>
        <w:t xml:space="preserve">(MAPQ ≥ 20, base quality ≥ 20, BAQ as above). Both arms used the unfiltered 1,070,399-site chromosome-22 panel.</w:t>
      </w:r>
    </w:p>
    <w:p>
      <w:pPr>
        <w:pStyle w:val="BodyText"/>
      </w:pPr>
      <w:r>
        <w:rPr>
          <w:i/>
          <w:iCs/>
        </w:rPr>
        <w:t xml:space="preserve">GLIMPSE2.</w:t>
      </w:r>
      <w:r>
        <w:t xml:space="preserve"> </w:t>
      </w:r>
      <w:r>
        <w:t xml:space="preserve">GLIMPSE2 v2.0.0 (commit 2cee597, 6 May 2026) was run from the BAM (</w:t>
      </w:r>
      <w:r>
        <w:rPr>
          <w:rStyle w:val="VerbatimChar"/>
        </w:rPr>
        <w:t xml:space="preserve">GLIMPSE2_phase --bam-file</w:t>
      </w:r>
      <w:r>
        <w:t xml:space="preserve">) at its defaults (5 burn-in and 15 main iterations,</w:t>
      </w:r>
      <w:r>
        <w:t xml:space="preserve"> </w:t>
      </w:r>
      <m:oMath>
        <m:sSub>
          <m:e>
            <m:r>
              <m:t>N</m:t>
            </m:r>
          </m:e>
          <m:sub>
            <m:r>
              <m:t>e</m:t>
            </m:r>
          </m:sub>
        </m:sSub>
      </m:oMath>
      <w:r>
        <w:t xml:space="preserve"> </w:t>
      </w:r>
      <w:r>
        <w:t xml:space="preserve">= 100,000, Kinit = 1,000, Kpbwt = 2,000, MAPQ ≥ 10, base quality ≥ 10, maximum depth 40) over 16 chromosome-22 chunks run sequentially with</w:t>
      </w:r>
      <w:r>
        <w:t xml:space="preserve"> </w:t>
      </w:r>
      <w:r>
        <w:rPr>
          <w:rStyle w:val="VerbatimChar"/>
        </w:rPr>
        <w:t xml:space="preserve">--threads 16</w:t>
      </w:r>
      <w:r>
        <w:t xml:space="preserve">, followed by</w:t>
      </w:r>
      <w:r>
        <w:t xml:space="preserve"> </w:t>
      </w:r>
      <w:r>
        <w:rPr>
          <w:rStyle w:val="VerbatimChar"/>
        </w:rPr>
        <w:t xml:space="preserve">GLIMPSE2_ligate</w:t>
      </w:r>
      <w:r>
        <w:t xml:space="preserve">. Its</w:t>
      </w:r>
      <w:r>
        <w:t xml:space="preserve"> </w:t>
      </w:r>
      <w:r>
        <w:rPr>
          <w:rStyle w:val="VerbatimChar"/>
        </w:rPr>
        <w:t xml:space="preserve">--bam-file</w:t>
      </w:r>
      <w:r>
        <w:t xml:space="preserve"> </w:t>
      </w:r>
      <w:r>
        <w:t xml:space="preserve">path aborts on panel sites that are monomorphic in the panel (Limitations), so it was given the panel restricted to its 1,015,993 polymorphic sites; on chromosomes 20, 10 and 1 both tools used the polymorphic-only panel (Reference panels and relatedness).</w:t>
      </w:r>
    </w:p>
    <w:p>
      <w:pPr>
        <w:pStyle w:val="BodyText"/>
      </w:pPr>
      <w:r>
        <w:rPr>
          <w:i/>
          <w:iCs/>
        </w:rPr>
        <w:t xml:space="preserve">Truth.</w:t>
      </w:r>
      <w:r>
        <w:t xml:space="preserve"> </w:t>
      </w:r>
      <w:r>
        <w:t xml:space="preserve">The GIAB v4.2.1 benchmark VCF and high-confidence BED of each sample (chromosome 22: the per-sample BEDs; chromosomes 20, 10 and 1: the</w:t>
      </w:r>
      <w:r>
        <w:t xml:space="preserve"> </w:t>
      </w:r>
      <w:r>
        <w:rPr>
          <w:rStyle w:val="VerbatimChar"/>
        </w:rPr>
        <w:t xml:space="preserve">*_noinconsistent.bed</w:t>
      </w:r>
      <w:r>
        <w:t xml:space="preserve"> </w:t>
      </w:r>
      <w:r>
        <w:t xml:space="preserve">files for HG002-HG004 and the</w:t>
      </w:r>
      <w:r>
        <w:t xml:space="preserve"> </w:t>
      </w:r>
      <w:r>
        <w:rPr>
          <w:rStyle w:val="VerbatimChar"/>
        </w:rPr>
        <w:t xml:space="preserve">*_benchmark.bed</w:t>
      </w:r>
      <w:r>
        <w:t xml:space="preserve"> </w:t>
      </w:r>
      <w:r>
        <w:t xml:space="preserve">files for HG005-HG007).</w:t>
      </w:r>
    </w:p>
    <w:p>
      <w:pPr>
        <w:pStyle w:val="BodyText"/>
      </w:pPr>
      <w:r>
        <w:rPr>
          <w:i/>
          <w:iCs/>
        </w:rPr>
        <w:t xml:space="preserve">Scoring.</w:t>
      </w:r>
      <w:r>
        <w:t xml:space="preserve"> </w:t>
      </w:r>
      <w:r>
        <w:t xml:space="preserve">Candidate sites are the SNPs emitted by GLIMPSE2 (head-to-head, Tables 1b-1d) or by Selphi 2 (Table 1); typed GSA sites are removed first (9,018 on chromosome 22 in the head-to-head lists); a site is kept if it lies inside the high-confidence BED; a site inside the BED with no truth record is homozygous reference; sites with a multi-allelic truth or call, or with a non-reference truth allele that does not match the panel alleles, are skipped (59-75 sites per sample); no-calls are removed from the denominators. Overall concordance is the fraction of evaluated sites whose called genotype matches the truth exactly. Non-reference concordance is the fraction of truth heterozygous or homozygous-alternate genotypes recovered exactly, a recall of carriers that does not penalise false non-reference calls (those appear in heterozygote precision and in overall concordance). Heterozygote recall is the number of correctly called heterozygotes divided by the number of truth heterozygotes, and heterozygote precision the same numerator divided by the number of called heterozygotes. Between 94.4% and 94.8% of evaluated sites are homozygous reference in truth, so overall concordance is the analogue of the monomorphic-dominated per-sample</w:t>
      </w:r>
      <w:r>
        <w:t xml:space="preserve"> </w:t>
      </w:r>
      <m:oMath>
        <m:sSup>
          <m:e>
            <m:r>
              <m:t>R</m:t>
            </m:r>
          </m:e>
          <m:sup>
            <m:r>
              <m:t>2</m:t>
            </m:r>
          </m:sup>
        </m:sSup>
      </m:oMath>
      <w:r>
        <w:t xml:space="preserve"> </w:t>
      </w:r>
      <w:r>
        <w:t xml:space="preserve">of the downsampled benchmark, and per-MAF strata are reported alongside every aggregate. MAF is</w:t>
      </w:r>
      <w: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t xml:space="preserve"> </w:t>
      </w:r>
      <w:r>
        <w:t xml:space="preserve">from</w:t>
      </w:r>
      <w:r>
        <w:t xml:space="preserve"> </w:t>
      </w:r>
      <w:r>
        <w:rPr>
          <w:rStyle w:val="VerbatimChar"/>
        </w:rPr>
        <w:t xml:space="preserve">bcftools +fill-tags</w:t>
      </w:r>
      <w:r>
        <w:t xml:space="preserve"> </w:t>
      </w:r>
      <w:r>
        <w:t xml:space="preserve">on the 2,398-sample panel, in three strata: below 0.5%, 0.5-5% and 5% or more.</w:t>
      </w:r>
    </w:p>
    <w:p>
      <w:pPr>
        <w:pStyle w:val="BodyText"/>
      </w:pPr>
      <w:r>
        <w:rPr>
          <w:i/>
          <w:iCs/>
        </w:rPr>
        <w:t xml:space="preserve">Statistics.</w:t>
      </w:r>
      <w:r>
        <w:t xml:space="preserve"> </w:t>
      </w:r>
      <w:r>
        <w:t xml:space="preserve">As for the consumer-array benchmark: mean paired difference in percentage points (pp), 95% CI from 20,000 paired bootstrap resamples of the six per-sample differences (numpy</w:t>
      </w:r>
      <w:r>
        <w:t xml:space="preserve"> </w:t>
      </w:r>
      <w:r>
        <w:rPr>
          <w:rStyle w:val="VerbatimChar"/>
        </w:rPr>
        <w:t xml:space="preserve">default_rng</w:t>
      </w:r>
      <w:r>
        <w:t xml:space="preserve">, seed 1) and a two-sided exact Wilcoxon signed-rank test (minimum attainable p = 0.031 at n = 6); where only the paired t statistic is reported (Table 1d) it is the mean difference divided by its standard error over the six samples.</w:t>
      </w:r>
    </w:p>
    <w:p>
      <w:pPr>
        <w:pStyle w:val="BodyText"/>
      </w:pPr>
      <w:r>
        <w:rPr>
          <w:i/>
          <w:iCs/>
        </w:rPr>
        <w:t xml:space="preserve">Timing.</w:t>
      </w:r>
      <w:r>
        <w:t xml:space="preserve"> </w:t>
      </w:r>
      <w:r>
        <w:t xml:space="preserve">Wall time and peak resident memory were measured with</w:t>
      </w:r>
      <w:r>
        <w:t xml:space="preserve"> </w:t>
      </w:r>
      <w:r>
        <w:rPr>
          <w:rStyle w:val="VerbatimChar"/>
        </w:rPr>
        <w:t xml:space="preserve">/usr/bin/time -v</w:t>
      </w:r>
      <w:r>
        <w:t xml:space="preserve"> </w:t>
      </w:r>
      <w:r>
        <w:t xml:space="preserve">on an otherwise idle 16-core host, one job at a time, from the BAM to the imputed VCF for both tools; GLIMPSE2’s time is the sum of its chunk, phase and ligate steps.</w:t>
      </w:r>
    </w:p>
    <w:p>
      <w:pPr>
        <w:pStyle w:val="BodyText"/>
      </w:pPr>
      <w:r>
        <w:rPr>
          <w:i/>
          <w:iCs/>
        </w:rPr>
        <w:t xml:space="preserve">Determinism.</w:t>
      </w:r>
      <w:r>
        <w:t xml:space="preserve"> </w:t>
      </w:r>
      <w:r>
        <w:t xml:space="preserve">Re-running the six chromosome-22 samples with a later build reproduces every concordance statistic to four decimals.</w:t>
      </w:r>
    </w:p>
    <w:bookmarkEnd w:id="26"/>
    <w:bookmarkStart w:id="27" w:name="comparator-tools-and-versions"/>
    <w:p>
      <w:pPr>
        <w:pStyle w:val="Heading3"/>
      </w:pPr>
      <w:r>
        <w:rPr>
          <w:b/>
          <w:bCs/>
        </w:rPr>
        <w:t xml:space="preserve">Comparator tools and versions</w:t>
      </w:r>
    </w:p>
    <w:p>
      <w:pPr>
        <w:pStyle w:val="FirstParagraph"/>
      </w:pPr>
      <w: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t xml:space="preserve"> </w:t>
      </w:r>
      <w:r>
        <w:rPr>
          <w:rStyle w:val="VerbatimChar"/>
        </w:rPr>
        <w:t xml:space="preserve">bref3</w:t>
      </w:r>
      <w:r>
        <w:t xml:space="preserve"> </w:t>
      </w:r>
      <w:r>
        <w:t xml:space="preserve">form. IMPUTE5 v1.1.5 was run after converting the panel with</w:t>
      </w:r>
      <w:r>
        <w:t xml:space="preserve"> </w:t>
      </w:r>
      <w:r>
        <w:rPr>
          <w:rStyle w:val="VerbatimChar"/>
        </w:rPr>
        <w:t xml:space="preserve">imp5Convert</w:t>
      </w:r>
      <w:r>
        <w:t xml:space="preserve">, and Minimac4 v4.1.6 after converting the panel to</w:t>
      </w:r>
      <w:r>
        <w:t xml:space="preserve"> </w:t>
      </w:r>
      <w:r>
        <w:rPr>
          <w:rStyle w:val="VerbatimChar"/>
        </w:rPr>
        <w:t xml:space="preserve">msav</w:t>
      </w:r>
      <w:r>
        <w:t xml:space="preserve"> </w:t>
      </w:r>
      <w:r>
        <w:t xml:space="preserve">(the current Minimac4 panel format; the deprecated</w:t>
      </w:r>
      <w:r>
        <w:t xml:space="preserve"> </w:t>
      </w:r>
      <w:r>
        <w:rPr>
          <w:rStyle w:val="VerbatimChar"/>
        </w:rPr>
        <w:t xml:space="preserve">m3vcf</w:t>
      </w:r>
      <w:r>
        <w:t xml:space="preserve"> </w:t>
      </w:r>
      <w:r>
        <w:t xml:space="preserve">was not used). Phasing was compared against SHAPEIT5 v5.1.1 (</w:t>
      </w:r>
      <w:r>
        <w:rPr>
          <w:rStyle w:val="VerbatimChar"/>
        </w:rPr>
        <w:t xml:space="preserve">phase_common</w:t>
      </w:r>
      <w:r>
        <w:t xml:space="preserve"> </w:t>
      </w:r>
      <w:r>
        <w:t xml:space="preserve">followed by</w:t>
      </w:r>
      <w:r>
        <w:t xml:space="preserve"> </w:t>
      </w:r>
      <w:r>
        <w:rPr>
          <w:rStyle w:val="VerbatimChar"/>
        </w:rPr>
        <w:t xml:space="preserve">phase_rare</w:t>
      </w:r>
      <w:r>
        <w:t xml:space="preserve">). Low-coverage imputation was compared against GLIMPSE2 v2.0.0 (commit 2cee597; native</w:t>
      </w:r>
      <w:r>
        <w:t xml:space="preserve"> </w:t>
      </w:r>
      <w:r>
        <w:rPr>
          <w:rStyle w:val="VerbatimChar"/>
        </w:rPr>
        <w:t xml:space="preserve">chunk</w:t>
      </w:r>
      <w:r>
        <w:t xml:space="preserve">/</w:t>
      </w:r>
      <w:r>
        <w:rPr>
          <w:rStyle w:val="VerbatimChar"/>
        </w:rPr>
        <w:t xml:space="preserve">phase</w:t>
      </w:r>
      <w:r>
        <w:t xml:space="preserve">/</w:t>
      </w:r>
      <w:r>
        <w:rPr>
          <w:rStyle w:val="VerbatimChar"/>
        </w:rPr>
        <w:t xml:space="preserve">ligate</w:t>
      </w:r>
      <w:r>
        <w:t xml:space="preserve">) and QUILT2 v2.0.4. In the downsampled benchmarks (Tables 2, 2b) every tool derived genotype likelihoods from the same BAM files with its own in-process pileup. On the capture libraries (Tables 1b-1d) GLIMPSE2 read the BAM directly and Selphi 2 was run both with its native pileup (like-for-like) and from bcftools likelihoods; QUILT2 was not run on the capture libraries. The original Selphi 1.5.3 was run from its published Docker image with the published</w:t>
      </w:r>
      <w:r>
        <w:t xml:space="preserve"> </w:t>
      </w:r>
      <w:r>
        <w:rPr>
          <w:rStyle w:val="VerbatimChar"/>
        </w:rPr>
        <w:t xml:space="preserve">--chunk_size 10000</w:t>
      </w:r>
      <w:r>
        <w:t xml:space="preserve"> </w:t>
      </w:r>
      <w:r>
        <w:t xml:space="preserve">configuration. We verified that these defaults do not disadvantage the comparators: on the 1000 Genomes chromosome-22 benchmark, varying Beagle 5.5’s window from 20 to 80 cM changed its overall</w:t>
      </w:r>
      <w:r>
        <w:t xml:space="preserve"> </w:t>
      </w:r>
      <m:oMath>
        <m:sSup>
          <m:e>
            <m:r>
              <m:t>R</m:t>
            </m:r>
          </m:e>
          <m:sup>
            <m:r>
              <m:t>2</m:t>
            </m:r>
          </m:sup>
        </m:sSup>
      </m:oMath>
      <w:r>
        <w:t xml:space="preserve"> </w:t>
      </w:r>
      <w:r>
        <w:t xml:space="preserve">by less than 0.0001, consistent with the near-insensitivity to window size reported by its authors; IMPUTE5’s and Minimac4’s default conditioning-state and blocking parameters are likewise the settings their authors recommend for large reference panels.</w:t>
      </w:r>
    </w:p>
    <w:bookmarkEnd w:id="27"/>
    <w:bookmarkEnd w:id="28"/>
    <w:bookmarkEnd w:id="29"/>
    <w:bookmarkStart w:id="51" w:name="results"/>
    <w:p>
      <w:pPr>
        <w:pStyle w:val="Heading1"/>
      </w:pPr>
      <w:r>
        <w:rPr>
          <w:b/>
          <w:bCs/>
        </w:rPr>
        <w:t xml:space="preserve">Results</w:t>
      </w:r>
    </w:p>
    <w:p>
      <w:pPr>
        <w:pStyle w:val="FirstParagraph"/>
      </w:pPr>
      <w:r>
        <w:t xml:space="preserve">Two low-coverage datasets are used and are deliberately not merged: real capture-plus-low-pass libraries of six GIAB samples, scored by genotype concordance against a 2,398-sample leak-free panel (Tables 1-1d), and 30</w:t>
      </w:r>
      <m:oMath>
        <m:r>
          <m:rPr>
            <m:sty m:val="p"/>
          </m:rPr>
          <m:t>×</m:t>
        </m:r>
      </m:oMath>
      <w:r>
        <w:t xml:space="preserve"> </w:t>
      </w:r>
      <w:r>
        <w:t xml:space="preserve">GIAB genomes uniformly downsampled to 0.5-4</w:t>
      </w:r>
      <m:oMath>
        <m:r>
          <m:rPr>
            <m:sty m:val="p"/>
          </m:rPr>
          <m:t>×</m:t>
        </m:r>
      </m:oMath>
      <w:r>
        <w:t xml:space="preserve">, scored by dosage</w:t>
      </w:r>
      <w:r>
        <w:t xml:space="preserve"> </w:t>
      </w:r>
      <m:oMath>
        <m:sSup>
          <m:e>
            <m:r>
              <m:t>R</m:t>
            </m:r>
          </m:e>
          <m:sup>
            <m:r>
              <m:t>2</m:t>
            </m:r>
          </m:sup>
        </m:sSup>
      </m:oMath>
      <w:r>
        <w:t xml:space="preserve"> </w:t>
      </w:r>
      <w:r>
        <w:t xml:space="preserve">(Tables 2, 2b); the two use different panels and different site lists, and their statistics are not interchangeable. Genotyping-array imputation is then evaluated against Beagle 5.5 and the original Selphi 1.5.3 on three reference panels spanning two orders of magnitude in size: the 1000 Genomes Phase 3 panel</w:t>
      </w:r>
      <w:r>
        <w:rPr>
          <w:vertAlign w:val="superscript"/>
        </w:rPr>
        <w:t xml:space="preserve">13</w:t>
      </w:r>
      <w:r>
        <w:t xml:space="preserve"> </w:t>
      </w:r>
      <w:r>
        <w:t xml:space="preserve">(4,802 haplotypes), the TOPMed Freeze 8 panel</w:t>
      </w:r>
      <w:r>
        <w:rPr>
          <w:vertAlign w:val="superscript"/>
        </w:rPr>
        <w:t xml:space="preserve">14</w:t>
      </w:r>
      <w:r>
        <w:t xml:space="preserve"> </w:t>
      </w:r>
      <w: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t xml:space="preserve"> </w:t>
      </w:r>
      <m:oMath>
        <m:sSup>
          <m:e>
            <m:r>
              <m:t>R</m:t>
            </m:r>
          </m:e>
          <m:sup>
            <m:r>
              <m:t>2</m:t>
            </m:r>
          </m:sup>
        </m:sSup>
      </m:oMath>
      <w:r>
        <w:t xml:space="preserve"> </w:t>
      </w:r>
      <w:r>
        <w:t xml:space="preserve">is computed against held-out whole-genome-sequenced truth, stratified by minor allele frequency (MAF) in the reference panel. All benchmarks were run on the same machine with 16 threads.</w:t>
      </w:r>
    </w:p>
    <w:bookmarkStart w:id="30" w:name="X718eb32e15a244f5ba5c9d34b51236fccd74772"/>
    <w:p>
      <w:pPr>
        <w:pStyle w:val="Heading2"/>
      </w:pPr>
      <w:r>
        <w:rPr>
          <w:b/>
          <w:bCs/>
        </w:rPr>
        <w:t xml:space="preserve">Genotype-likelihood imputation of capture-plus-low-pass libraries: a regime change over array-equivalent processing</w:t>
      </w:r>
    </w:p>
    <w:p>
      <w:pPr>
        <w:pStyle w:val="FirstParagraph"/>
      </w:pPr>
      <w:r>
        <w:t xml:space="preserve">Six GIAB reference samples (HG002-HG007, the Ashkenazi and Han Chinese trios; HG002 = NA24385, HG003 = NA24149, HG004 = NA24143, HG005 = NA24631, HG006 = NA24694, HG007 = NA24695) were sequenced by Gene by Gene on an MGI DNBSEQ instrument (2</w:t>
      </w:r>
      <w:r>
        <w:t xml:space="preserve"> </w:t>
      </w:r>
      <m:oMath>
        <m:r>
          <m:rPr>
            <m:sty m:val="p"/>
          </m:rPr>
          <m:t>×</m:t>
        </m:r>
      </m:oMath>
      <w:r>
        <w:t xml:space="preserve"> </w:t>
      </w:r>
      <w:r>
        <w:t xml:space="preserve">150 bp) from a hybridization-capture library over the 613,711 autosomal biallelic Global Screening Array (GSA) SNP sites (Methods). The libraries pair deep typed sites with a thin background: 71-73% of reads fall within ±150 bp of an array site, on-target depth is 28.1-52.1</w:t>
      </w:r>
      <m:oMath>
        <m:r>
          <m:rPr>
            <m:sty m:val="p"/>
          </m:rPr>
          <m:t>×</m:t>
        </m:r>
      </m:oMath>
      <w:r>
        <w:t xml:space="preserve">, the off-target background 1.6-2.7</w:t>
      </w:r>
      <m:oMath>
        <m:r>
          <m:rPr>
            <m:sty m:val="p"/>
          </m:rPr>
          <m:t>×</m:t>
        </m:r>
      </m:oMath>
      <w:r>
        <w:t xml:space="preserve"> </w:t>
      </w:r>
      <w:r>
        <w:t xml:space="preserve">and the autosome-wide mean 2.68-4.71</w:t>
      </w:r>
      <m:oMath>
        <m:r>
          <m:rPr>
            <m:sty m:val="p"/>
          </m:rPr>
          <m:t>×</m:t>
        </m:r>
      </m:oMath>
      <w:r>
        <w:t xml:space="preserve"> </w:t>
      </w:r>
      <w:r>
        <w:t xml:space="preserve">including on-target reads (chromosome 22: 2.38-4.17</w:t>
      </w:r>
      <m:oMath>
        <m:r>
          <m:rPr>
            <m:sty m:val="p"/>
          </m:rPr>
          <m:t>×</m:t>
        </m:r>
      </m:oMath>
      <w:r>
        <w:t xml:space="preserve">); 43-45% of bases fall in GSA ±100 bp windows covering 4.08% of the autosomes, and on chromosome 22, 506,862-572,999 of the 929,834 panel SNP sites (54.5-61.6%) carry no read at MAPQ ≥ 20 and base quality ≥ 20. These are real libraries, not downsampled genomes, and their depth is strongly heterogeneous; we treat them as a test of genotype-likelihood imputation under mixed depth, the regime of array-plus-low-pass products. The reference panel is the 2,398-sample (4,796-haplotype) NYGC 1000 Genomes 30</w:t>
      </w:r>
      <m:oMath>
        <m:r>
          <m:rPr>
            <m:sty m:val="p"/>
          </m:rPr>
          <m:t>×</m:t>
        </m:r>
      </m:oMath>
      <w:r>
        <w:t xml:space="preserve"> </w:t>
      </w:r>
      <w:r>
        <w:t xml:space="preserve">GRCh38 call set with the NA12878 trio removed (Methods); none of HG002-HG007 is a 1000 Genomes sample. The 9,144 typed GSA sites on chromosome 22 are excluded from every untyped-site statistic.</w:t>
      </w:r>
    </w:p>
    <w:p>
      <w:pPr>
        <w:pStyle w:val="BodyText"/>
      </w:pPr>
      <w:r>
        <w:t xml:space="preserve">We processed each library by two routes through the same binary against the same panel. The array-equivalent route calls genotypes only at the array sites (8,672-8,721 called chromosome-22 sites per sample after dropping no-calls; concordance with the GIAB truth at the typed sites 99.57-99.72%, mean 99.66%, at a call rate of 95.6-96.2% over 8,042-8,320 evaluable typed sites) and imputes them through the standard phase-and-impute path, exactly as a genotyping array would be processed. The likelihood route (</w:t>
      </w:r>
      <w:r>
        <w:rPr>
          <w:rStyle w:val="VerbatimChar"/>
        </w:rPr>
        <w:t xml:space="preserve">--lcwgs</w:t>
      </w:r>
      <w:r>
        <w:t xml:space="preserve">) imputes from bcftools genotype likelihoods at all 929,834 panel SNP sites. Both are scored on Selphi 2’s own emitted site list (700,109-723,251 evaluated untyped sites per sample) against the GIAB v4.2.1 high-confidence truth.</w:t>
      </w:r>
    </w:p>
    <w:p>
      <w:pPr>
        <w:pStyle w:val="BodyText"/>
      </w:pPr>
      <w:r>
        <w:t xml:space="preserve">The difference is a regime change, not an increment (Table 1; Figure 2a,b). Non-reference concordance at untyped sites rises from 72.78% to 97.88% (per sample 68.27-75.38% to 97.32-98.17%; mean +25.09 pp, 95% CI +23.23 to +27.18; six of six samples, p = 0.031), heterozygote recall from 57.95% to 97.12% (+39.17 pp, CI +36.61 to +41.86), heterozygote precision from 92.75% to 97.40% (+4.64 pp, CI +4.00 to +5.30) and overall concordance from 98.50% to 99.83% (+1.33 pp). The gain holds in every panel-MAF stratum: non-reference concordance 74.19% to 98.58% at MAF ≥ 5%, 65.67% to 95.42% at 0.5-5% and 54.65% to 86.76% below 0.5%, with heterozygote recall 60.34% to 98.27%, 44.00% to 93.03% and 30.85% to 79.87% in the same strata. The gap is the information the array route discards (the off-target backbone and deep flanking coverage), not a tuning difference between two imputers. Absolute values of the array route are specific to this 4,796-haplotype panel.</w:t>
      </w:r>
    </w:p>
    <w:p>
      <w:pPr>
        <w:pStyle w:val="BodyText"/>
      </w:pPr>
      <w:r>
        <w:rPr>
          <w:b/>
          <w:bCs/>
        </w:rPr>
        <w:t xml:space="preserve">Table 1. Genotype-likelihood imputation versus array-equivalent processing of the same capture libraries (chromosome 22).</w:t>
      </w:r>
      <w:r>
        <w:t xml:space="preserve"> </w:t>
      </w:r>
      <w: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t xml:space="preserve"> </w:t>
      </w:r>
      <w:r>
        <w:rPr>
          <w:rStyle w:val="VerbatimChar"/>
        </w:rPr>
        <w:t xml:space="preserve">--lcwgs</w:t>
      </w:r>
      <w:r>
        <w:t xml:space="preserve"> </w:t>
      </w:r>
      <w: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Sample</w:t>
            </w:r>
          </w:p>
        </w:tc>
        <w:tc>
          <w:tcPr/>
          <w:p>
            <w:pPr>
              <w:pStyle w:val="Compact"/>
            </w:pPr>
            <w:r>
              <w:t xml:space="preserve">Untyped sites evaluated</w:t>
            </w:r>
          </w:p>
        </w:tc>
        <w:tc>
          <w:tcPr/>
          <w:p>
            <w:pPr>
              <w:pStyle w:val="Compact"/>
            </w:pPr>
            <w:r>
              <w:t xml:space="preserve">Non-ref concordance %, array route</w:t>
            </w:r>
          </w:p>
        </w:tc>
        <w:tc>
          <w:tcPr/>
          <w:p>
            <w:pPr>
              <w:pStyle w:val="Compact"/>
            </w:pPr>
            <w:r>
              <w:t xml:space="preserve">GL engine</w:t>
            </w:r>
          </w:p>
        </w:tc>
        <w:tc>
          <w:tcPr/>
          <w:p>
            <w:pPr>
              <w:pStyle w:val="Compact"/>
            </w:pPr>
            <w:r>
              <w:t xml:space="preserve">Δ pp</w:t>
            </w:r>
          </w:p>
        </w:tc>
        <w:tc>
          <w:tcPr/>
          <w:p>
            <w:pPr>
              <w:pStyle w:val="Compact"/>
            </w:pPr>
            <w:r>
              <w:t xml:space="preserve">Het recall %, array route</w:t>
            </w:r>
          </w:p>
        </w:tc>
        <w:tc>
          <w:tcPr/>
          <w:p>
            <w:pPr>
              <w:pStyle w:val="Compact"/>
            </w:pPr>
            <w:r>
              <w:t xml:space="preserve">GL engine</w:t>
            </w:r>
          </w:p>
        </w:tc>
        <w:tc>
          <w:tcPr/>
          <w:p>
            <w:pPr>
              <w:pStyle w:val="Compact"/>
            </w:pPr>
            <w:r>
              <w:t xml:space="preserve">Δ pp</w:t>
            </w:r>
          </w:p>
        </w:tc>
        <w:tc>
          <w:tcPr/>
          <w:p>
            <w:pPr>
              <w:pStyle w:val="Compact"/>
            </w:pPr>
            <w:r>
              <w:t xml:space="preserve">Het precision %, array route</w:t>
            </w:r>
          </w:p>
        </w:tc>
        <w:tc>
          <w:tcPr/>
          <w:p>
            <w:pPr>
              <w:pStyle w:val="Compact"/>
            </w:pPr>
            <w:r>
              <w:t xml:space="preserve">GL engine</w:t>
            </w:r>
          </w:p>
        </w:tc>
      </w:tr>
      <w:tr>
        <w:tc>
          <w:tcPr/>
          <w:p>
            <w:pPr>
              <w:pStyle w:val="Compact"/>
            </w:pPr>
            <w:r>
              <w:t xml:space="preserve">HG002</w:t>
            </w:r>
          </w:p>
        </w:tc>
        <w:tc>
          <w:tcPr/>
          <w:p>
            <w:pPr>
              <w:pStyle w:val="Compact"/>
            </w:pPr>
            <w:r>
              <w:t xml:space="preserve">723,251</w:t>
            </w:r>
          </w:p>
        </w:tc>
        <w:tc>
          <w:tcPr/>
          <w:p>
            <w:pPr>
              <w:pStyle w:val="Compact"/>
            </w:pPr>
            <w:r>
              <w:t xml:space="preserve">71.44</w:t>
            </w:r>
          </w:p>
        </w:tc>
        <w:tc>
          <w:tcPr/>
          <w:p>
            <w:pPr>
              <w:pStyle w:val="Compact"/>
            </w:pPr>
            <w:r>
              <w:rPr>
                <w:b/>
                <w:bCs/>
              </w:rPr>
              <w:t xml:space="preserve">98.17</w:t>
            </w:r>
          </w:p>
        </w:tc>
        <w:tc>
          <w:tcPr/>
          <w:p>
            <w:pPr>
              <w:pStyle w:val="Compact"/>
            </w:pPr>
            <w:r>
              <w:t xml:space="preserve">+26.73</w:t>
            </w:r>
          </w:p>
        </w:tc>
        <w:tc>
          <w:tcPr/>
          <w:p>
            <w:pPr>
              <w:pStyle w:val="Compact"/>
            </w:pPr>
            <w:r>
              <w:t xml:space="preserve">57.88</w:t>
            </w:r>
          </w:p>
        </w:tc>
        <w:tc>
          <w:tcPr/>
          <w:p>
            <w:pPr>
              <w:pStyle w:val="Compact"/>
            </w:pPr>
            <w:r>
              <w:rPr>
                <w:b/>
                <w:bCs/>
              </w:rPr>
              <w:t xml:space="preserve">97.51</w:t>
            </w:r>
          </w:p>
        </w:tc>
        <w:tc>
          <w:tcPr/>
          <w:p>
            <w:pPr>
              <w:pStyle w:val="Compact"/>
            </w:pPr>
            <w:r>
              <w:t xml:space="preserve">+39.63</w:t>
            </w:r>
          </w:p>
        </w:tc>
        <w:tc>
          <w:tcPr/>
          <w:p>
            <w:pPr>
              <w:pStyle w:val="Compact"/>
            </w:pPr>
            <w:r>
              <w:t xml:space="preserve">93.19</w:t>
            </w:r>
          </w:p>
        </w:tc>
        <w:tc>
          <w:tcPr/>
          <w:p>
            <w:pPr>
              <w:pStyle w:val="Compact"/>
            </w:pPr>
            <w:r>
              <w:rPr>
                <w:b/>
                <w:bCs/>
              </w:rPr>
              <w:t xml:space="preserve">97.75</w:t>
            </w:r>
          </w:p>
        </w:tc>
      </w:tr>
      <w:tr>
        <w:tc>
          <w:tcPr/>
          <w:p>
            <w:pPr>
              <w:pStyle w:val="Compact"/>
            </w:pPr>
            <w:r>
              <w:t xml:space="preserve">HG003</w:t>
            </w:r>
          </w:p>
        </w:tc>
        <w:tc>
          <w:tcPr/>
          <w:p>
            <w:pPr>
              <w:pStyle w:val="Compact"/>
            </w:pPr>
            <w:r>
              <w:t xml:space="preserve">713,863</w:t>
            </w:r>
          </w:p>
        </w:tc>
        <w:tc>
          <w:tcPr/>
          <w:p>
            <w:pPr>
              <w:pStyle w:val="Compact"/>
            </w:pPr>
            <w:r>
              <w:t xml:space="preserve">73.37</w:t>
            </w:r>
          </w:p>
        </w:tc>
        <w:tc>
          <w:tcPr/>
          <w:p>
            <w:pPr>
              <w:pStyle w:val="Compact"/>
            </w:pPr>
            <w:r>
              <w:rPr>
                <w:b/>
                <w:bCs/>
              </w:rPr>
              <w:t xml:space="preserve">98.10</w:t>
            </w:r>
          </w:p>
        </w:tc>
        <w:tc>
          <w:tcPr/>
          <w:p>
            <w:pPr>
              <w:pStyle w:val="Compact"/>
            </w:pPr>
            <w:r>
              <w:t xml:space="preserve">+24.74</w:t>
            </w:r>
          </w:p>
        </w:tc>
        <w:tc>
          <w:tcPr/>
          <w:p>
            <w:pPr>
              <w:pStyle w:val="Compact"/>
            </w:pPr>
            <w:r>
              <w:t xml:space="preserve">61.63</w:t>
            </w:r>
          </w:p>
        </w:tc>
        <w:tc>
          <w:tcPr/>
          <w:p>
            <w:pPr>
              <w:pStyle w:val="Compact"/>
            </w:pPr>
            <w:r>
              <w:rPr>
                <w:b/>
                <w:bCs/>
              </w:rPr>
              <w:t xml:space="preserve">97.51</w:t>
            </w:r>
          </w:p>
        </w:tc>
        <w:tc>
          <w:tcPr/>
          <w:p>
            <w:pPr>
              <w:pStyle w:val="Compact"/>
            </w:pPr>
            <w:r>
              <w:t xml:space="preserve">+35.88</w:t>
            </w:r>
          </w:p>
        </w:tc>
        <w:tc>
          <w:tcPr/>
          <w:p>
            <w:pPr>
              <w:pStyle w:val="Compact"/>
            </w:pPr>
            <w:r>
              <w:t xml:space="preserve">93.07</w:t>
            </w:r>
          </w:p>
        </w:tc>
        <w:tc>
          <w:tcPr/>
          <w:p>
            <w:pPr>
              <w:pStyle w:val="Compact"/>
            </w:pPr>
            <w:r>
              <w:rPr>
                <w:b/>
                <w:bCs/>
              </w:rPr>
              <w:t xml:space="preserve">97.55</w:t>
            </w:r>
          </w:p>
        </w:tc>
      </w:tr>
      <w:tr>
        <w:tc>
          <w:tcPr/>
          <w:p>
            <w:pPr>
              <w:pStyle w:val="Compact"/>
            </w:pPr>
            <w:r>
              <w:t xml:space="preserve">HG004</w:t>
            </w:r>
          </w:p>
        </w:tc>
        <w:tc>
          <w:tcPr/>
          <w:p>
            <w:pPr>
              <w:pStyle w:val="Compact"/>
            </w:pPr>
            <w:r>
              <w:t xml:space="preserve">711,235</w:t>
            </w:r>
          </w:p>
        </w:tc>
        <w:tc>
          <w:tcPr/>
          <w:p>
            <w:pPr>
              <w:pStyle w:val="Compact"/>
            </w:pPr>
            <w:r>
              <w:t xml:space="preserve">68.27</w:t>
            </w:r>
          </w:p>
        </w:tc>
        <w:tc>
          <w:tcPr/>
          <w:p>
            <w:pPr>
              <w:pStyle w:val="Compact"/>
            </w:pPr>
            <w:r>
              <w:rPr>
                <w:b/>
                <w:bCs/>
              </w:rPr>
              <w:t xml:space="preserve">97.86</w:t>
            </w:r>
          </w:p>
        </w:tc>
        <w:tc>
          <w:tcPr/>
          <w:p>
            <w:pPr>
              <w:pStyle w:val="Compact"/>
            </w:pPr>
            <w:r>
              <w:t xml:space="preserve">+29.59</w:t>
            </w:r>
          </w:p>
        </w:tc>
        <w:tc>
          <w:tcPr/>
          <w:p>
            <w:pPr>
              <w:pStyle w:val="Compact"/>
            </w:pPr>
            <w:r>
              <w:t xml:space="preserve">52.59</w:t>
            </w:r>
          </w:p>
        </w:tc>
        <w:tc>
          <w:tcPr/>
          <w:p>
            <w:pPr>
              <w:pStyle w:val="Compact"/>
            </w:pPr>
            <w:r>
              <w:rPr>
                <w:b/>
                <w:bCs/>
              </w:rPr>
              <w:t xml:space="preserve">97.30</w:t>
            </w:r>
          </w:p>
        </w:tc>
        <w:tc>
          <w:tcPr/>
          <w:p>
            <w:pPr>
              <w:pStyle w:val="Compact"/>
            </w:pPr>
            <w:r>
              <w:t xml:space="preserve">+44.71</w:t>
            </w:r>
          </w:p>
        </w:tc>
        <w:tc>
          <w:tcPr/>
          <w:p>
            <w:pPr>
              <w:pStyle w:val="Compact"/>
            </w:pPr>
            <w:r>
              <w:t xml:space="preserve">92.78</w:t>
            </w:r>
          </w:p>
        </w:tc>
        <w:tc>
          <w:tcPr/>
          <w:p>
            <w:pPr>
              <w:pStyle w:val="Compact"/>
            </w:pPr>
            <w:r>
              <w:rPr>
                <w:b/>
                <w:bCs/>
              </w:rPr>
              <w:t xml:space="preserve">97.23</w:t>
            </w:r>
          </w:p>
        </w:tc>
      </w:tr>
      <w:tr>
        <w:tc>
          <w:tcPr/>
          <w:p>
            <w:pPr>
              <w:pStyle w:val="Compact"/>
            </w:pPr>
            <w:r>
              <w:t xml:space="preserve">HG005</w:t>
            </w:r>
          </w:p>
        </w:tc>
        <w:tc>
          <w:tcPr/>
          <w:p>
            <w:pPr>
              <w:pStyle w:val="Compact"/>
            </w:pPr>
            <w:r>
              <w:t xml:space="preserve">700,109</w:t>
            </w:r>
          </w:p>
        </w:tc>
        <w:tc>
          <w:tcPr/>
          <w:p>
            <w:pPr>
              <w:pStyle w:val="Compact"/>
            </w:pPr>
            <w:r>
              <w:t xml:space="preserve">73.37</w:t>
            </w:r>
          </w:p>
        </w:tc>
        <w:tc>
          <w:tcPr/>
          <w:p>
            <w:pPr>
              <w:pStyle w:val="Compact"/>
            </w:pPr>
            <w:r>
              <w:rPr>
                <w:b/>
                <w:bCs/>
              </w:rPr>
              <w:t xml:space="preserve">97.71</w:t>
            </w:r>
          </w:p>
        </w:tc>
        <w:tc>
          <w:tcPr/>
          <w:p>
            <w:pPr>
              <w:pStyle w:val="Compact"/>
            </w:pPr>
            <w:r>
              <w:t xml:space="preserve">+24.34</w:t>
            </w:r>
          </w:p>
        </w:tc>
        <w:tc>
          <w:tcPr/>
          <w:p>
            <w:pPr>
              <w:pStyle w:val="Compact"/>
            </w:pPr>
            <w:r>
              <w:t xml:space="preserve">58.09</w:t>
            </w:r>
          </w:p>
        </w:tc>
        <w:tc>
          <w:tcPr/>
          <w:p>
            <w:pPr>
              <w:pStyle w:val="Compact"/>
            </w:pPr>
            <w:r>
              <w:rPr>
                <w:b/>
                <w:bCs/>
              </w:rPr>
              <w:t xml:space="preserve">96.92</w:t>
            </w:r>
          </w:p>
        </w:tc>
        <w:tc>
          <w:tcPr/>
          <w:p>
            <w:pPr>
              <w:pStyle w:val="Compact"/>
            </w:pPr>
            <w:r>
              <w:t xml:space="preserve">+38.82</w:t>
            </w:r>
          </w:p>
        </w:tc>
        <w:tc>
          <w:tcPr/>
          <w:p>
            <w:pPr>
              <w:pStyle w:val="Compact"/>
            </w:pPr>
            <w:r>
              <w:t xml:space="preserve">91.77</w:t>
            </w:r>
          </w:p>
        </w:tc>
        <w:tc>
          <w:tcPr/>
          <w:p>
            <w:pPr>
              <w:pStyle w:val="Compact"/>
            </w:pPr>
            <w:r>
              <w:rPr>
                <w:b/>
                <w:bCs/>
              </w:rPr>
              <w:t xml:space="preserve">97.64</w:t>
            </w:r>
          </w:p>
        </w:tc>
      </w:tr>
      <w:tr>
        <w:tc>
          <w:tcPr/>
          <w:p>
            <w:pPr>
              <w:pStyle w:val="Compact"/>
            </w:pPr>
            <w:r>
              <w:t xml:space="preserve">HG006</w:t>
            </w:r>
          </w:p>
        </w:tc>
        <w:tc>
          <w:tcPr/>
          <w:p>
            <w:pPr>
              <w:pStyle w:val="Compact"/>
            </w:pPr>
            <w:r>
              <w:t xml:space="preserve">707,197</w:t>
            </w:r>
          </w:p>
        </w:tc>
        <w:tc>
          <w:tcPr/>
          <w:p>
            <w:pPr>
              <w:pStyle w:val="Compact"/>
            </w:pPr>
            <w:r>
              <w:t xml:space="preserve">74.86</w:t>
            </w:r>
          </w:p>
        </w:tc>
        <w:tc>
          <w:tcPr/>
          <w:p>
            <w:pPr>
              <w:pStyle w:val="Compact"/>
            </w:pPr>
            <w:r>
              <w:rPr>
                <w:b/>
                <w:bCs/>
              </w:rPr>
              <w:t xml:space="preserve">98.08</w:t>
            </w:r>
          </w:p>
        </w:tc>
        <w:tc>
          <w:tcPr/>
          <w:p>
            <w:pPr>
              <w:pStyle w:val="Compact"/>
            </w:pPr>
            <w:r>
              <w:t xml:space="preserve">+23.21</w:t>
            </w:r>
          </w:p>
        </w:tc>
        <w:tc>
          <w:tcPr/>
          <w:p>
            <w:pPr>
              <w:pStyle w:val="Compact"/>
            </w:pPr>
            <w:r>
              <w:t xml:space="preserve">55.86</w:t>
            </w:r>
          </w:p>
        </w:tc>
        <w:tc>
          <w:tcPr/>
          <w:p>
            <w:pPr>
              <w:pStyle w:val="Compact"/>
            </w:pPr>
            <w:r>
              <w:rPr>
                <w:b/>
                <w:bCs/>
              </w:rPr>
              <w:t xml:space="preserve">97.09</w:t>
            </w:r>
          </w:p>
        </w:tc>
        <w:tc>
          <w:tcPr/>
          <w:p>
            <w:pPr>
              <w:pStyle w:val="Compact"/>
            </w:pPr>
            <w:r>
              <w:t xml:space="preserve">+41.23</w:t>
            </w:r>
          </w:p>
        </w:tc>
        <w:tc>
          <w:tcPr/>
          <w:p>
            <w:pPr>
              <w:pStyle w:val="Compact"/>
            </w:pPr>
            <w:r>
              <w:t xml:space="preserve">91.98</w:t>
            </w:r>
          </w:p>
        </w:tc>
        <w:tc>
          <w:tcPr/>
          <w:p>
            <w:pPr>
              <w:pStyle w:val="Compact"/>
            </w:pPr>
            <w:r>
              <w:rPr>
                <w:b/>
                <w:bCs/>
              </w:rPr>
              <w:t xml:space="preserve">97.24</w:t>
            </w:r>
          </w:p>
        </w:tc>
      </w:tr>
      <w:tr>
        <w:tc>
          <w:tcPr/>
          <w:p>
            <w:pPr>
              <w:pStyle w:val="Compact"/>
            </w:pPr>
            <w:r>
              <w:t xml:space="preserve">HG007</w:t>
            </w:r>
          </w:p>
        </w:tc>
        <w:tc>
          <w:tcPr/>
          <w:p>
            <w:pPr>
              <w:pStyle w:val="Compact"/>
            </w:pPr>
            <w:r>
              <w:t xml:space="preserve">706,411</w:t>
            </w:r>
          </w:p>
        </w:tc>
        <w:tc>
          <w:tcPr/>
          <w:p>
            <w:pPr>
              <w:pStyle w:val="Compact"/>
            </w:pPr>
            <w:r>
              <w:t xml:space="preserve">75.38</w:t>
            </w:r>
          </w:p>
        </w:tc>
        <w:tc>
          <w:tcPr/>
          <w:p>
            <w:pPr>
              <w:pStyle w:val="Compact"/>
            </w:pPr>
            <w:r>
              <w:rPr>
                <w:b/>
                <w:bCs/>
              </w:rPr>
              <w:t xml:space="preserve">97.32</w:t>
            </w:r>
          </w:p>
        </w:tc>
        <w:tc>
          <w:tcPr/>
          <w:p>
            <w:pPr>
              <w:pStyle w:val="Compact"/>
            </w:pPr>
            <w:r>
              <w:t xml:space="preserve">+21.95</w:t>
            </w:r>
          </w:p>
        </w:tc>
        <w:tc>
          <w:tcPr/>
          <w:p>
            <w:pPr>
              <w:pStyle w:val="Compact"/>
            </w:pPr>
            <w:r>
              <w:t xml:space="preserve">61.65</w:t>
            </w:r>
          </w:p>
        </w:tc>
        <w:tc>
          <w:tcPr/>
          <w:p>
            <w:pPr>
              <w:pStyle w:val="Compact"/>
            </w:pPr>
            <w:r>
              <w:rPr>
                <w:b/>
                <w:bCs/>
              </w:rPr>
              <w:t xml:space="preserve">96.38</w:t>
            </w:r>
          </w:p>
        </w:tc>
        <w:tc>
          <w:tcPr/>
          <w:p>
            <w:pPr>
              <w:pStyle w:val="Compact"/>
            </w:pPr>
            <w:r>
              <w:t xml:space="preserve">+34.73</w:t>
            </w:r>
          </w:p>
        </w:tc>
        <w:tc>
          <w:tcPr/>
          <w:p>
            <w:pPr>
              <w:pStyle w:val="Compact"/>
            </w:pPr>
            <w:r>
              <w:t xml:space="preserve">93.74</w:t>
            </w:r>
          </w:p>
        </w:tc>
        <w:tc>
          <w:tcPr/>
          <w:p>
            <w:pPr>
              <w:pStyle w:val="Compact"/>
            </w:pPr>
            <w:r>
              <w:rPr>
                <w:b/>
                <w:bCs/>
              </w:rPr>
              <w:t xml:space="preserve">96.98</w:t>
            </w:r>
          </w:p>
        </w:tc>
      </w:tr>
      <w:tr>
        <w:tc>
          <w:tcPr/>
          <w:p>
            <w:pPr>
              <w:pStyle w:val="Compact"/>
            </w:pPr>
            <w:r>
              <w:t xml:space="preserve">Mean</w:t>
            </w:r>
          </w:p>
        </w:tc>
        <w:tc>
          <w:tcPr/>
          <w:p>
            <w:pPr>
              <w:pStyle w:val="Compact"/>
            </w:pPr>
          </w:p>
        </w:tc>
        <w:tc>
          <w:tcPr/>
          <w:p>
            <w:pPr>
              <w:pStyle w:val="Compact"/>
            </w:pPr>
            <w:r>
              <w:t xml:space="preserve">72.78</w:t>
            </w:r>
          </w:p>
        </w:tc>
        <w:tc>
          <w:tcPr/>
          <w:p>
            <w:pPr>
              <w:pStyle w:val="Compact"/>
            </w:pPr>
            <w:r>
              <w:rPr>
                <w:b/>
                <w:bCs/>
              </w:rPr>
              <w:t xml:space="preserve">97.88</w:t>
            </w:r>
          </w:p>
        </w:tc>
        <w:tc>
          <w:tcPr/>
          <w:p>
            <w:pPr>
              <w:pStyle w:val="Compact"/>
            </w:pPr>
            <w:r>
              <w:t xml:space="preserve">+25.09</w:t>
            </w:r>
          </w:p>
        </w:tc>
        <w:tc>
          <w:tcPr/>
          <w:p>
            <w:pPr>
              <w:pStyle w:val="Compact"/>
            </w:pPr>
            <w:r>
              <w:t xml:space="preserve">57.95</w:t>
            </w:r>
          </w:p>
        </w:tc>
        <w:tc>
          <w:tcPr/>
          <w:p>
            <w:pPr>
              <w:pStyle w:val="Compact"/>
            </w:pPr>
            <w:r>
              <w:rPr>
                <w:b/>
                <w:bCs/>
              </w:rPr>
              <w:t xml:space="preserve">97.12</w:t>
            </w:r>
          </w:p>
        </w:tc>
        <w:tc>
          <w:tcPr/>
          <w:p>
            <w:pPr>
              <w:pStyle w:val="Compact"/>
            </w:pPr>
            <w:r>
              <w:t xml:space="preserve">+39.17</w:t>
            </w:r>
          </w:p>
        </w:tc>
        <w:tc>
          <w:tcPr/>
          <w:p>
            <w:pPr>
              <w:pStyle w:val="Compact"/>
            </w:pPr>
            <w:r>
              <w:t xml:space="preserve">92.75</w:t>
            </w:r>
          </w:p>
        </w:tc>
        <w:tc>
          <w:tcPr/>
          <w:p>
            <w:pPr>
              <w:pStyle w:val="Compact"/>
            </w:pPr>
            <w:r>
              <w:rPr>
                <w:b/>
                <w:bCs/>
              </w:rPr>
              <w:t xml:space="preserve">97.40</w:t>
            </w:r>
          </w:p>
        </w:tc>
      </w:tr>
    </w:tbl>
    <w:bookmarkEnd w:id="30"/>
    <w:bookmarkStart w:id="34" w:name="Xbe5809b9d49a0c9e47905b0a06ef2ab05435360"/>
    <w:p>
      <w:pPr>
        <w:pStyle w:val="Heading2"/>
      </w:pPr>
      <w:r>
        <w:rPr>
          <w:b/>
          <w:bCs/>
        </w:rPr>
        <w:t xml:space="preserve">Head-to-head with GLIMPSE2 on the capture libraries</w:t>
      </w:r>
    </w:p>
    <w:p>
      <w:pPr>
        <w:pStyle w:val="FirstParagraph"/>
      </w:pPr>
      <w:r>
        <w:t xml:space="preserve">We then compared the likelihood engine with GLIMPSE2</w:t>
      </w:r>
      <w:r>
        <w:rPr>
          <w:vertAlign w:val="superscript"/>
        </w:rPr>
        <w:t xml:space="preserve">15</w:t>
      </w:r>
      <w:r>
        <w:t xml:space="preserve"> </w:t>
      </w:r>
      <w:r>
        <w:t xml:space="preserve">(v2.0.0) on the same six libraries, both tools imputing from the same BAM files against the same leak-free 2,398-sample panel and scored on identical per-sample site lists: GLIMPSE2’s emitted chromosome-22 SNPs inside the high-confidence regions, with 9,018 typed sites excluded (662,250-684,142 evaluated sites per sample; truth heterozygous/homozygous-alternate genotypes HG002 24,458/12,797, HG003 24,988/12,775, HG004 22,453/12,221, HG005 21,526/14,422, HG006 19,159/16,258, HG007 22,437/14,606). GLIMPSE2 read the BAM directly (</w:t>
      </w:r>
      <w:r>
        <w:rPr>
          <w:rStyle w:val="VerbatimChar"/>
        </w:rPr>
        <w:t xml:space="preserve">--bam-file</w:t>
      </w:r>
      <w:r>
        <w:t xml:space="preserve">, 16 chunks, ligated) against the panel restricted to its 1,015,993 polymorphic sites (Methods). Selphi 2 was run in two arms: (i) its native pileup (</w:t>
      </w:r>
      <w:r>
        <w:rPr>
          <w:rStyle w:val="VerbatimChar"/>
        </w:rPr>
        <w:t xml:space="preserve">--bam</w:t>
      </w:r>
      <w:r>
        <w:t xml:space="preserve">, MAPQ ≥ 20, base quality ≥ 20, base alignment quality applied), the like-for-like arm; and (ii) from bcftools-mpileup likelihoods. The like-for-like arm is the one we take as the engine’s result; the bcftools arm is reported because it is what a deployed pipeline would produce, and because agreement between the two shows that the native pileup reproduces the established likelihood computation.</w:t>
      </w:r>
    </w:p>
    <w:p>
      <w:pPr>
        <w:pStyle w:val="BodyText"/>
      </w:pPr>
      <w:r>
        <w:t xml:space="preserve">In the like-for-like arm Selphi 2 leads GLIMPSE2 in non-reference concordance in six of six samples (97.74% to 97.93%; mean +0.19 pp, 95% CI +0.10 to +0.31, p = 0.031; per sample +0.07 to +0.46 pp), in heterozygote recall in six of six (96.94% to 97.22%; +0.28 pp, CI +0.16 to +0.45, p = 0.031), in heterozygote precision in five of six (97.27% to 97.40%; +0.13 pp, CI +0.00 to +0.26, p = 0.16) and in overall concordance in five of six with one tie (99.81% to 99.82%; +0.01 pp, CI +0.01 to +0.02, p = 0.0625) (Table 1b; Figure 2c). The bcftools-likelihood arm gives the same picture: non-reference concordance +0.20 pp (97.94%; CI +0.11 to +0.32; six of six; p = 0.031), heterozygote recall +0.28 pp (97.22%; CI +0.16 to +0.46; six of six; p = 0.031), heterozygote precision +0.13 pp (CI -0.06 to +0.34; four of six; p = 0.31) and overall concordance +0.01 pp (CI +0.01 to +0.02; five of six; p = 0.0625). The two arms agree on every mean to within 0.01 pp. Base alignment quality is what brings the native pileup to this parity: in an ablation without BAQ, which reproduces the pileup before BAQ was implemented, the like-for-like arm gave +0.13 pp (five of six; CI +0.02 to +0.25; p = 0.094) against the bcftools arm’s +0.20 pp, and its margin in the rare stratum was +0.01 pp; with BAQ, which</w:t>
      </w:r>
      <w:r>
        <w:t xml:space="preserve"> </w:t>
      </w:r>
      <w:r>
        <w:rPr>
          <w:rStyle w:val="VerbatimChar"/>
        </w:rPr>
        <w:t xml:space="preserve">bcftools mpileup</w:t>
      </w:r>
      <w:r>
        <w:t xml:space="preserve"> </w:t>
      </w:r>
      <w:r>
        <w:t xml:space="preserve">applies by default and GLIMPSE2’s pileup does not (Methods), it gives +0.19 pp.</w:t>
      </w:r>
    </w:p>
    <w:p>
      <w:pPr>
        <w:pStyle w:val="BodyText"/>
      </w:pPr>
      <w:r>
        <w:t xml:space="preserve">By reference-panel MAF the like-for-like advantage is unanimous at common sites and not consistent per sample below 5% (Table 1c; Figure 2d). At MAF ≥ 5% (79,005-81,576 sites per sample) non-reference concordance is 98.39% for GLIMPSE2, 98.58% for the native arm and 98.58% for the bcftools arm (native +0.19 pp, CI +0.10 to +0.30, six of six, p = 0.031; bcftools +0.19 pp, CI +0.10 to +0.31, six of six, p = 0.031). At 0.5-5% (108,535-112,020 sites) the values are 95.15%, 95.33% and 95.42% (native +0.18 pp, CI -0.08 to +0.45, four of six, p = 0.44; bcftools +0.27 pp, CI -0.04 to +0.52, five of six, p = 0.16). Below 0.5% (474,710-490,546 sites, 71.7% of the evaluated sites) they are 87.71%, 87.97% and 87.99% (native +0.26 pp, CI -0.03 to +0.60, three of six, p = 0.31; bcftools +0.29 pp, CI -0.02 to +0.61, four of six, p = 0.22). Heterozygote recall follows the same pattern (98.00%, 98.28% and 98.27% at MAF ≥ 5%, native +0.27 pp, six of six, p = 0.031; 92.57%, 92.89% and 93.03% at 0.5-5%; 81.36%, 81.72% and 81.70% below 0.5%, native +0.37 pp, four of six). On chromosome 22, then, the advantage is unanimous at common sites, while below 5% the mean favours Selphi 2 in both arms but the intervals include zero and the per-sample ordering is not consistent; the larger chromosomes resolve this stratum (Replication across chromosomes, below). Per-sample</w:t>
      </w:r>
      <w:r>
        <w:t xml:space="preserve"> </w:t>
      </w:r>
      <m:oMath>
        <m:sSup>
          <m:e>
            <m:r>
              <m:t>R</m:t>
            </m:r>
          </m:e>
          <m:sup>
            <m:r>
              <m:t>2</m:t>
            </m:r>
          </m:sup>
        </m:sSup>
      </m:oMath>
      <w:r>
        <w:t xml:space="preserve"> </w:t>
      </w:r>
      <w:r>
        <w:t xml:space="preserve">on downsampled genomes (Table 2) and per-MAF concordance here therefore tell the same story at chromosome-22 scale: a consistent common-variant edge, and at the rarest frequencies a mean advantage that is not yet consistent per sample.</w:t>
      </w:r>
    </w:p>
    <w:p>
      <w:pPr>
        <w:pStyle w:val="BodyText"/>
      </w:pPr>
      <w:r>
        <w:t xml:space="preserve">The engine is also faster from the BAM. On an otherwise idle 16-core host, imputing one chromosome-22 sample end-to-end from the BAM takes 104 s for Selphi 2 (peak resident memory 5.0 GB) against 327 s for GLIMPSE2 (chunking, 16 phased chunks and ligation), 3.1</w:t>
      </w:r>
      <m:oMath>
        <m:r>
          <m:rPr>
            <m:sty m:val="p"/>
          </m:rPr>
          <m:t>×</m:t>
        </m:r>
      </m:oMath>
      <w:r>
        <w:t xml:space="preserve">. Because each sample is imputed independently, several can share one invocation: the six libraries in one run take 170 s (28 s per sample; 14.5 GB) against 389 s for GLIMPSE2 (65 s per sample; 8.7 GB for its largest chunk), 2.3</w:t>
      </w:r>
      <m:oMath>
        <m:r>
          <m:rPr>
            <m:sty m:val="p"/>
          </m:rPr>
          <m:t>×</m:t>
        </m:r>
      </m:oMath>
      <w:r>
        <w:t xml:space="preserve">, and twelve samples (the six libraries plus six relabelled duplicates, timing only) 313 s (26 s per sample; 16.5 GB) against 460 s (38 s per sample), 1.5</w:t>
      </w:r>
      <m:oMath>
        <m:r>
          <m:rPr>
            <m:sty m:val="p"/>
          </m:rPr>
          <m:t>×</m:t>
        </m:r>
      </m:oMath>
      <w:r>
        <w:t xml:space="preserve">. At GLIMPSE2’s own iteration count (20 Gibbs iterations, 5 burn-in and 15 main) the six-sample run takes 79 s (13 s per sample) with equal accuracy (mean non-reference gain over GLIMPSE2 +0.20 pp against +0.19 pp at the default iteration count); GLIMPSE2’s own accuracy in the six-sample run equals its single-sample accuracy (difference below 0.01 pp in non-reference concordance). The single-sample footprint is higher than in the downsampled benchmark (5.0 GB against ≈3.3 GB; Table 2) because this panel carries 1,070,399 sites including 140,565 indels, against the SNP-only 4,478-haplotype panel used there.</w:t>
      </w:r>
    </w:p>
    <w:p>
      <w:pPr>
        <w:pStyle w:val="BodyText"/>
      </w:pPr>
      <w:r>
        <w:rPr>
          <w:b/>
          <w:bCs/>
        </w:rPr>
        <w:t xml:space="preserve">Table 1b. Selphi 2 versus GLIMPSE2 on the capture libraries, chromosome 22, identical site lists.</w:t>
      </w:r>
      <w:r>
        <w:t xml:space="preserve"> </w:t>
      </w:r>
      <w: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w:t>
      </w:r>
      <w:r>
        <w:t xml:space="preserve"> </w:t>
      </w:r>
      <w:r>
        <w:t xml:space="preserve">“native”</w:t>
      </w:r>
      <w:r>
        <w:t xml:space="preserve">) or from bcftools-mpileup likelihoods (</w:t>
      </w:r>
      <w:r>
        <w:t xml:space="preserve">“bcftools”</w:t>
      </w:r>
      <w:r>
        <w:t xml:space="preserve">).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Selphi 2 native 104 s (peak 5.0 GB) against GLIMPSE2 327 s (Computational efficiency). QUILT2 was not run on these libraries.</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Sample</w:t>
            </w:r>
          </w:p>
        </w:tc>
        <w:tc>
          <w:tcPr/>
          <w:p>
            <w:pPr>
              <w:pStyle w:val="Compact"/>
            </w:pPr>
            <w:r>
              <w:t xml:space="preserve">Sites</w:t>
            </w:r>
          </w:p>
        </w:tc>
        <w:tc>
          <w:tcPr/>
          <w:p>
            <w:pPr>
              <w:pStyle w:val="Compact"/>
            </w:pPr>
            <w:r>
              <w:t xml:space="preserve">Non-ref %, G2</w:t>
            </w:r>
          </w:p>
        </w:tc>
        <w:tc>
          <w:tcPr/>
          <w:p>
            <w:pPr>
              <w:pStyle w:val="Compact"/>
            </w:pPr>
            <w:r>
              <w:t xml:space="preserve">native</w:t>
            </w:r>
          </w:p>
        </w:tc>
        <w:tc>
          <w:tcPr/>
          <w:p>
            <w:pPr>
              <w:pStyle w:val="Compact"/>
            </w:pPr>
            <w:r>
              <w:t xml:space="preserve">bcftools</w:t>
            </w:r>
          </w:p>
        </w:tc>
        <w:tc>
          <w:tcPr/>
          <w:p>
            <w:pPr>
              <w:pStyle w:val="Compact"/>
            </w:pPr>
            <w:r>
              <w:t xml:space="preserve">Het recall %, G2</w:t>
            </w:r>
          </w:p>
        </w:tc>
        <w:tc>
          <w:tcPr/>
          <w:p>
            <w:pPr>
              <w:pStyle w:val="Compact"/>
            </w:pPr>
            <w:r>
              <w:t xml:space="preserve">native</w:t>
            </w:r>
          </w:p>
        </w:tc>
        <w:tc>
          <w:tcPr/>
          <w:p>
            <w:pPr>
              <w:pStyle w:val="Compact"/>
            </w:pPr>
            <w:r>
              <w:t xml:space="preserve">bcftools</w:t>
            </w:r>
          </w:p>
        </w:tc>
        <w:tc>
          <w:tcPr/>
          <w:p>
            <w:pPr>
              <w:pStyle w:val="Compact"/>
            </w:pPr>
            <w:r>
              <w:t xml:space="preserve">Het precision %, G2</w:t>
            </w:r>
          </w:p>
        </w:tc>
        <w:tc>
          <w:tcPr/>
          <w:p>
            <w:pPr>
              <w:pStyle w:val="Compact"/>
            </w:pPr>
            <w:r>
              <w:t xml:space="preserve">native</w:t>
            </w:r>
          </w:p>
        </w:tc>
        <w:tc>
          <w:tcPr/>
          <w:p>
            <w:pPr>
              <w:pStyle w:val="Compact"/>
            </w:pPr>
            <w:r>
              <w:t xml:space="preserve">bcftools</w:t>
            </w:r>
          </w:p>
        </w:tc>
        <w:tc>
          <w:tcPr/>
          <w:p>
            <w:pPr>
              <w:pStyle w:val="Compact"/>
            </w:pPr>
            <w:r>
              <w:t xml:space="preserve">Overall %, G2</w:t>
            </w:r>
          </w:p>
        </w:tc>
        <w:tc>
          <w:tcPr/>
          <w:p>
            <w:pPr>
              <w:pStyle w:val="Compact"/>
            </w:pPr>
            <w:r>
              <w:t xml:space="preserve">native</w:t>
            </w:r>
          </w:p>
        </w:tc>
        <w:tc>
          <w:tcPr/>
          <w:p>
            <w:pPr>
              <w:pStyle w:val="Compact"/>
            </w:pPr>
            <w:r>
              <w:t xml:space="preserve">bcftools</w:t>
            </w:r>
          </w:p>
        </w:tc>
      </w:tr>
      <w:tr>
        <w:tc>
          <w:tcPr/>
          <w:p>
            <w:pPr>
              <w:pStyle w:val="Compact"/>
            </w:pPr>
            <w:r>
              <w:t xml:space="preserve">HG002</w:t>
            </w:r>
          </w:p>
        </w:tc>
        <w:tc>
          <w:tcPr/>
          <w:p>
            <w:pPr>
              <w:pStyle w:val="Compact"/>
            </w:pPr>
            <w:r>
              <w:t xml:space="preserve">684,142</w:t>
            </w:r>
          </w:p>
        </w:tc>
        <w:tc>
          <w:tcPr/>
          <w:p>
            <w:pPr>
              <w:pStyle w:val="Compact"/>
            </w:pPr>
            <w:r>
              <w:t xml:space="preserve">97.705</w:t>
            </w:r>
          </w:p>
        </w:tc>
        <w:tc>
          <w:tcPr/>
          <w:p>
            <w:pPr>
              <w:pStyle w:val="Compact"/>
            </w:pPr>
            <w:r>
              <w:t xml:space="preserve">98.169</w:t>
            </w:r>
          </w:p>
        </w:tc>
        <w:tc>
          <w:tcPr/>
          <w:p>
            <w:pPr>
              <w:pStyle w:val="Compact"/>
            </w:pPr>
            <w:r>
              <w:rPr>
                <w:b/>
                <w:bCs/>
              </w:rPr>
              <w:t xml:space="preserve">98.188</w:t>
            </w:r>
          </w:p>
        </w:tc>
        <w:tc>
          <w:tcPr/>
          <w:p>
            <w:pPr>
              <w:pStyle w:val="Compact"/>
            </w:pPr>
            <w:r>
              <w:t xml:space="preserve">96.844</w:t>
            </w:r>
          </w:p>
        </w:tc>
        <w:tc>
          <w:tcPr/>
          <w:p>
            <w:pPr>
              <w:pStyle w:val="Compact"/>
            </w:pPr>
            <w:r>
              <w:t xml:space="preserve">97.502</w:t>
            </w:r>
          </w:p>
        </w:tc>
        <w:tc>
          <w:tcPr/>
          <w:p>
            <w:pPr>
              <w:pStyle w:val="Compact"/>
            </w:pPr>
            <w:r>
              <w:rPr>
                <w:b/>
                <w:bCs/>
              </w:rPr>
              <w:t xml:space="preserve">97.543</w:t>
            </w:r>
          </w:p>
        </w:tc>
        <w:tc>
          <w:tcPr/>
          <w:p>
            <w:pPr>
              <w:pStyle w:val="Compact"/>
            </w:pPr>
            <w:r>
              <w:t xml:space="preserve">97.743</w:t>
            </w:r>
          </w:p>
        </w:tc>
        <w:tc>
          <w:tcPr/>
          <w:p>
            <w:pPr>
              <w:pStyle w:val="Compact"/>
            </w:pPr>
            <w:r>
              <w:rPr>
                <w:b/>
                <w:bCs/>
              </w:rPr>
              <w:t xml:space="preserve">97.866</w:t>
            </w:r>
          </w:p>
        </w:tc>
        <w:tc>
          <w:tcPr/>
          <w:p>
            <w:pPr>
              <w:pStyle w:val="Compact"/>
            </w:pPr>
            <w:r>
              <w:t xml:space="preserve">97.751</w:t>
            </w:r>
          </w:p>
        </w:tc>
        <w:tc>
          <w:tcPr/>
          <w:p>
            <w:pPr>
              <w:pStyle w:val="Compact"/>
            </w:pPr>
            <w:r>
              <w:t xml:space="preserve">99.806</w:t>
            </w:r>
          </w:p>
        </w:tc>
        <w:tc>
          <w:tcPr/>
          <w:p>
            <w:pPr>
              <w:pStyle w:val="Compact"/>
            </w:pPr>
            <w:r>
              <w:rPr>
                <w:b/>
                <w:bCs/>
              </w:rPr>
              <w:t xml:space="preserve">99.834</w:t>
            </w:r>
          </w:p>
        </w:tc>
        <w:tc>
          <w:tcPr/>
          <w:p>
            <w:pPr>
              <w:pStyle w:val="Compact"/>
            </w:pPr>
            <w:r>
              <w:t xml:space="preserve">99.831</w:t>
            </w:r>
          </w:p>
        </w:tc>
      </w:tr>
      <w:tr>
        <w:tc>
          <w:tcPr/>
          <w:p>
            <w:pPr>
              <w:pStyle w:val="Compact"/>
            </w:pPr>
            <w:r>
              <w:t xml:space="preserve">HG003</w:t>
            </w:r>
          </w:p>
        </w:tc>
        <w:tc>
          <w:tcPr/>
          <w:p>
            <w:pPr>
              <w:pStyle w:val="Compact"/>
            </w:pPr>
            <w:r>
              <w:t xml:space="preserve">675,214</w:t>
            </w:r>
          </w:p>
        </w:tc>
        <w:tc>
          <w:tcPr/>
          <w:p>
            <w:pPr>
              <w:pStyle w:val="Compact"/>
            </w:pPr>
            <w:r>
              <w:t xml:space="preserve">97.927</w:t>
            </w:r>
          </w:p>
        </w:tc>
        <w:tc>
          <w:tcPr/>
          <w:p>
            <w:pPr>
              <w:pStyle w:val="Compact"/>
            </w:pPr>
            <w:r>
              <w:t xml:space="preserve">98.123</w:t>
            </w:r>
          </w:p>
        </w:tc>
        <w:tc>
          <w:tcPr/>
          <w:p>
            <w:pPr>
              <w:pStyle w:val="Compact"/>
            </w:pPr>
            <w:r>
              <w:rPr>
                <w:b/>
                <w:bCs/>
              </w:rPr>
              <w:t xml:space="preserve">98.125</w:t>
            </w:r>
          </w:p>
        </w:tc>
        <w:tc>
          <w:tcPr/>
          <w:p>
            <w:pPr>
              <w:pStyle w:val="Compact"/>
            </w:pPr>
            <w:r>
              <w:t xml:space="preserve">97.267</w:t>
            </w:r>
          </w:p>
        </w:tc>
        <w:tc>
          <w:tcPr/>
          <w:p>
            <w:pPr>
              <w:pStyle w:val="Compact"/>
            </w:pPr>
            <w:r>
              <w:rPr>
                <w:b/>
                <w:bCs/>
              </w:rPr>
              <w:t xml:space="preserve">97.555</w:t>
            </w:r>
          </w:p>
        </w:tc>
        <w:tc>
          <w:tcPr/>
          <w:p>
            <w:pPr>
              <w:pStyle w:val="Compact"/>
            </w:pPr>
            <w:r>
              <w:t xml:space="preserve">97.547</w:t>
            </w:r>
          </w:p>
        </w:tc>
        <w:tc>
          <w:tcPr/>
          <w:p>
            <w:pPr>
              <w:pStyle w:val="Compact"/>
            </w:pPr>
            <w:r>
              <w:t xml:space="preserve">97.552</w:t>
            </w:r>
          </w:p>
        </w:tc>
        <w:tc>
          <w:tcPr/>
          <w:p>
            <w:pPr>
              <w:pStyle w:val="Compact"/>
            </w:pPr>
            <w:r>
              <w:rPr>
                <w:b/>
                <w:bCs/>
              </w:rPr>
              <w:t xml:space="preserve">97.692</w:t>
            </w:r>
          </w:p>
        </w:tc>
        <w:tc>
          <w:tcPr/>
          <w:p>
            <w:pPr>
              <w:pStyle w:val="Compact"/>
            </w:pPr>
            <w:r>
              <w:t xml:space="preserve">97.547</w:t>
            </w:r>
          </w:p>
        </w:tc>
        <w:tc>
          <w:tcPr/>
          <w:p>
            <w:pPr>
              <w:pStyle w:val="Compact"/>
            </w:pPr>
            <w:r>
              <w:t xml:space="preserve">99.806</w:t>
            </w:r>
          </w:p>
        </w:tc>
        <w:tc>
          <w:tcPr/>
          <w:p>
            <w:pPr>
              <w:pStyle w:val="Compact"/>
            </w:pPr>
            <w:r>
              <w:rPr>
                <w:b/>
                <w:bCs/>
              </w:rPr>
              <w:t xml:space="preserve">99.824</w:t>
            </w:r>
          </w:p>
        </w:tc>
        <w:tc>
          <w:tcPr/>
          <w:p>
            <w:pPr>
              <w:pStyle w:val="Compact"/>
            </w:pPr>
            <w:r>
              <w:t xml:space="preserve">99.818</w:t>
            </w:r>
          </w:p>
        </w:tc>
      </w:tr>
      <w:tr>
        <w:tc>
          <w:tcPr/>
          <w:p>
            <w:pPr>
              <w:pStyle w:val="Compact"/>
            </w:pPr>
            <w:r>
              <w:t xml:space="preserve">HG004</w:t>
            </w:r>
          </w:p>
        </w:tc>
        <w:tc>
          <w:tcPr/>
          <w:p>
            <w:pPr>
              <w:pStyle w:val="Compact"/>
            </w:pPr>
            <w:r>
              <w:t xml:space="preserve">672,779</w:t>
            </w:r>
          </w:p>
        </w:tc>
        <w:tc>
          <w:tcPr/>
          <w:p>
            <w:pPr>
              <w:pStyle w:val="Compact"/>
            </w:pPr>
            <w:r>
              <w:t xml:space="preserve">97.707</w:t>
            </w:r>
          </w:p>
        </w:tc>
        <w:tc>
          <w:tcPr/>
          <w:p>
            <w:pPr>
              <w:pStyle w:val="Compact"/>
            </w:pPr>
            <w:r>
              <w:rPr>
                <w:b/>
                <w:bCs/>
              </w:rPr>
              <w:t xml:space="preserve">97.924</w:t>
            </w:r>
          </w:p>
        </w:tc>
        <w:tc>
          <w:tcPr/>
          <w:p>
            <w:pPr>
              <w:pStyle w:val="Compact"/>
            </w:pPr>
            <w:r>
              <w:t xml:space="preserve">97.877</w:t>
            </w:r>
          </w:p>
        </w:tc>
        <w:tc>
          <w:tcPr/>
          <w:p>
            <w:pPr>
              <w:pStyle w:val="Compact"/>
            </w:pPr>
            <w:r>
              <w:t xml:space="preserve">97.101</w:t>
            </w:r>
          </w:p>
        </w:tc>
        <w:tc>
          <w:tcPr/>
          <w:p>
            <w:pPr>
              <w:pStyle w:val="Compact"/>
            </w:pPr>
            <w:r>
              <w:rPr>
                <w:b/>
                <w:bCs/>
              </w:rPr>
              <w:t xml:space="preserve">97.417</w:t>
            </w:r>
          </w:p>
        </w:tc>
        <w:tc>
          <w:tcPr/>
          <w:p>
            <w:pPr>
              <w:pStyle w:val="Compact"/>
            </w:pPr>
            <w:r>
              <w:t xml:space="preserve">97.328</w:t>
            </w:r>
          </w:p>
        </w:tc>
        <w:tc>
          <w:tcPr/>
          <w:p>
            <w:pPr>
              <w:pStyle w:val="Compact"/>
            </w:pPr>
            <w:r>
              <w:t xml:space="preserve">96.679</w:t>
            </w:r>
          </w:p>
        </w:tc>
        <w:tc>
          <w:tcPr/>
          <w:p>
            <w:pPr>
              <w:pStyle w:val="Compact"/>
            </w:pPr>
            <w:r>
              <w:t xml:space="preserve">97.062</w:t>
            </w:r>
          </w:p>
        </w:tc>
        <w:tc>
          <w:tcPr/>
          <w:p>
            <w:pPr>
              <w:pStyle w:val="Compact"/>
            </w:pPr>
            <w:r>
              <w:rPr>
                <w:b/>
                <w:bCs/>
              </w:rPr>
              <w:t xml:space="preserve">97.233</w:t>
            </w:r>
          </w:p>
        </w:tc>
        <w:tc>
          <w:tcPr/>
          <w:p>
            <w:pPr>
              <w:pStyle w:val="Compact"/>
            </w:pPr>
            <w:r>
              <w:t xml:space="preserve">99.790</w:t>
            </w:r>
          </w:p>
        </w:tc>
        <w:tc>
          <w:tcPr/>
          <w:p>
            <w:pPr>
              <w:pStyle w:val="Compact"/>
            </w:pPr>
            <w:r>
              <w:t xml:space="preserve">99.814</w:t>
            </w:r>
          </w:p>
        </w:tc>
        <w:tc>
          <w:tcPr/>
          <w:p>
            <w:pPr>
              <w:pStyle w:val="Compact"/>
            </w:pPr>
            <w:r>
              <w:rPr>
                <w:b/>
                <w:bCs/>
              </w:rPr>
              <w:t xml:space="preserve">99.817</w:t>
            </w:r>
          </w:p>
        </w:tc>
      </w:tr>
      <w:tr>
        <w:tc>
          <w:tcPr/>
          <w:p>
            <w:pPr>
              <w:pStyle w:val="Compact"/>
            </w:pPr>
            <w:r>
              <w:t xml:space="preserve">HG005</w:t>
            </w:r>
          </w:p>
        </w:tc>
        <w:tc>
          <w:tcPr/>
          <w:p>
            <w:pPr>
              <w:pStyle w:val="Compact"/>
            </w:pPr>
            <w:r>
              <w:t xml:space="preserve">662,250</w:t>
            </w:r>
          </w:p>
        </w:tc>
        <w:tc>
          <w:tcPr/>
          <w:p>
            <w:pPr>
              <w:pStyle w:val="Compact"/>
            </w:pPr>
            <w:r>
              <w:t xml:space="preserve">97.624</w:t>
            </w:r>
          </w:p>
        </w:tc>
        <w:tc>
          <w:tcPr/>
          <w:p>
            <w:pPr>
              <w:pStyle w:val="Compact"/>
            </w:pPr>
            <w:r>
              <w:t xml:space="preserve">97.730</w:t>
            </w:r>
          </w:p>
        </w:tc>
        <w:tc>
          <w:tcPr/>
          <w:p>
            <w:pPr>
              <w:pStyle w:val="Compact"/>
            </w:pPr>
            <w:r>
              <w:rPr>
                <w:b/>
                <w:bCs/>
              </w:rPr>
              <w:t xml:space="preserve">97.819</w:t>
            </w:r>
          </w:p>
        </w:tc>
        <w:tc>
          <w:tcPr/>
          <w:p>
            <w:pPr>
              <w:pStyle w:val="Compact"/>
            </w:pPr>
            <w:r>
              <w:t xml:space="preserve">96.855</w:t>
            </w:r>
          </w:p>
        </w:tc>
        <w:tc>
          <w:tcPr/>
          <w:p>
            <w:pPr>
              <w:pStyle w:val="Compact"/>
            </w:pPr>
            <w:r>
              <w:t xml:space="preserve">96.976</w:t>
            </w:r>
          </w:p>
        </w:tc>
        <w:tc>
          <w:tcPr/>
          <w:p>
            <w:pPr>
              <w:pStyle w:val="Compact"/>
            </w:pPr>
            <w:r>
              <w:rPr>
                <w:b/>
                <w:bCs/>
              </w:rPr>
              <w:t xml:space="preserve">97.092</w:t>
            </w:r>
          </w:p>
        </w:tc>
        <w:tc>
          <w:tcPr/>
          <w:p>
            <w:pPr>
              <w:pStyle w:val="Compact"/>
            </w:pPr>
            <w:r>
              <w:t xml:space="preserve">97.280</w:t>
            </w:r>
          </w:p>
        </w:tc>
        <w:tc>
          <w:tcPr/>
          <w:p>
            <w:pPr>
              <w:pStyle w:val="Compact"/>
            </w:pPr>
            <w:r>
              <w:t xml:space="preserve">97.497</w:t>
            </w:r>
          </w:p>
        </w:tc>
        <w:tc>
          <w:tcPr/>
          <w:p>
            <w:pPr>
              <w:pStyle w:val="Compact"/>
            </w:pPr>
            <w:r>
              <w:rPr>
                <w:b/>
                <w:bCs/>
              </w:rPr>
              <w:t xml:space="preserve">97.636</w:t>
            </w:r>
          </w:p>
        </w:tc>
        <w:tc>
          <w:tcPr/>
          <w:p>
            <w:pPr>
              <w:pStyle w:val="Compact"/>
            </w:pPr>
            <w:r>
              <w:t xml:space="preserve">99.809</w:t>
            </w:r>
          </w:p>
        </w:tc>
        <w:tc>
          <w:tcPr/>
          <w:p>
            <w:pPr>
              <w:pStyle w:val="Compact"/>
            </w:pPr>
            <w:r>
              <w:t xml:space="preserve">99.820</w:t>
            </w:r>
          </w:p>
        </w:tc>
        <w:tc>
          <w:tcPr/>
          <w:p>
            <w:pPr>
              <w:pStyle w:val="Compact"/>
            </w:pPr>
            <w:r>
              <w:rPr>
                <w:b/>
                <w:bCs/>
              </w:rPr>
              <w:t xml:space="preserve">99.828</w:t>
            </w:r>
          </w:p>
        </w:tc>
      </w:tr>
      <w:tr>
        <w:tc>
          <w:tcPr/>
          <w:p>
            <w:pPr>
              <w:pStyle w:val="Compact"/>
            </w:pPr>
            <w:r>
              <w:t xml:space="preserve">HG006</w:t>
            </w:r>
          </w:p>
        </w:tc>
        <w:tc>
          <w:tcPr/>
          <w:p>
            <w:pPr>
              <w:pStyle w:val="Compact"/>
            </w:pPr>
            <w:r>
              <w:t xml:space="preserve">669,015</w:t>
            </w:r>
          </w:p>
        </w:tc>
        <w:tc>
          <w:tcPr/>
          <w:p>
            <w:pPr>
              <w:pStyle w:val="Compact"/>
            </w:pPr>
            <w:r>
              <w:t xml:space="preserve">98.091</w:t>
            </w:r>
          </w:p>
        </w:tc>
        <w:tc>
          <w:tcPr/>
          <w:p>
            <w:pPr>
              <w:pStyle w:val="Compact"/>
            </w:pPr>
            <w:r>
              <w:rPr>
                <w:b/>
                <w:bCs/>
              </w:rPr>
              <w:t xml:space="preserve">98.176</w:t>
            </w:r>
          </w:p>
        </w:tc>
        <w:tc>
          <w:tcPr/>
          <w:p>
            <w:pPr>
              <w:pStyle w:val="Compact"/>
            </w:pPr>
            <w:r>
              <w:t xml:space="preserve">98.153</w:t>
            </w:r>
          </w:p>
        </w:tc>
        <w:tc>
          <w:tcPr/>
          <w:p>
            <w:pPr>
              <w:pStyle w:val="Compact"/>
            </w:pPr>
            <w:r>
              <w:t xml:space="preserve">97.088</w:t>
            </w:r>
          </w:p>
        </w:tc>
        <w:tc>
          <w:tcPr/>
          <w:p>
            <w:pPr>
              <w:pStyle w:val="Compact"/>
            </w:pPr>
            <w:r>
              <w:rPr>
                <w:b/>
                <w:bCs/>
              </w:rPr>
              <w:t xml:space="preserve">97.249</w:t>
            </w:r>
          </w:p>
        </w:tc>
        <w:tc>
          <w:tcPr/>
          <w:p>
            <w:pPr>
              <w:pStyle w:val="Compact"/>
            </w:pPr>
            <w:r>
              <w:t xml:space="preserve">97.228</w:t>
            </w:r>
          </w:p>
        </w:tc>
        <w:tc>
          <w:tcPr/>
          <w:p>
            <w:pPr>
              <w:pStyle w:val="Compact"/>
            </w:pPr>
            <w:r>
              <w:t xml:space="preserve">97.219</w:t>
            </w:r>
          </w:p>
        </w:tc>
        <w:tc>
          <w:tcPr/>
          <w:p>
            <w:pPr>
              <w:pStyle w:val="Compact"/>
            </w:pPr>
            <w:r>
              <w:rPr>
                <w:b/>
                <w:bCs/>
              </w:rPr>
              <w:t xml:space="preserve">97.275</w:t>
            </w:r>
          </w:p>
        </w:tc>
        <w:tc>
          <w:tcPr/>
          <w:p>
            <w:pPr>
              <w:pStyle w:val="Compact"/>
            </w:pPr>
            <w:r>
              <w:t xml:space="preserve">97.239</w:t>
            </w:r>
          </w:p>
        </w:tc>
        <w:tc>
          <w:tcPr/>
          <w:p>
            <w:pPr>
              <w:pStyle w:val="Compact"/>
            </w:pPr>
            <w:r>
              <w:t xml:space="preserve">99.836</w:t>
            </w:r>
          </w:p>
        </w:tc>
        <w:tc>
          <w:tcPr/>
          <w:p>
            <w:pPr>
              <w:pStyle w:val="Compact"/>
            </w:pPr>
            <w:r>
              <w:rPr>
                <w:b/>
                <w:bCs/>
              </w:rPr>
              <w:t xml:space="preserve">99.842</w:t>
            </w:r>
          </w:p>
        </w:tc>
        <w:tc>
          <w:tcPr/>
          <w:p>
            <w:pPr>
              <w:pStyle w:val="Compact"/>
            </w:pPr>
            <w:r>
              <w:t xml:space="preserve">99.840</w:t>
            </w:r>
          </w:p>
        </w:tc>
      </w:tr>
      <w:tr>
        <w:tc>
          <w:tcPr/>
          <w:p>
            <w:pPr>
              <w:pStyle w:val="Compact"/>
            </w:pPr>
            <w:r>
              <w:t xml:space="preserve">HG007</w:t>
            </w:r>
          </w:p>
        </w:tc>
        <w:tc>
          <w:tcPr/>
          <w:p>
            <w:pPr>
              <w:pStyle w:val="Compact"/>
            </w:pPr>
            <w:r>
              <w:t xml:space="preserve">668,184</w:t>
            </w:r>
          </w:p>
        </w:tc>
        <w:tc>
          <w:tcPr/>
          <w:p>
            <w:pPr>
              <w:pStyle w:val="Compact"/>
            </w:pPr>
            <w:r>
              <w:t xml:space="preserve">97.379</w:t>
            </w:r>
          </w:p>
        </w:tc>
        <w:tc>
          <w:tcPr/>
          <w:p>
            <w:pPr>
              <w:pStyle w:val="Compact"/>
            </w:pPr>
            <w:r>
              <w:t xml:space="preserve">97.449</w:t>
            </w:r>
          </w:p>
        </w:tc>
        <w:tc>
          <w:tcPr/>
          <w:p>
            <w:pPr>
              <w:pStyle w:val="Compact"/>
            </w:pPr>
            <w:r>
              <w:rPr>
                <w:b/>
                <w:bCs/>
              </w:rPr>
              <w:t xml:space="preserve">97.452</w:t>
            </w:r>
          </w:p>
        </w:tc>
        <w:tc>
          <w:tcPr/>
          <w:p>
            <w:pPr>
              <w:pStyle w:val="Compact"/>
            </w:pPr>
            <w:r>
              <w:t xml:space="preserve">96.492</w:t>
            </w:r>
          </w:p>
        </w:tc>
        <w:tc>
          <w:tcPr/>
          <w:p>
            <w:pPr>
              <w:pStyle w:val="Compact"/>
            </w:pPr>
            <w:r>
              <w:rPr>
                <w:b/>
                <w:bCs/>
              </w:rPr>
              <w:t xml:space="preserve">96.617</w:t>
            </w:r>
          </w:p>
        </w:tc>
        <w:tc>
          <w:tcPr/>
          <w:p>
            <w:pPr>
              <w:pStyle w:val="Compact"/>
            </w:pPr>
            <w:r>
              <w:t xml:space="preserve">96.595</w:t>
            </w:r>
          </w:p>
        </w:tc>
        <w:tc>
          <w:tcPr/>
          <w:p>
            <w:pPr>
              <w:pStyle w:val="Compact"/>
            </w:pPr>
            <w:r>
              <w:rPr>
                <w:b/>
                <w:bCs/>
              </w:rPr>
              <w:t xml:space="preserve">97.164</w:t>
            </w:r>
          </w:p>
        </w:tc>
        <w:tc>
          <w:tcPr/>
          <w:p>
            <w:pPr>
              <w:pStyle w:val="Compact"/>
            </w:pPr>
            <w:r>
              <w:t xml:space="preserve">97.037</w:t>
            </w:r>
          </w:p>
        </w:tc>
        <w:tc>
          <w:tcPr/>
          <w:p>
            <w:pPr>
              <w:pStyle w:val="Compact"/>
            </w:pPr>
            <w:r>
              <w:t xml:space="preserve">96.984</w:t>
            </w:r>
          </w:p>
        </w:tc>
        <w:tc>
          <w:tcPr/>
          <w:p>
            <w:pPr>
              <w:pStyle w:val="Compact"/>
            </w:pPr>
            <w:r>
              <w:rPr>
                <w:b/>
                <w:bCs/>
              </w:rPr>
              <w:t xml:space="preserve">99.786</w:t>
            </w:r>
          </w:p>
        </w:tc>
        <w:tc>
          <w:tcPr/>
          <w:p>
            <w:pPr>
              <w:pStyle w:val="Compact"/>
            </w:pPr>
            <w:r>
              <w:rPr>
                <w:b/>
                <w:bCs/>
              </w:rPr>
              <w:t xml:space="preserve">99.786</w:t>
            </w:r>
          </w:p>
        </w:tc>
        <w:tc>
          <w:tcPr/>
          <w:p>
            <w:pPr>
              <w:pStyle w:val="Compact"/>
            </w:pPr>
            <w:r>
              <w:t xml:space="preserve">99.783</w:t>
            </w:r>
          </w:p>
        </w:tc>
      </w:tr>
      <w:tr>
        <w:tc>
          <w:tcPr/>
          <w:p>
            <w:pPr>
              <w:pStyle w:val="Compact"/>
            </w:pPr>
            <w:r>
              <w:t xml:space="preserve">Mean</w:t>
            </w:r>
          </w:p>
        </w:tc>
        <w:tc>
          <w:tcPr/>
          <w:p>
            <w:pPr>
              <w:pStyle w:val="Compact"/>
            </w:pPr>
          </w:p>
        </w:tc>
        <w:tc>
          <w:tcPr/>
          <w:p>
            <w:pPr>
              <w:pStyle w:val="Compact"/>
            </w:pPr>
            <w:r>
              <w:t xml:space="preserve">97.739</w:t>
            </w:r>
          </w:p>
        </w:tc>
        <w:tc>
          <w:tcPr/>
          <w:p>
            <w:pPr>
              <w:pStyle w:val="Compact"/>
            </w:pPr>
            <w:r>
              <w:t xml:space="preserve">97.928</w:t>
            </w:r>
          </w:p>
        </w:tc>
        <w:tc>
          <w:tcPr/>
          <w:p>
            <w:pPr>
              <w:pStyle w:val="Compact"/>
            </w:pPr>
            <w:r>
              <w:rPr>
                <w:b/>
                <w:bCs/>
              </w:rPr>
              <w:t xml:space="preserve">97.936</w:t>
            </w:r>
          </w:p>
        </w:tc>
        <w:tc>
          <w:tcPr/>
          <w:p>
            <w:pPr>
              <w:pStyle w:val="Compact"/>
            </w:pPr>
            <w:r>
              <w:t xml:space="preserve">96.941</w:t>
            </w:r>
          </w:p>
        </w:tc>
        <w:tc>
          <w:tcPr/>
          <w:p>
            <w:pPr>
              <w:pStyle w:val="Compact"/>
            </w:pPr>
            <w:r>
              <w:t xml:space="preserve">97.219</w:t>
            </w:r>
          </w:p>
        </w:tc>
        <w:tc>
          <w:tcPr/>
          <w:p>
            <w:pPr>
              <w:pStyle w:val="Compact"/>
            </w:pPr>
            <w:r>
              <w:rPr>
                <w:b/>
                <w:bCs/>
              </w:rPr>
              <w:t xml:space="preserve">97.222</w:t>
            </w:r>
          </w:p>
        </w:tc>
        <w:tc>
          <w:tcPr/>
          <w:p>
            <w:pPr>
              <w:pStyle w:val="Compact"/>
            </w:pPr>
            <w:r>
              <w:t xml:space="preserve">97.273</w:t>
            </w:r>
          </w:p>
        </w:tc>
        <w:tc>
          <w:tcPr/>
          <w:p>
            <w:pPr>
              <w:pStyle w:val="Compact"/>
            </w:pPr>
            <w:r>
              <w:rPr>
                <w:b/>
                <w:bCs/>
              </w:rPr>
              <w:t xml:space="preserve">97.405</w:t>
            </w:r>
          </w:p>
        </w:tc>
        <w:tc>
          <w:tcPr/>
          <w:p>
            <w:pPr>
              <w:pStyle w:val="Compact"/>
            </w:pPr>
            <w:r>
              <w:t xml:space="preserve">97.398</w:t>
            </w:r>
          </w:p>
        </w:tc>
        <w:tc>
          <w:tcPr/>
          <w:p>
            <w:pPr>
              <w:pStyle w:val="Compact"/>
            </w:pPr>
            <w:r>
              <w:t xml:space="preserve">99.805</w:t>
            </w:r>
          </w:p>
        </w:tc>
        <w:tc>
          <w:tcPr/>
          <w:p>
            <w:pPr>
              <w:pStyle w:val="Compact"/>
            </w:pPr>
            <w:r>
              <w:rPr>
                <w:b/>
                <w:bCs/>
              </w:rPr>
              <w:t xml:space="preserve">99.820</w:t>
            </w:r>
          </w:p>
        </w:tc>
        <w:tc>
          <w:tcPr/>
          <w:p>
            <w:pPr>
              <w:pStyle w:val="Compact"/>
            </w:pPr>
            <w:r>
              <w:rPr>
                <w:b/>
                <w:bCs/>
              </w:rPr>
              <w:t xml:space="preserve">99.820</w:t>
            </w:r>
          </w:p>
        </w:tc>
      </w:tr>
      <w:tr>
        <w:tc>
          <w:tcPr/>
          <w:p>
            <w:pPr>
              <w:pStyle w:val="Compact"/>
            </w:pPr>
            <w:r>
              <w:t xml:space="preserve">Δ native − GLIMPSE2 (95% CI; wins; p)</w:t>
            </w:r>
          </w:p>
        </w:tc>
        <w:tc>
          <w:tcPr/>
          <w:p>
            <w:pPr>
              <w:pStyle w:val="Compact"/>
            </w:pPr>
          </w:p>
        </w:tc>
        <w:tc>
          <w:tcPr/>
          <w:p>
            <w:pPr>
              <w:pStyle w:val="Compact"/>
            </w:pPr>
          </w:p>
        </w:tc>
        <w:tc>
          <w:tcPr/>
          <w:p>
            <w:pPr>
              <w:pStyle w:val="Compact"/>
            </w:pPr>
            <w:r>
              <w:t xml:space="preserve">+0.190 (+0.102 to +0.312; 6/6; 0.031)</w:t>
            </w:r>
          </w:p>
        </w:tc>
        <w:tc>
          <w:tcPr/>
          <w:p>
            <w:pPr>
              <w:pStyle w:val="Compact"/>
            </w:pPr>
          </w:p>
        </w:tc>
        <w:tc>
          <w:tcPr/>
          <w:p>
            <w:pPr>
              <w:pStyle w:val="Compact"/>
            </w:pPr>
          </w:p>
        </w:tc>
        <w:tc>
          <w:tcPr/>
          <w:p>
            <w:pPr>
              <w:pStyle w:val="Compact"/>
            </w:pPr>
            <w:r>
              <w:t xml:space="preserve">+0.278 (+0.156 to +0.446; 6/6; 0.031)</w:t>
            </w:r>
          </w:p>
        </w:tc>
        <w:tc>
          <w:tcPr/>
          <w:p>
            <w:pPr>
              <w:pStyle w:val="Compact"/>
            </w:pPr>
          </w:p>
        </w:tc>
        <w:tc>
          <w:tcPr/>
          <w:p>
            <w:pPr>
              <w:pStyle w:val="Compact"/>
            </w:pPr>
          </w:p>
        </w:tc>
        <w:tc>
          <w:tcPr/>
          <w:p>
            <w:pPr>
              <w:pStyle w:val="Compact"/>
            </w:pPr>
            <w:r>
              <w:t xml:space="preserve">+0.132 (+0.004 to +0.257; 5/6; 0.16)</w:t>
            </w:r>
          </w:p>
        </w:tc>
        <w:tc>
          <w:tcPr/>
          <w:p>
            <w:pPr>
              <w:pStyle w:val="Compact"/>
            </w:pPr>
          </w:p>
        </w:tc>
        <w:tc>
          <w:tcPr/>
          <w:p>
            <w:pPr>
              <w:pStyle w:val="Compact"/>
            </w:pPr>
          </w:p>
        </w:tc>
        <w:tc>
          <w:tcPr/>
          <w:p>
            <w:pPr>
              <w:pStyle w:val="Compact"/>
            </w:pPr>
            <w:r>
              <w:t xml:space="preserve">+0.014 (+0.007 to +0.022; 5/6, one tie; 0.0625)</w:t>
            </w:r>
          </w:p>
        </w:tc>
        <w:tc>
          <w:tcPr/>
          <w:p>
            <w:pPr>
              <w:pStyle w:val="Compact"/>
            </w:pPr>
          </w:p>
        </w:tc>
      </w:tr>
      <w:tr>
        <w:tc>
          <w:tcPr/>
          <w:p>
            <w:pPr>
              <w:pStyle w:val="Compact"/>
            </w:pPr>
            <w:r>
              <w:t xml:space="preserve">Δ bcftools − GLIMPSE2 (95% CI; wins; p)</w:t>
            </w:r>
          </w:p>
        </w:tc>
        <w:tc>
          <w:tcPr/>
          <w:p>
            <w:pPr>
              <w:pStyle w:val="Compact"/>
            </w:pPr>
          </w:p>
        </w:tc>
        <w:tc>
          <w:tcPr/>
          <w:p>
            <w:pPr>
              <w:pStyle w:val="Compact"/>
            </w:pPr>
          </w:p>
        </w:tc>
        <w:tc>
          <w:tcPr/>
          <w:p>
            <w:pPr>
              <w:pStyle w:val="Compact"/>
            </w:pPr>
          </w:p>
        </w:tc>
        <w:tc>
          <w:tcPr/>
          <w:p>
            <w:pPr>
              <w:pStyle w:val="Compact"/>
            </w:pPr>
            <w:r>
              <w:t xml:space="preserve">+0.197 (+0.105 to +0.319; 6/6; 0.031)</w:t>
            </w:r>
          </w:p>
        </w:tc>
        <w:tc>
          <w:tcPr/>
          <w:p>
            <w:pPr>
              <w:pStyle w:val="Compact"/>
            </w:pPr>
          </w:p>
        </w:tc>
        <w:tc>
          <w:tcPr/>
          <w:p>
            <w:pPr>
              <w:pStyle w:val="Compact"/>
            </w:pPr>
          </w:p>
        </w:tc>
        <w:tc>
          <w:tcPr/>
          <w:p>
            <w:pPr>
              <w:pStyle w:val="Compact"/>
            </w:pPr>
            <w:r>
              <w:t xml:space="preserve">+0.281 (+0.158 to +0.459; 6/6; 0.031)</w:t>
            </w:r>
          </w:p>
        </w:tc>
        <w:tc>
          <w:tcPr/>
          <w:p>
            <w:pPr>
              <w:pStyle w:val="Compact"/>
            </w:pPr>
          </w:p>
        </w:tc>
        <w:tc>
          <w:tcPr/>
          <w:p>
            <w:pPr>
              <w:pStyle w:val="Compact"/>
            </w:pPr>
          </w:p>
        </w:tc>
        <w:tc>
          <w:tcPr/>
          <w:p>
            <w:pPr>
              <w:pStyle w:val="Compact"/>
            </w:pPr>
            <w:r>
              <w:t xml:space="preserve">+0.126 (-0.057 to +0.339; 4/6; 0.31)</w:t>
            </w:r>
          </w:p>
        </w:tc>
        <w:tc>
          <w:tcPr/>
          <w:p>
            <w:pPr>
              <w:pStyle w:val="Compact"/>
            </w:pPr>
          </w:p>
        </w:tc>
        <w:tc>
          <w:tcPr/>
          <w:p>
            <w:pPr>
              <w:pStyle w:val="Compact"/>
            </w:pPr>
          </w:p>
        </w:tc>
        <w:tc>
          <w:tcPr/>
          <w:p>
            <w:pPr>
              <w:pStyle w:val="Compact"/>
            </w:pPr>
            <w:r>
              <w:t xml:space="preserve">+0.014 (+0.006 to +0.022; 5/6; 0.0625)</w:t>
            </w:r>
          </w:p>
        </w:tc>
      </w:tr>
    </w:tbl>
    <w:p>
      <w:pPr>
        <w:pStyle w:val="BodyText"/>
      </w:pPr>
      <w:r>
        <w:rPr>
          <w:b/>
          <w:bCs/>
        </w:rPr>
        <w:t xml:space="preserve">Table 1c. Head-to-head by reference-panel minor allele frequency.</w:t>
      </w:r>
      <w:r>
        <w:t xml:space="preserve"> </w:t>
      </w:r>
      <w: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Metric</w:t>
            </w:r>
          </w:p>
        </w:tc>
        <w:tc>
          <w:tcPr/>
          <w:p>
            <w:pPr>
              <w:pStyle w:val="Compact"/>
            </w:pPr>
            <w:r>
              <w:t xml:space="preserve">MAF stratum</w:t>
            </w:r>
          </w:p>
        </w:tc>
        <w:tc>
          <w:tcPr/>
          <w:p>
            <w:pPr>
              <w:pStyle w:val="Compact"/>
            </w:pPr>
            <w:r>
              <w:t xml:space="preserve">Sites per sample</w:t>
            </w:r>
          </w:p>
        </w:tc>
        <w:tc>
          <w:tcPr/>
          <w:p>
            <w:pPr>
              <w:pStyle w:val="Compact"/>
            </w:pPr>
            <w:r>
              <w:t xml:space="preserve">GLIMPSE2</w:t>
            </w:r>
          </w:p>
        </w:tc>
        <w:tc>
          <w:tcPr/>
          <w:p>
            <w:pPr>
              <w:pStyle w:val="Compact"/>
            </w:pPr>
            <w:r>
              <w:t xml:space="preserve">Selphi 2 native</w:t>
            </w:r>
          </w:p>
        </w:tc>
        <w:tc>
          <w:tcPr/>
          <w:p>
            <w:pPr>
              <w:pStyle w:val="Compact"/>
            </w:pPr>
            <w:r>
              <w:t xml:space="preserve">Selphi 2 bcftools</w:t>
            </w:r>
          </w:p>
        </w:tc>
        <w:tc>
          <w:tcPr/>
          <w:p>
            <w:pPr>
              <w:pStyle w:val="Compact"/>
            </w:pPr>
            <w:r>
              <w:t xml:space="preserve">Δ native (95% CI; wins; p)</w:t>
            </w:r>
          </w:p>
        </w:tc>
        <w:tc>
          <w:tcPr/>
          <w:p>
            <w:pPr>
              <w:pStyle w:val="Compact"/>
            </w:pPr>
            <w:r>
              <w:t xml:space="preserve">Δ bcftools (95% CI; wins; p)</w:t>
            </w:r>
          </w:p>
        </w:tc>
      </w:tr>
      <w:tr>
        <w:tc>
          <w:tcPr/>
          <w:p>
            <w:pPr>
              <w:pStyle w:val="Compact"/>
            </w:pPr>
            <w:r>
              <w:t xml:space="preserve">Non-ref concordance %</w:t>
            </w:r>
          </w:p>
        </w:tc>
        <w:tc>
          <w:tcPr/>
          <w:p>
            <w:pPr>
              <w:pStyle w:val="Compact"/>
            </w:pPr>
            <w:r>
              <w:t xml:space="preserve">≥ 5%</w:t>
            </w:r>
          </w:p>
        </w:tc>
        <w:tc>
          <w:tcPr/>
          <w:p>
            <w:pPr>
              <w:pStyle w:val="Compact"/>
            </w:pPr>
            <w:r>
              <w:t xml:space="preserve">79,005-81,576</w:t>
            </w:r>
          </w:p>
        </w:tc>
        <w:tc>
          <w:tcPr/>
          <w:p>
            <w:pPr>
              <w:pStyle w:val="Compact"/>
            </w:pPr>
            <w:r>
              <w:t xml:space="preserve">98.39</w:t>
            </w:r>
          </w:p>
        </w:tc>
        <w:tc>
          <w:tcPr/>
          <w:p>
            <w:pPr>
              <w:pStyle w:val="Compact"/>
            </w:pPr>
            <w:r>
              <w:rPr>
                <w:b/>
                <w:bCs/>
              </w:rPr>
              <w:t xml:space="preserve">98.58</w:t>
            </w:r>
          </w:p>
        </w:tc>
        <w:tc>
          <w:tcPr/>
          <w:p>
            <w:pPr>
              <w:pStyle w:val="Compact"/>
            </w:pPr>
            <w:r>
              <w:rPr>
                <w:b/>
                <w:bCs/>
              </w:rPr>
              <w:t xml:space="preserve">98.58</w:t>
            </w:r>
          </w:p>
        </w:tc>
        <w:tc>
          <w:tcPr/>
          <w:p>
            <w:pPr>
              <w:pStyle w:val="Compact"/>
            </w:pPr>
            <w:r>
              <w:t xml:space="preserve">+0.19 (+0.10 to +0.30; 6/6; 0.031)</w:t>
            </w:r>
          </w:p>
        </w:tc>
        <w:tc>
          <w:tcPr/>
          <w:p>
            <w:pPr>
              <w:pStyle w:val="Compact"/>
            </w:pPr>
            <w:r>
              <w:t xml:space="preserve">+0.19 (+0.10 to +0.31; 6/6; 0.031)</w:t>
            </w:r>
          </w:p>
        </w:tc>
      </w:tr>
      <w:tr>
        <w:tc>
          <w:tcPr/>
          <w:p>
            <w:pPr>
              <w:pStyle w:val="Compact"/>
            </w:pPr>
          </w:p>
        </w:tc>
        <w:tc>
          <w:tcPr/>
          <w:p>
            <w:pPr>
              <w:pStyle w:val="Compact"/>
            </w:pPr>
            <w:r>
              <w:t xml:space="preserve">0.5-5%</w:t>
            </w:r>
          </w:p>
        </w:tc>
        <w:tc>
          <w:tcPr/>
          <w:p>
            <w:pPr>
              <w:pStyle w:val="Compact"/>
            </w:pPr>
            <w:r>
              <w:t xml:space="preserve">108,535-112,020</w:t>
            </w:r>
          </w:p>
        </w:tc>
        <w:tc>
          <w:tcPr/>
          <w:p>
            <w:pPr>
              <w:pStyle w:val="Compact"/>
            </w:pPr>
            <w:r>
              <w:t xml:space="preserve">95.15</w:t>
            </w:r>
          </w:p>
        </w:tc>
        <w:tc>
          <w:tcPr/>
          <w:p>
            <w:pPr>
              <w:pStyle w:val="Compact"/>
            </w:pPr>
            <w:r>
              <w:t xml:space="preserve">95.33</w:t>
            </w:r>
          </w:p>
        </w:tc>
        <w:tc>
          <w:tcPr/>
          <w:p>
            <w:pPr>
              <w:pStyle w:val="Compact"/>
            </w:pPr>
            <w:r>
              <w:rPr>
                <w:b/>
                <w:bCs/>
              </w:rPr>
              <w:t xml:space="preserve">95.42</w:t>
            </w:r>
          </w:p>
        </w:tc>
        <w:tc>
          <w:tcPr/>
          <w:p>
            <w:pPr>
              <w:pStyle w:val="Compact"/>
            </w:pPr>
            <w:r>
              <w:t xml:space="preserve">+0.18 (-0.08 to +0.45; 4/6; 0.44)</w:t>
            </w:r>
          </w:p>
        </w:tc>
        <w:tc>
          <w:tcPr/>
          <w:p>
            <w:pPr>
              <w:pStyle w:val="Compact"/>
            </w:pPr>
            <w:r>
              <w:t xml:space="preserve">+0.27 (-0.04 to +0.52; 5/6; 0.16)</w:t>
            </w:r>
          </w:p>
        </w:tc>
      </w:tr>
      <w:tr>
        <w:tc>
          <w:tcPr/>
          <w:p>
            <w:pPr>
              <w:pStyle w:val="Compact"/>
            </w:pPr>
          </w:p>
        </w:tc>
        <w:tc>
          <w:tcPr/>
          <w:p>
            <w:pPr>
              <w:pStyle w:val="Compact"/>
            </w:pPr>
            <w:r>
              <w:t xml:space="preserve">&lt; 0.5%</w:t>
            </w:r>
          </w:p>
        </w:tc>
        <w:tc>
          <w:tcPr/>
          <w:p>
            <w:pPr>
              <w:pStyle w:val="Compact"/>
            </w:pPr>
            <w:r>
              <w:t xml:space="preserve">474,710-490,546</w:t>
            </w:r>
          </w:p>
        </w:tc>
        <w:tc>
          <w:tcPr/>
          <w:p>
            <w:pPr>
              <w:pStyle w:val="Compact"/>
            </w:pPr>
            <w:r>
              <w:t xml:space="preserve">87.71</w:t>
            </w:r>
          </w:p>
        </w:tc>
        <w:tc>
          <w:tcPr/>
          <w:p>
            <w:pPr>
              <w:pStyle w:val="Compact"/>
            </w:pPr>
            <w:r>
              <w:t xml:space="preserve">87.97</w:t>
            </w:r>
          </w:p>
        </w:tc>
        <w:tc>
          <w:tcPr/>
          <w:p>
            <w:pPr>
              <w:pStyle w:val="Compact"/>
            </w:pPr>
            <w:r>
              <w:rPr>
                <w:b/>
                <w:bCs/>
              </w:rPr>
              <w:t xml:space="preserve">87.99</w:t>
            </w:r>
          </w:p>
        </w:tc>
        <w:tc>
          <w:tcPr/>
          <w:p>
            <w:pPr>
              <w:pStyle w:val="Compact"/>
            </w:pPr>
            <w:r>
              <w:t xml:space="preserve">+0.26 (-0.03 to +0.60; 3/6; 0.31)</w:t>
            </w:r>
          </w:p>
        </w:tc>
        <w:tc>
          <w:tcPr/>
          <w:p>
            <w:pPr>
              <w:pStyle w:val="Compact"/>
            </w:pPr>
            <w:r>
              <w:t xml:space="preserve">+0.29 (-0.02 to +0.61; 4/6; 0.22)</w:t>
            </w:r>
          </w:p>
        </w:tc>
      </w:tr>
      <w:tr>
        <w:tc>
          <w:tcPr/>
          <w:p>
            <w:pPr>
              <w:pStyle w:val="Compact"/>
            </w:pPr>
            <w:r>
              <w:t xml:space="preserve">Het recall %</w:t>
            </w:r>
          </w:p>
        </w:tc>
        <w:tc>
          <w:tcPr/>
          <w:p>
            <w:pPr>
              <w:pStyle w:val="Compact"/>
            </w:pPr>
            <w:r>
              <w:t xml:space="preserve">≥ 5%</w:t>
            </w:r>
          </w:p>
        </w:tc>
        <w:tc>
          <w:tcPr/>
          <w:p>
            <w:pPr>
              <w:pStyle w:val="Compact"/>
            </w:pPr>
            <w:r>
              <w:t xml:space="preserve">79,005-81,576</w:t>
            </w:r>
          </w:p>
        </w:tc>
        <w:tc>
          <w:tcPr/>
          <w:p>
            <w:pPr>
              <w:pStyle w:val="Compact"/>
            </w:pPr>
            <w:r>
              <w:t xml:space="preserve">98.00</w:t>
            </w:r>
          </w:p>
        </w:tc>
        <w:tc>
          <w:tcPr/>
          <w:p>
            <w:pPr>
              <w:pStyle w:val="Compact"/>
            </w:pPr>
            <w:r>
              <w:rPr>
                <w:b/>
                <w:bCs/>
              </w:rPr>
              <w:t xml:space="preserve">98.28</w:t>
            </w:r>
          </w:p>
        </w:tc>
        <w:tc>
          <w:tcPr/>
          <w:p>
            <w:pPr>
              <w:pStyle w:val="Compact"/>
            </w:pPr>
            <w:r>
              <w:t xml:space="preserve">98.27</w:t>
            </w:r>
          </w:p>
        </w:tc>
        <w:tc>
          <w:tcPr/>
          <w:p>
            <w:pPr>
              <w:pStyle w:val="Compact"/>
            </w:pPr>
            <w:r>
              <w:t xml:space="preserve">+0.27 (+0.16 to +0.43; 6/6; 0.031)</w:t>
            </w:r>
          </w:p>
        </w:tc>
        <w:tc>
          <w:tcPr/>
          <w:p>
            <w:pPr>
              <w:pStyle w:val="Compact"/>
            </w:pPr>
            <w:r>
              <w:t xml:space="preserve">+0.27 (+0.17 to +0.43; 6/6; 0.031)</w:t>
            </w:r>
          </w:p>
        </w:tc>
      </w:tr>
      <w:tr>
        <w:tc>
          <w:tcPr/>
          <w:p>
            <w:pPr>
              <w:pStyle w:val="Compact"/>
            </w:pPr>
          </w:p>
        </w:tc>
        <w:tc>
          <w:tcPr/>
          <w:p>
            <w:pPr>
              <w:pStyle w:val="Compact"/>
            </w:pPr>
            <w:r>
              <w:t xml:space="preserve">0.5-5%</w:t>
            </w:r>
          </w:p>
        </w:tc>
        <w:tc>
          <w:tcPr/>
          <w:p>
            <w:pPr>
              <w:pStyle w:val="Compact"/>
            </w:pPr>
            <w:r>
              <w:t xml:space="preserve">108,535-112,020</w:t>
            </w:r>
          </w:p>
        </w:tc>
        <w:tc>
          <w:tcPr/>
          <w:p>
            <w:pPr>
              <w:pStyle w:val="Compact"/>
            </w:pPr>
            <w:r>
              <w:t xml:space="preserve">92.57</w:t>
            </w:r>
          </w:p>
        </w:tc>
        <w:tc>
          <w:tcPr/>
          <w:p>
            <w:pPr>
              <w:pStyle w:val="Compact"/>
            </w:pPr>
            <w:r>
              <w:t xml:space="preserve">92.89</w:t>
            </w:r>
          </w:p>
        </w:tc>
        <w:tc>
          <w:tcPr/>
          <w:p>
            <w:pPr>
              <w:pStyle w:val="Compact"/>
            </w:pPr>
            <w:r>
              <w:rPr>
                <w:b/>
                <w:bCs/>
              </w:rPr>
              <w:t xml:space="preserve">93.03</w:t>
            </w:r>
          </w:p>
        </w:tc>
        <w:tc>
          <w:tcPr/>
          <w:p>
            <w:pPr>
              <w:pStyle w:val="Compact"/>
            </w:pPr>
            <w:r>
              <w:t xml:space="preserve">+0.32 (-0.16 to +0.77; 4/6; 0.31)</w:t>
            </w:r>
          </w:p>
        </w:tc>
        <w:tc>
          <w:tcPr/>
          <w:p>
            <w:pPr>
              <w:pStyle w:val="Compact"/>
            </w:pPr>
            <w:r>
              <w:t xml:space="preserve">+0.46 (-0.08 to +0.88; 5/6; 0.16)</w:t>
            </w:r>
          </w:p>
        </w:tc>
      </w:tr>
      <w:tr>
        <w:tc>
          <w:tcPr/>
          <w:p>
            <w:pPr>
              <w:pStyle w:val="Compact"/>
            </w:pPr>
          </w:p>
        </w:tc>
        <w:tc>
          <w:tcPr/>
          <w:p>
            <w:pPr>
              <w:pStyle w:val="Compact"/>
            </w:pPr>
            <w:r>
              <w:t xml:space="preserve">&lt; 0.5%</w:t>
            </w:r>
          </w:p>
        </w:tc>
        <w:tc>
          <w:tcPr/>
          <w:p>
            <w:pPr>
              <w:pStyle w:val="Compact"/>
            </w:pPr>
            <w:r>
              <w:t xml:space="preserve">474,710-490,546</w:t>
            </w:r>
          </w:p>
        </w:tc>
        <w:tc>
          <w:tcPr/>
          <w:p>
            <w:pPr>
              <w:pStyle w:val="Compact"/>
            </w:pPr>
            <w:r>
              <w:t xml:space="preserve">81.36</w:t>
            </w:r>
          </w:p>
        </w:tc>
        <w:tc>
          <w:tcPr/>
          <w:p>
            <w:pPr>
              <w:pStyle w:val="Compact"/>
            </w:pPr>
            <w:r>
              <w:rPr>
                <w:b/>
                <w:bCs/>
              </w:rPr>
              <w:t xml:space="preserve">81.72</w:t>
            </w:r>
          </w:p>
        </w:tc>
        <w:tc>
          <w:tcPr/>
          <w:p>
            <w:pPr>
              <w:pStyle w:val="Compact"/>
            </w:pPr>
            <w:r>
              <w:t xml:space="preserve">81.70</w:t>
            </w:r>
          </w:p>
        </w:tc>
        <w:tc>
          <w:tcPr/>
          <w:p>
            <w:pPr>
              <w:pStyle w:val="Compact"/>
            </w:pPr>
            <w:r>
              <w:t xml:space="preserve">+0.37 (-0.14 to +0.92; 4/6; 0.31)</w:t>
            </w:r>
          </w:p>
        </w:tc>
        <w:tc>
          <w:tcPr/>
          <w:p>
            <w:pPr>
              <w:pStyle w:val="Compact"/>
            </w:pPr>
            <w:r>
              <w:t xml:space="preserve">+0.35 (-0.18 to +0.92; 3/6; 0.44)</w:t>
            </w:r>
          </w:p>
        </w:tc>
      </w:tr>
    </w:tbl>
    <w:p>
      <w:pPr>
        <w:pStyle w:val="CaptionedFigure"/>
      </w:pPr>
      <w:r>
        <w:drawing>
          <wp:inline>
            <wp:extent cx="5334000" cy="4035303"/>
            <wp:effectExtent b="0" l="0" r="0" t="0"/>
            <wp:docPr descr="Figure 2" title="" id="32" name="Picture"/>
            <a:graphic>
              <a:graphicData uri="http://schemas.openxmlformats.org/drawingml/2006/picture">
                <pic:pic>
                  <pic:nvPicPr>
                    <pic:cNvPr descr="figures/figure2_lcwgs_capture.png" id="33" name="Picture"/>
                    <pic:cNvPicPr>
                      <a:picLocks noChangeArrowheads="1" noChangeAspect="1"/>
                    </pic:cNvPicPr>
                  </pic:nvPicPr>
                  <pic:blipFill>
                    <a:blip r:embed="rId31"/>
                    <a:stretch>
                      <a:fillRect/>
                    </a:stretch>
                  </pic:blipFill>
                  <pic:spPr bwMode="auto">
                    <a:xfrm>
                      <a:off x="0" y="0"/>
                      <a:ext cx="5334000" cy="4035303"/>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Genotype-likelihood imputation of capture-plus-low-pass GIAB libraries (chromosome 22).</w:t>
      </w:r>
      <w:r>
        <w:t xml:space="preserve"> </w:t>
      </w:r>
      <w:r>
        <w:t xml:space="preserve">Six GIAB samples (HG002-HG007) sequenced by hybridization capture over the GSA sites with a 1.6-2.7</w:t>
      </w:r>
      <m:oMath>
        <m:r>
          <m:rPr>
            <m:sty m:val="p"/>
          </m:rPr>
          <m:t>×</m:t>
        </m:r>
      </m:oMath>
      <w:r>
        <w:t xml:space="preserve"> </w:t>
      </w:r>
      <w: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Style w:val="VerbatimChar"/>
        </w:rPr>
        <w:t xml:space="preserve">--lcwgs</w:t>
      </w:r>
      <w:r>
        <w:t xml:space="preserve"> </w:t>
      </w:r>
      <w: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bookmarkEnd w:id="34"/>
    <w:bookmarkStart w:id="35" w:name="replication-across-chromosomes"/>
    <w:p>
      <w:pPr>
        <w:pStyle w:val="Heading2"/>
      </w:pPr>
      <w:r>
        <w:rPr>
          <w:b/>
          <w:bCs/>
        </w:rPr>
        <w:t xml:space="preserve">Replication across chromosomes</w:t>
      </w:r>
    </w:p>
    <w:p>
      <w:pPr>
        <w:pStyle w:val="FirstParagraph"/>
      </w:pPr>
      <w:r>
        <w:t xml:space="preserve">To test whether the chromosome-22 result generalises, we repeated the head-to-head on chromosomes 20, 10 and 1 with the same six samples, the same truth and the same scoring, against one shared panel per chromosome restricted to polymorphic sites with alleles ≤ 250 bp for both tools (2,398 samples; chromosome 20: 1,564,145 sites; Methods), GLIMPSE2 at its defaults and Selphi 2 in both arms (Table 1d; Supplementary Figure S1). Selphi 2’s native pileup leads GLIMPSE2 in non-reference concordance in six of six samples on every chromosome: +0.18 pp on chromosome 20 (97.72% to 97.91%; 1,139,422-1,168,950 evaluated sites per sample; paired t = 2.79), +0.21 pp on chromosome 10 (98.21% to 98.42%; 2,555,483-2,586,705 sites; t = 3.90) and +0.26 pp on chromosome 1 (98.20% to 98.46%; 2,216,536-2,263,597 sites; t = 3.20), against +0.19 pp on chromosome 22 (t = 3.15); the bcftools-likelihood arm is six of six on every chromosome as well (+0.21, +0.23 and +0.26 pp). Heterozygote recall rises with it (native +0.20, +0.32 and +0.38 pp; six of six on chromosomes 10 and 1, five of six on chromosome 20). Pooled over the four chromosomes, site-weighted within each sample (6,573,691-6,703,394 evaluated untyped sites per sample), the native arm leads by +0.22 pp in non-reference concordance (t = 3.49; six of six) and +0.31 pp in heterozygote recall (t = 2.61; six of six), and the bcftools arm by +0.23 pp (t = 3.67; six of six).</w:t>
      </w:r>
    </w:p>
    <w:p>
      <w:pPr>
        <w:pStyle w:val="BodyText"/>
      </w:pPr>
      <w:r>
        <w:t xml:space="preserve">The rare-variant picture sharpens with chromosome size. The chromosome-22 reservation, that the sub-0.5% margin is not consistent across samples, does not generalise: on chromosome 20 the rare stratum gives +0.48 pp (four of six), and on chromosomes 10 and 1 it is the largest of the three strata and unanimous (+0.41 pp and +0.66 pp, six of six, against +0.20 and +0.23 pp at MAF ≥ 5% and +0.24 and +0.37 pp at 0.5-5%), so the advantage grows toward rare variants on the larger chromosomes. Heterozygote precision is within noise on chromosomes 22, 20 and 1 (native +0.13, +0.17 and +0.13 pp) and lower than GLIMPSE2’s on chromosome 10 in both arms (native -0.48 pp; three of six), the one metric on one chromosome where Selphi 2 does not lead. Base alignment quality contributes on every chromosome tested: the pre-BAQ native pileup gave +0.11 pp (five of six) on chromosome 20 and +0.16 pp (six of six) on chromosome 10, against +0.18 and +0.21 pp with BAQ.</w:t>
      </w:r>
    </w:p>
    <w:p>
      <w:pPr>
        <w:pStyle w:val="BodyText"/>
      </w:pPr>
      <w:r>
        <w:rPr>
          <w:b/>
          <w:bCs/>
        </w:rPr>
        <w:t xml:space="preserve">Table 1d. Replication across chromosomes (mean over six samples).</w:t>
      </w:r>
      <w:r>
        <w:t xml:space="preserve"> </w:t>
      </w:r>
      <w: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Chr</w:t>
            </w:r>
          </w:p>
        </w:tc>
        <w:tc>
          <w:tcPr/>
          <w:p>
            <w:pPr>
              <w:pStyle w:val="Compact"/>
            </w:pPr>
            <w:r>
              <w:t xml:space="preserve">Sites per sample</w:t>
            </w:r>
          </w:p>
        </w:tc>
        <w:tc>
          <w:tcPr/>
          <w:p>
            <w:pPr>
              <w:pStyle w:val="Compact"/>
            </w:pPr>
            <w:r>
              <w:t xml:space="preserve">Non-ref %, GLIMPSE2</w:t>
            </w:r>
          </w:p>
        </w:tc>
        <w:tc>
          <w:tcPr/>
          <w:p>
            <w:pPr>
              <w:pStyle w:val="Compact"/>
            </w:pPr>
            <w:r>
              <w:t xml:space="preserve">Non-ref %, Selphi 2 native</w:t>
            </w:r>
          </w:p>
        </w:tc>
        <w:tc>
          <w:tcPr/>
          <w:p>
            <w:pPr>
              <w:pStyle w:val="Compact"/>
            </w:pPr>
            <w:r>
              <w:t xml:space="preserve">Δ non-ref pp (t; wins)</w:t>
            </w:r>
          </w:p>
        </w:tc>
        <w:tc>
          <w:tcPr/>
          <w:p>
            <w:pPr>
              <w:pStyle w:val="Compact"/>
            </w:pPr>
            <w:r>
              <w:t xml:space="preserve">Δ non-ref pp, bcftools arm (t; wins)</w:t>
            </w:r>
          </w:p>
        </w:tc>
        <w:tc>
          <w:tcPr/>
          <w:p>
            <w:pPr>
              <w:pStyle w:val="Compact"/>
            </w:pPr>
            <w:r>
              <w:t xml:space="preserve">Δ het recall pp (t; wins)</w:t>
            </w:r>
          </w:p>
        </w:tc>
        <w:tc>
          <w:tcPr/>
          <w:p>
            <w:pPr>
              <w:pStyle w:val="Compact"/>
            </w:pPr>
            <w:r>
              <w:t xml:space="preserve">Δ non-ref pp, MAF ≥ 5% (wins)</w:t>
            </w:r>
          </w:p>
        </w:tc>
        <w:tc>
          <w:tcPr/>
          <w:p>
            <w:pPr>
              <w:pStyle w:val="Compact"/>
            </w:pPr>
            <w:r>
              <w:t xml:space="preserve">Δ non-ref pp, 0.5-5% (wins)</w:t>
            </w:r>
          </w:p>
        </w:tc>
        <w:tc>
          <w:tcPr/>
          <w:p>
            <w:pPr>
              <w:pStyle w:val="Compact"/>
            </w:pPr>
            <w:r>
              <w:t xml:space="preserve">Δ non-ref pp, &lt; 0.5% (wins)</w:t>
            </w:r>
          </w:p>
        </w:tc>
      </w:tr>
      <w:tr>
        <w:tc>
          <w:tcPr/>
          <w:p>
            <w:pPr>
              <w:pStyle w:val="Compact"/>
            </w:pPr>
            <w:r>
              <w:t xml:space="preserve">22</w:t>
            </w:r>
          </w:p>
        </w:tc>
        <w:tc>
          <w:tcPr/>
          <w:p>
            <w:pPr>
              <w:pStyle w:val="Compact"/>
            </w:pPr>
            <w:r>
              <w:t xml:space="preserve">662,250-684,142</w:t>
            </w:r>
          </w:p>
        </w:tc>
        <w:tc>
          <w:tcPr/>
          <w:p>
            <w:pPr>
              <w:pStyle w:val="Compact"/>
            </w:pPr>
            <w:r>
              <w:t xml:space="preserve">97.74</w:t>
            </w:r>
          </w:p>
        </w:tc>
        <w:tc>
          <w:tcPr/>
          <w:p>
            <w:pPr>
              <w:pStyle w:val="Compact"/>
            </w:pPr>
            <w:r>
              <w:rPr>
                <w:b/>
                <w:bCs/>
              </w:rPr>
              <w:t xml:space="preserve">97.93</w:t>
            </w:r>
          </w:p>
        </w:tc>
        <w:tc>
          <w:tcPr/>
          <w:p>
            <w:pPr>
              <w:pStyle w:val="Compact"/>
            </w:pPr>
            <w:r>
              <w:t xml:space="preserve">+0.19 (3.15; 6/6)</w:t>
            </w:r>
          </w:p>
        </w:tc>
        <w:tc>
          <w:tcPr/>
          <w:p>
            <w:pPr>
              <w:pStyle w:val="Compact"/>
            </w:pPr>
            <w:r>
              <w:t xml:space="preserve">+0.20 (3.16; 6/6)</w:t>
            </w:r>
          </w:p>
        </w:tc>
        <w:tc>
          <w:tcPr/>
          <w:p>
            <w:pPr>
              <w:pStyle w:val="Compact"/>
            </w:pPr>
            <w:r>
              <w:t xml:space="preserve">+0.28 (3.34; 6/6)</w:t>
            </w:r>
          </w:p>
        </w:tc>
        <w:tc>
          <w:tcPr/>
          <w:p>
            <w:pPr>
              <w:pStyle w:val="Compact"/>
            </w:pPr>
            <w:r>
              <w:t xml:space="preserve">+0.19 (6/6)</w:t>
            </w:r>
          </w:p>
        </w:tc>
        <w:tc>
          <w:tcPr/>
          <w:p>
            <w:pPr>
              <w:pStyle w:val="Compact"/>
            </w:pPr>
            <w:r>
              <w:t xml:space="preserve">+0.18 (4/6)</w:t>
            </w:r>
          </w:p>
        </w:tc>
        <w:tc>
          <w:tcPr/>
          <w:p>
            <w:pPr>
              <w:pStyle w:val="Compact"/>
            </w:pPr>
            <w:r>
              <w:t xml:space="preserve">+0.26 (3/6)</w:t>
            </w:r>
          </w:p>
        </w:tc>
      </w:tr>
      <w:tr>
        <w:tc>
          <w:tcPr/>
          <w:p>
            <w:pPr>
              <w:pStyle w:val="Compact"/>
            </w:pPr>
            <w:r>
              <w:t xml:space="preserve">20</w:t>
            </w:r>
          </w:p>
        </w:tc>
        <w:tc>
          <w:tcPr/>
          <w:p>
            <w:pPr>
              <w:pStyle w:val="Compact"/>
            </w:pPr>
            <w:r>
              <w:t xml:space="preserve">1,139,422-1,168,950</w:t>
            </w:r>
          </w:p>
        </w:tc>
        <w:tc>
          <w:tcPr/>
          <w:p>
            <w:pPr>
              <w:pStyle w:val="Compact"/>
            </w:pPr>
            <w:r>
              <w:t xml:space="preserve">97.72</w:t>
            </w:r>
          </w:p>
        </w:tc>
        <w:tc>
          <w:tcPr/>
          <w:p>
            <w:pPr>
              <w:pStyle w:val="Compact"/>
            </w:pPr>
            <w:r>
              <w:rPr>
                <w:b/>
                <w:bCs/>
              </w:rPr>
              <w:t xml:space="preserve">97.91</w:t>
            </w:r>
          </w:p>
        </w:tc>
        <w:tc>
          <w:tcPr/>
          <w:p>
            <w:pPr>
              <w:pStyle w:val="Compact"/>
            </w:pPr>
            <w:r>
              <w:t xml:space="preserve">+0.18 (2.79; 6/6)</w:t>
            </w:r>
          </w:p>
        </w:tc>
        <w:tc>
          <w:tcPr/>
          <w:p>
            <w:pPr>
              <w:pStyle w:val="Compact"/>
            </w:pPr>
            <w:r>
              <w:t xml:space="preserve">+0.21 (2.77; 6/6)</w:t>
            </w:r>
          </w:p>
        </w:tc>
        <w:tc>
          <w:tcPr/>
          <w:p>
            <w:pPr>
              <w:pStyle w:val="Compact"/>
            </w:pPr>
            <w:r>
              <w:t xml:space="preserve">+0.20 (1.62; 5/6)</w:t>
            </w:r>
          </w:p>
        </w:tc>
        <w:tc>
          <w:tcPr/>
          <w:p>
            <w:pPr>
              <w:pStyle w:val="Compact"/>
            </w:pPr>
            <w:r>
              <w:t xml:space="preserve">+0.16 (6/6)</w:t>
            </w:r>
          </w:p>
        </w:tc>
        <w:tc>
          <w:tcPr/>
          <w:p>
            <w:pPr>
              <w:pStyle w:val="Compact"/>
            </w:pPr>
            <w:r>
              <w:t xml:space="preserve">+0.28 (5/6)</w:t>
            </w:r>
          </w:p>
        </w:tc>
        <w:tc>
          <w:tcPr/>
          <w:p>
            <w:pPr>
              <w:pStyle w:val="Compact"/>
            </w:pPr>
            <w:r>
              <w:t xml:space="preserve">+0.48 (4/6)</w:t>
            </w:r>
          </w:p>
        </w:tc>
      </w:tr>
      <w:tr>
        <w:tc>
          <w:tcPr/>
          <w:p>
            <w:pPr>
              <w:pStyle w:val="Compact"/>
            </w:pPr>
            <w:r>
              <w:t xml:space="preserve">10</w:t>
            </w:r>
          </w:p>
        </w:tc>
        <w:tc>
          <w:tcPr/>
          <w:p>
            <w:pPr>
              <w:pStyle w:val="Compact"/>
            </w:pPr>
            <w:r>
              <w:t xml:space="preserve">2,555,483-2,586,705</w:t>
            </w:r>
          </w:p>
        </w:tc>
        <w:tc>
          <w:tcPr/>
          <w:p>
            <w:pPr>
              <w:pStyle w:val="Compact"/>
            </w:pPr>
            <w:r>
              <w:t xml:space="preserve">98.21</w:t>
            </w:r>
          </w:p>
        </w:tc>
        <w:tc>
          <w:tcPr/>
          <w:p>
            <w:pPr>
              <w:pStyle w:val="Compact"/>
            </w:pPr>
            <w:r>
              <w:rPr>
                <w:b/>
                <w:bCs/>
              </w:rPr>
              <w:t xml:space="preserve">98.42</w:t>
            </w:r>
          </w:p>
        </w:tc>
        <w:tc>
          <w:tcPr/>
          <w:p>
            <w:pPr>
              <w:pStyle w:val="Compact"/>
            </w:pPr>
            <w:r>
              <w:t xml:space="preserve">+0.21 (3.90; 6/6)</w:t>
            </w:r>
          </w:p>
        </w:tc>
        <w:tc>
          <w:tcPr/>
          <w:p>
            <w:pPr>
              <w:pStyle w:val="Compact"/>
            </w:pPr>
            <w:r>
              <w:t xml:space="preserve">+0.23 (4.10; 6/6)</w:t>
            </w:r>
          </w:p>
        </w:tc>
        <w:tc>
          <w:tcPr/>
          <w:p>
            <w:pPr>
              <w:pStyle w:val="Compact"/>
            </w:pPr>
            <w:r>
              <w:t xml:space="preserve">+0.32 (2.51; 6/6)</w:t>
            </w:r>
          </w:p>
        </w:tc>
        <w:tc>
          <w:tcPr/>
          <w:p>
            <w:pPr>
              <w:pStyle w:val="Compact"/>
            </w:pPr>
            <w:r>
              <w:t xml:space="preserve">+0.20 (6/6)</w:t>
            </w:r>
          </w:p>
        </w:tc>
        <w:tc>
          <w:tcPr/>
          <w:p>
            <w:pPr>
              <w:pStyle w:val="Compact"/>
            </w:pPr>
            <w:r>
              <w:t xml:space="preserve">+0.24 (5/6)</w:t>
            </w:r>
          </w:p>
        </w:tc>
        <w:tc>
          <w:tcPr/>
          <w:p>
            <w:pPr>
              <w:pStyle w:val="Compact"/>
            </w:pPr>
            <w:r>
              <w:t xml:space="preserve">+0.41 (6/6)</w:t>
            </w:r>
          </w:p>
        </w:tc>
      </w:tr>
      <w:tr>
        <w:tc>
          <w:tcPr/>
          <w:p>
            <w:pPr>
              <w:pStyle w:val="Compact"/>
            </w:pPr>
            <w:r>
              <w:t xml:space="preserve">1</w:t>
            </w:r>
          </w:p>
        </w:tc>
        <w:tc>
          <w:tcPr/>
          <w:p>
            <w:pPr>
              <w:pStyle w:val="Compact"/>
            </w:pPr>
            <w:r>
              <w:t xml:space="preserve">2,216,536-2,263,597</w:t>
            </w:r>
          </w:p>
        </w:tc>
        <w:tc>
          <w:tcPr/>
          <w:p>
            <w:pPr>
              <w:pStyle w:val="Compact"/>
            </w:pPr>
            <w:r>
              <w:t xml:space="preserve">98.20</w:t>
            </w:r>
          </w:p>
        </w:tc>
        <w:tc>
          <w:tcPr/>
          <w:p>
            <w:pPr>
              <w:pStyle w:val="Compact"/>
            </w:pPr>
            <w:r>
              <w:rPr>
                <w:b/>
                <w:bCs/>
              </w:rPr>
              <w:t xml:space="preserve">98.46</w:t>
            </w:r>
          </w:p>
        </w:tc>
        <w:tc>
          <w:tcPr/>
          <w:p>
            <w:pPr>
              <w:pStyle w:val="Compact"/>
            </w:pPr>
            <w:r>
              <w:t xml:space="preserve">+0.26 (3.20; 6/6)</w:t>
            </w:r>
          </w:p>
        </w:tc>
        <w:tc>
          <w:tcPr/>
          <w:p>
            <w:pPr>
              <w:pStyle w:val="Compact"/>
            </w:pPr>
            <w:r>
              <w:t xml:space="preserve">+0.26 (3.33; 6/6)</w:t>
            </w:r>
          </w:p>
        </w:tc>
        <w:tc>
          <w:tcPr/>
          <w:p>
            <w:pPr>
              <w:pStyle w:val="Compact"/>
            </w:pPr>
            <w:r>
              <w:t xml:space="preserve">+0.38 (2.92; 6/6)</w:t>
            </w:r>
          </w:p>
        </w:tc>
        <w:tc>
          <w:tcPr/>
          <w:p>
            <w:pPr>
              <w:pStyle w:val="Compact"/>
            </w:pPr>
            <w:r>
              <w:t xml:space="preserve">+0.23 (6/6)</w:t>
            </w:r>
          </w:p>
        </w:tc>
        <w:tc>
          <w:tcPr/>
          <w:p>
            <w:pPr>
              <w:pStyle w:val="Compact"/>
            </w:pPr>
            <w:r>
              <w:t xml:space="preserve">+0.37 (6/6)</w:t>
            </w:r>
          </w:p>
        </w:tc>
        <w:tc>
          <w:tcPr/>
          <w:p>
            <w:pPr>
              <w:pStyle w:val="Compact"/>
            </w:pPr>
            <w:r>
              <w:t xml:space="preserve">+0.66 (6/6)</w:t>
            </w:r>
          </w:p>
        </w:tc>
      </w:tr>
      <w:tr>
        <w:tc>
          <w:tcPr/>
          <w:p>
            <w:pPr>
              <w:pStyle w:val="Compact"/>
            </w:pPr>
            <w:r>
              <w:t xml:space="preserve">Pooled (22 + 20 + 10 + 1, site-weighted)</w:t>
            </w:r>
          </w:p>
        </w:tc>
        <w:tc>
          <w:tcPr/>
          <w:p>
            <w:pPr>
              <w:pStyle w:val="Compact"/>
            </w:pPr>
            <w:r>
              <w:t xml:space="preserve">6,573,691-6,703,394</w:t>
            </w:r>
          </w:p>
        </w:tc>
        <w:tc>
          <w:tcPr/>
          <w:p>
            <w:pPr>
              <w:pStyle w:val="Compact"/>
            </w:pPr>
          </w:p>
        </w:tc>
        <w:tc>
          <w:tcPr/>
          <w:p>
            <w:pPr>
              <w:pStyle w:val="Compact"/>
            </w:pPr>
          </w:p>
        </w:tc>
        <w:tc>
          <w:tcPr/>
          <w:p>
            <w:pPr>
              <w:pStyle w:val="Compact"/>
            </w:pPr>
            <w:r>
              <w:t xml:space="preserve">+0.22 (3.49; 6/6)</w:t>
            </w:r>
          </w:p>
        </w:tc>
        <w:tc>
          <w:tcPr/>
          <w:p>
            <w:pPr>
              <w:pStyle w:val="Compact"/>
            </w:pPr>
            <w:r>
              <w:t xml:space="preserve">+0.23 (3.67; 6/6)</w:t>
            </w:r>
          </w:p>
        </w:tc>
        <w:tc>
          <w:tcPr/>
          <w:p>
            <w:pPr>
              <w:pStyle w:val="Compact"/>
            </w:pPr>
            <w:r>
              <w:t xml:space="preserve">+0.31 (2.61; 6/6)</w:t>
            </w:r>
          </w:p>
        </w:tc>
        <w:tc>
          <w:tcPr/>
          <w:p>
            <w:pPr>
              <w:pStyle w:val="Compact"/>
            </w:pPr>
          </w:p>
        </w:tc>
        <w:tc>
          <w:tcPr/>
          <w:p>
            <w:pPr>
              <w:pStyle w:val="Compact"/>
            </w:pPr>
          </w:p>
        </w:tc>
        <w:tc>
          <w:tcPr/>
          <w:p>
            <w:pPr>
              <w:pStyle w:val="Compact"/>
            </w:pPr>
          </w:p>
        </w:tc>
      </w:tr>
    </w:tbl>
    <w:bookmarkEnd w:id="35"/>
    <w:bookmarkStart w:id="36" w:name="Xc22860bfbaa78523404c5a7b85d14b8fbd22861"/>
    <w:p>
      <w:pPr>
        <w:pStyle w:val="Heading2"/>
      </w:pPr>
      <w:r>
        <w:rPr>
          <w:b/>
          <w:bCs/>
        </w:rPr>
        <w:t xml:space="preserve">Controlled-coverage complement: downsampled GIAB genomes and a 0.5-4</w:t>
      </w:r>
      <m:oMath>
        <m:r>
          <m:rPr>
            <m:sty m:val="p"/>
          </m:rPr>
          <m:t>×</m:t>
        </m:r>
      </m:oMath>
      <w:r>
        <w:rPr>
          <w:b/>
          <w:bCs/>
        </w:rPr>
        <w:t xml:space="preserve"> </w:t>
      </w:r>
      <w:r>
        <w:rPr>
          <w:b/>
          <w:bCs/>
        </w:rPr>
        <w:t xml:space="preserve">sweep</w:t>
      </w:r>
    </w:p>
    <w:p>
      <w:pPr>
        <w:pStyle w:val="FirstParagraph"/>
      </w:pPr>
      <w:r>
        <w:t xml:space="preserve">The capture libraries above are heterogeneous in depth. As a controlled complement we assessed the engine on uniformly downsampled sequencing of the same six Genome in a Bottle (GIAB) reference samples HG002-HG007 (the Ashkenazi and Han Chinese trios), none of which are in the 1000 Genomes Project. This benchmark uses a different panel (the 4,478-haplotype no-trios panel), a different site list and a different metric (per-sample dosage</w:t>
      </w:r>
      <w:r>
        <w:t xml:space="preserve"> </w:t>
      </w:r>
      <m:oMath>
        <m:sSup>
          <m:e>
            <m:r>
              <m:t>R</m:t>
            </m:r>
          </m:e>
          <m:sup>
            <m:r>
              <m:t>2</m:t>
            </m:r>
          </m:sup>
        </m:sSup>
      </m:oMath>
      <w:r>
        <w:t xml:space="preserve">) from Tables 1-1d, and its values are not comparable with the concordances above. The public NovaSeq PCR-free 30</w:t>
      </w:r>
      <m:oMath>
        <m:r>
          <m:rPr>
            <m:sty m:val="p"/>
          </m:rPr>
          <m:t>×</m:t>
        </m:r>
      </m:oMath>
      <w:r>
        <w:t xml:space="preserve"> </w:t>
      </w:r>
      <w:r>
        <w:t xml:space="preserve">whole-genome alignments (brain-genomics-public, GRCh38) were downsampled to ~1.8</w:t>
      </w:r>
      <m:oMath>
        <m:r>
          <m:rPr>
            <m:sty m:val="p"/>
          </m:rPr>
          <m:t>×</m:t>
        </m:r>
      </m:oMath>
      <w:r>
        <w:t xml:space="preserve"> </w:t>
      </w:r>
      <w:r>
        <w:t xml:space="preserve">over chromosome 22; each sample’s genotype likelihoods were computed from the aligned reads at the reference-panel sites and imputed against the 4,478-haplotype (2,239-sample) no-trios 1000 Genomes panel, the same leak-free panel used for the trio phasing benchmark below, from which these trio individuals were removed. Per-sample dosage</w:t>
      </w:r>
      <w:r>
        <w:t xml:space="preserve"> </w:t>
      </w:r>
      <m:oMath>
        <m:sSup>
          <m:e>
            <m:r>
              <m:t>R</m:t>
            </m:r>
          </m:e>
          <m:sup>
            <m:r>
              <m:t>2</m:t>
            </m:r>
          </m:sup>
        </m:sSup>
      </m:oMath>
      <w:r>
        <w:t xml:space="preserve"> </w:t>
      </w:r>
      <w:r>
        <w:t xml:space="preserve">was computed against the GIAB v4.2.1 high-confidence truth over the high-confidence variant sites, on the identical set of sites imputed by both tools, and compared to GLIMPSE2</w:t>
      </w:r>
      <w:r>
        <w:rPr>
          <w:vertAlign w:val="superscript"/>
        </w:rPr>
        <w:t xml:space="preserve">15</w:t>
      </w:r>
      <w:r>
        <w:t xml:space="preserve">. The engine (Methods) imputes each sample independently with band-mode recombination, founder-HMM phasing and rare-carrier augmentation at every Gibbs iteration.</w:t>
      </w:r>
    </w:p>
    <w:p>
      <w:pPr>
        <w:pStyle w:val="BodyText"/>
      </w:pPr>
      <w:r>
        <w:t xml:space="preserve">On the GIAB samples Selphi 2 exceeds GLIMPSE2 in per-sample</w:t>
      </w:r>
      <w:r>
        <w:t xml:space="preserve"> </w:t>
      </w:r>
      <m:oMath>
        <m:sSup>
          <m:e>
            <m:r>
              <m:t>R</m:t>
            </m:r>
          </m:e>
          <m:sup>
            <m:r>
              <m:t>2</m:t>
            </m:r>
          </m:sup>
        </m:sSup>
      </m:oMath>
      <w:r>
        <w:t xml:space="preserve"> </w:t>
      </w:r>
      <w: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t xml:space="preserve"> </w:t>
      </w:r>
      <w:r>
        <w:t xml:space="preserve">= +0.0037, on the identical site set for both tools; Table 2).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t xml:space="preserve"> </w:t>
      </w:r>
      <m:oMath>
        <m:sSup>
          <m:e>
            <m:r>
              <m:t>R</m:t>
            </m:r>
          </m:e>
          <m:sup>
            <m:r>
              <m:t>2</m:t>
            </m:r>
          </m:sup>
        </m:sSup>
      </m:oMath>
      <w:r>
        <w:t xml:space="preserve"> </w:t>
      </w:r>
      <w:r>
        <w:t xml:space="preserve">at this single low coverage (GLIMPSE2 marginally ahead), consistent with the chromosome-22 rare stratum of the like-for-like capture-library arm, where the mean favours Selphi 2 but the per-sample ordering is not consistent (Table 1c); the engine’s default now applies band-mode recombination (Methods), which raises the Li-Stephens recombination rate to GLIMPSE2’s reference value at rare sites only and places Selphi 2 ahead of GLIMPSE2 on the ultra-rare bin from 1</w:t>
      </w:r>
      <m:oMath>
        <m:r>
          <m:rPr>
            <m:sty m:val="p"/>
          </m:rPr>
          <m:t>×</m:t>
        </m:r>
      </m:oMath>
      <w:r>
        <w:t xml:space="preserve"> </w:t>
      </w:r>
      <w:r>
        <w:t xml:space="preserve">upward across the matched coverage sweep (Table 2b, Figure 3d). Because each sample is imputed independently against the panel, the engine’s natural mode is one sample at a time: a single chromosome-22 sample completes in approximately 2.0 minutes on 16 cores at ≈3.3 GB of peak memory, versus approximately 5.4 minutes for GLIMPSE2’s per-sample phasing, about 2.7</w:t>
      </w:r>
      <m:oMath>
        <m:r>
          <m:rPr>
            <m:sty m:val="p"/>
          </m:rPr>
          <m:t>×</m:t>
        </m:r>
      </m:oMath>
      <w:r>
        <w:t xml:space="preserve"> </w:t>
      </w:r>
      <w:r>
        <w:t xml:space="preserve">faster, with the full reference panel never resident (GLIMPSE2’s one-time reference-splitting step, analogous to building Selphi 2’s SRP, is excluded from both). A coverage sweep from 0.5</w:t>
      </w:r>
      <m:oMath>
        <m:r>
          <m:rPr>
            <m:sty m:val="p"/>
          </m:rPr>
          <m:t>×</m:t>
        </m:r>
      </m:oMath>
      <w:r>
        <w:t xml:space="preserve"> </w:t>
      </w:r>
      <w:r>
        <w:t xml:space="preserve">to 4</w:t>
      </w:r>
      <m:oMath>
        <m:r>
          <m:rPr>
            <m:sty m:val="p"/>
          </m:rPr>
          <m:t>×</m:t>
        </m:r>
      </m:oMath>
      <w:r>
        <w:t xml:space="preserve"> </w:t>
      </w:r>
      <w:r>
        <w:t xml:space="preserve">and a three-way comparison that adds QUILT2</w:t>
      </w:r>
      <w:r>
        <w:rPr>
          <w:vertAlign w:val="superscript"/>
        </w:rPr>
        <w:t xml:space="preserve">16</w:t>
      </w:r>
      <w:r>
        <w:t xml:space="preserve"> </w:t>
      </w:r>
      <w:r>
        <w:t xml:space="preserve">as a second low-coverage baseline are reported below (Table 2b; per-sample and coverage-swept detail in Supplementary Table S4).</w:t>
      </w:r>
    </w:p>
    <w:p>
      <w:pPr>
        <w:pStyle w:val="BodyText"/>
      </w:pPr>
      <w:r>
        <w:rPr>
          <w:b/>
          <w:bCs/>
        </w:rPr>
        <w:t xml:space="preserve">Table 2. Low-coverage sequencing imputation accuracy and efficiency versus GLIMPSE2.</w:t>
      </w:r>
      <w:r>
        <w:t xml:space="preserve"> </w:t>
      </w:r>
      <w:r>
        <w:t xml:space="preserve">GIAB reference samples HG002-HG007 (six samples, the Ashkenazi and Han Chinese trios; none in the 1000 Genomes Project): the public NovaSeq PCR-free 30</w:t>
      </w:r>
      <m:oMath>
        <m:r>
          <m:rPr>
            <m:sty m:val="p"/>
          </m:rPr>
          <m:t>×</m:t>
        </m:r>
      </m:oMath>
      <w:r>
        <w:t xml:space="preserve"> </w:t>
      </w:r>
      <w:r>
        <w:t xml:space="preserve">WGS alignments (brain-genomics-public, GRCh38) were downsampled to ~1.8</w:t>
      </w:r>
      <m:oMath>
        <m:r>
          <m:rPr>
            <m:sty m:val="p"/>
          </m:rPr>
          <m:t>×</m:t>
        </m:r>
      </m:oMath>
      <w:r>
        <w:t xml:space="preserve"> </w:t>
      </w:r>
      <w: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t xml:space="preserve"> </w:t>
      </w:r>
      <m:oMath>
        <m:sSup>
          <m:e>
            <m:r>
              <m:t>R</m:t>
            </m:r>
          </m:e>
          <m:sup>
            <m:r>
              <m:t>2</m:t>
            </m:r>
          </m:sup>
        </m:sSup>
      </m:oMath>
      <w:r>
        <w:t xml:space="preserve"> </w:t>
      </w:r>
      <w: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 Selphi 2’s ≈3.3 GB here against 5.0 GB in Table 1b reflects the SNP-only 4,478-haplotype panel against the 1,070,399-site panel with 140,565 indels.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Sample</w:t>
            </w:r>
          </w:p>
        </w:tc>
        <w:tc>
          <w:tcPr/>
          <w:p>
            <w:pPr>
              <w:pStyle w:val="Compact"/>
            </w:pPr>
            <w:r>
              <w:t xml:space="preserve">Selphi 2</w:t>
            </w:r>
            <w:r>
              <w:t xml:space="preserve"> </w:t>
            </w:r>
            <m:oMath>
              <m:sSup>
                <m:e>
                  <m:r>
                    <m:t>R</m:t>
                  </m:r>
                </m:e>
                <m:sup>
                  <m:r>
                    <m:t>2</m:t>
                  </m:r>
                </m:sup>
              </m:sSup>
            </m:oMath>
          </w:p>
        </w:tc>
        <w:tc>
          <w:tcPr/>
          <w:p>
            <w:pPr>
              <w:pStyle w:val="Compact"/>
            </w:pPr>
            <w:r>
              <w:t xml:space="preserve">GLIMPSE2</w:t>
            </w:r>
            <w:r>
              <w:t xml:space="preserve"> </w:t>
            </w:r>
            <m:oMath>
              <m:sSup>
                <m:e>
                  <m:r>
                    <m:t>R</m:t>
                  </m:r>
                </m:e>
                <m:sup>
                  <m:r>
                    <m:t>2</m:t>
                  </m:r>
                </m:sup>
              </m:sSup>
            </m:oMath>
          </w:p>
        </w:tc>
        <w:tc>
          <w:tcPr/>
          <w:p>
            <w:pPr>
              <w:pStyle w:val="Compact"/>
            </w:pPr>
            <m:oMath>
              <m:r>
                <m:rPr>
                  <m:sty m:val="p"/>
                </m:rPr>
                <m:t>Δ</m:t>
              </m:r>
            </m:oMath>
          </w:p>
        </w:tc>
      </w:tr>
      <w:tr>
        <w:tc>
          <w:tcPr/>
          <w:p>
            <w:pPr>
              <w:pStyle w:val="Compact"/>
            </w:pPr>
            <w:r>
              <w:t xml:space="preserve">HG002</w:t>
            </w:r>
          </w:p>
        </w:tc>
        <w:tc>
          <w:tcPr/>
          <w:p>
            <w:pPr>
              <w:pStyle w:val="Compact"/>
            </w:pPr>
            <w:r>
              <w:t xml:space="preserve">0.9457</w:t>
            </w:r>
          </w:p>
        </w:tc>
        <w:tc>
          <w:tcPr/>
          <w:p>
            <w:pPr>
              <w:pStyle w:val="Compact"/>
            </w:pPr>
            <w:r>
              <w:t xml:space="preserve">0.9421</w:t>
            </w:r>
          </w:p>
        </w:tc>
        <w:tc>
          <w:tcPr/>
          <w:p>
            <w:pPr>
              <w:pStyle w:val="Compact"/>
            </w:pPr>
            <w:r>
              <w:t xml:space="preserve">+0.0036</w:t>
            </w:r>
          </w:p>
        </w:tc>
      </w:tr>
      <w:tr>
        <w:tc>
          <w:tcPr/>
          <w:p>
            <w:pPr>
              <w:pStyle w:val="Compact"/>
            </w:pPr>
            <w:r>
              <w:t xml:space="preserve">HG003</w:t>
            </w:r>
          </w:p>
        </w:tc>
        <w:tc>
          <w:tcPr/>
          <w:p>
            <w:pPr>
              <w:pStyle w:val="Compact"/>
            </w:pPr>
            <w:r>
              <w:t xml:space="preserve">0.9515</w:t>
            </w:r>
          </w:p>
        </w:tc>
        <w:tc>
          <w:tcPr/>
          <w:p>
            <w:pPr>
              <w:pStyle w:val="Compact"/>
            </w:pPr>
            <w:r>
              <w:t xml:space="preserve">0.9459</w:t>
            </w:r>
          </w:p>
        </w:tc>
        <w:tc>
          <w:tcPr/>
          <w:p>
            <w:pPr>
              <w:pStyle w:val="Compact"/>
            </w:pPr>
            <w:r>
              <w:t xml:space="preserve">+0.0056</w:t>
            </w:r>
          </w:p>
        </w:tc>
      </w:tr>
      <w:tr>
        <w:tc>
          <w:tcPr/>
          <w:p>
            <w:pPr>
              <w:pStyle w:val="Compact"/>
            </w:pPr>
            <w:r>
              <w:t xml:space="preserve">HG004</w:t>
            </w:r>
          </w:p>
        </w:tc>
        <w:tc>
          <w:tcPr/>
          <w:p>
            <w:pPr>
              <w:pStyle w:val="Compact"/>
            </w:pPr>
            <w:r>
              <w:t xml:space="preserve">0.9479</w:t>
            </w:r>
          </w:p>
        </w:tc>
        <w:tc>
          <w:tcPr/>
          <w:p>
            <w:pPr>
              <w:pStyle w:val="Compact"/>
            </w:pPr>
            <w:r>
              <w:t xml:space="preserve">0.9435</w:t>
            </w:r>
          </w:p>
        </w:tc>
        <w:tc>
          <w:tcPr/>
          <w:p>
            <w:pPr>
              <w:pStyle w:val="Compact"/>
            </w:pPr>
            <w:r>
              <w:t xml:space="preserve">+0.0044</w:t>
            </w:r>
          </w:p>
        </w:tc>
      </w:tr>
      <w:tr>
        <w:tc>
          <w:tcPr/>
          <w:p>
            <w:pPr>
              <w:pStyle w:val="Compact"/>
            </w:pPr>
            <w:r>
              <w:t xml:space="preserve">HG005</w:t>
            </w:r>
          </w:p>
        </w:tc>
        <w:tc>
          <w:tcPr/>
          <w:p>
            <w:pPr>
              <w:pStyle w:val="Compact"/>
            </w:pPr>
            <w:r>
              <w:t xml:space="preserve">0.9455</w:t>
            </w:r>
          </w:p>
        </w:tc>
        <w:tc>
          <w:tcPr/>
          <w:p>
            <w:pPr>
              <w:pStyle w:val="Compact"/>
            </w:pPr>
            <w:r>
              <w:t xml:space="preserve">0.9416</w:t>
            </w:r>
          </w:p>
        </w:tc>
        <w:tc>
          <w:tcPr/>
          <w:p>
            <w:pPr>
              <w:pStyle w:val="Compact"/>
            </w:pPr>
            <w:r>
              <w:t xml:space="preserve">+0.0039</w:t>
            </w:r>
          </w:p>
        </w:tc>
      </w:tr>
      <w:tr>
        <w:tc>
          <w:tcPr/>
          <w:p>
            <w:pPr>
              <w:pStyle w:val="Compact"/>
            </w:pPr>
            <w:r>
              <w:t xml:space="preserve">HG006</w:t>
            </w:r>
          </w:p>
        </w:tc>
        <w:tc>
          <w:tcPr/>
          <w:p>
            <w:pPr>
              <w:pStyle w:val="Compact"/>
            </w:pPr>
            <w:r>
              <w:t xml:space="preserve">0.9547</w:t>
            </w:r>
          </w:p>
        </w:tc>
        <w:tc>
          <w:tcPr/>
          <w:p>
            <w:pPr>
              <w:pStyle w:val="Compact"/>
            </w:pPr>
            <w:r>
              <w:t xml:space="preserve">0.9496</w:t>
            </w:r>
          </w:p>
        </w:tc>
        <w:tc>
          <w:tcPr/>
          <w:p>
            <w:pPr>
              <w:pStyle w:val="Compact"/>
            </w:pPr>
            <w:r>
              <w:t xml:space="preserve">+0.0051</w:t>
            </w:r>
          </w:p>
        </w:tc>
      </w:tr>
      <w:tr>
        <w:tc>
          <w:tcPr/>
          <w:p>
            <w:pPr>
              <w:pStyle w:val="Compact"/>
            </w:pPr>
            <w:r>
              <w:t xml:space="preserve">HG007</w:t>
            </w:r>
          </w:p>
        </w:tc>
        <w:tc>
          <w:tcPr/>
          <w:p>
            <w:pPr>
              <w:pStyle w:val="Compact"/>
            </w:pPr>
            <w:r>
              <w:t xml:space="preserve">0.9502</w:t>
            </w:r>
          </w:p>
        </w:tc>
        <w:tc>
          <w:tcPr/>
          <w:p>
            <w:pPr>
              <w:pStyle w:val="Compact"/>
            </w:pPr>
            <w:r>
              <w:t xml:space="preserve">0.9504</w:t>
            </w:r>
          </w:p>
        </w:tc>
        <w:tc>
          <w:tcPr/>
          <w:p>
            <w:pPr>
              <w:pStyle w:val="Compact"/>
            </w:pPr>
            <w:r>
              <w:t xml:space="preserve">-0.0002</w:t>
            </w:r>
          </w:p>
        </w:tc>
      </w:tr>
      <w:tr>
        <w:tc>
          <w:tcPr/>
          <w:p>
            <w:pPr>
              <w:pStyle w:val="Compact"/>
            </w:pPr>
            <w:r>
              <w:rPr>
                <w:b/>
                <w:bCs/>
              </w:rPr>
              <w:t xml:space="preserve">Mean</w:t>
            </w:r>
          </w:p>
        </w:tc>
        <w:tc>
          <w:tcPr/>
          <w:p>
            <w:pPr>
              <w:pStyle w:val="Compact"/>
            </w:pPr>
            <w:r>
              <w:rPr>
                <w:b/>
                <w:bCs/>
              </w:rPr>
              <w:t xml:space="preserve">0.9493</w:t>
            </w:r>
          </w:p>
        </w:tc>
        <w:tc>
          <w:tcPr/>
          <w:p>
            <w:pPr>
              <w:pStyle w:val="Compact"/>
            </w:pPr>
            <w:r>
              <w:rPr>
                <w:b/>
                <w:bCs/>
              </w:rPr>
              <w:t xml:space="preserve">0.9455</w:t>
            </w:r>
          </w:p>
        </w:tc>
        <w:tc>
          <w:tcPr/>
          <w:p>
            <w:pPr>
              <w:pStyle w:val="Compact"/>
            </w:pPr>
            <w:r>
              <w:rPr>
                <w:b/>
                <w:bCs/>
              </w:rPr>
              <w:t xml:space="preserve">+0.0037</w:t>
            </w:r>
          </w:p>
        </w:tc>
      </w:tr>
    </w:tbl>
    <w:p>
      <w:pPr>
        <w:pStyle w:val="BodyText"/>
      </w:pPr>
      <w:r>
        <w:t xml:space="preserve">To position the engine against both established low-coverage tools across a range of depths, we ran a three-way comparison, Selphi 2 versus GLIMPSE2</w:t>
      </w:r>
      <w:r>
        <w:rPr>
          <w:vertAlign w:val="superscript"/>
        </w:rPr>
        <w:t xml:space="preserve">15</w:t>
      </w:r>
      <w:r>
        <w:t xml:space="preserve"> </w:t>
      </w:r>
      <w:r>
        <w:t xml:space="preserve">and QUILT2</w:t>
      </w:r>
      <w:r>
        <w:rPr>
          <w:vertAlign w:val="superscript"/>
        </w:rPr>
        <w:t xml:space="preserve">16</w:t>
      </w:r>
      <w:r>
        <w:t xml:space="preserve">, on the same GIAB samples downsampled to 0.5</w:t>
      </w:r>
      <m:oMath>
        <m:r>
          <m:rPr>
            <m:sty m:val="p"/>
          </m:rPr>
          <m:t>×</m:t>
        </m:r>
      </m:oMath>
      <w:r>
        <w:t xml:space="preserve">, 1</w:t>
      </w:r>
      <m:oMath>
        <m:r>
          <m:rPr>
            <m:sty m:val="p"/>
          </m:rPr>
          <m:t>×</m:t>
        </m:r>
      </m:oMath>
      <w:r>
        <w:t xml:space="preserve">, 2</w:t>
      </w:r>
      <m:oMath>
        <m:r>
          <m:rPr>
            <m:sty m:val="p"/>
          </m:rPr>
          <m:t>×</m:t>
        </m:r>
      </m:oMath>
      <w:r>
        <w:t xml:space="preserve"> </w:t>
      </w:r>
      <w:r>
        <w:t xml:space="preserve">and 4</w:t>
      </w:r>
      <m:oMath>
        <m:r>
          <m:rPr>
            <m:sty m:val="p"/>
          </m:rPr>
          <m:t>×</m:t>
        </m:r>
      </m:oMath>
      <w:r>
        <w:t xml:space="preserve"> </w:t>
      </w:r>
      <w: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t xml:space="preserve"> </w:t>
      </w:r>
      <m:oMath>
        <m:sSup>
          <m:e>
            <m:r>
              <m:t>R</m:t>
            </m:r>
          </m:e>
          <m:sup>
            <m:r>
              <m:t>2</m:t>
            </m:r>
          </m:sup>
        </m:sSup>
      </m:oMath>
      <w:r>
        <w:t xml:space="preserve"> </w:t>
      </w:r>
      <w:r>
        <w:t xml:space="preserve">at every coverage (0.9924, 0.9952, 0.9971 and 0.9978 versus GLIMPSE2’s 0.9916, 0.9945, 0.9967 and 0.9975 and QUILT2’s 0.9919, 0.9944, 0.9968 and 0.9973 at 0.5</w:t>
      </w:r>
      <m:oMath>
        <m:r>
          <m:rPr>
            <m:sty m:val="p"/>
          </m:rPr>
          <m:t>×</m:t>
        </m:r>
      </m:oMath>
      <w:r>
        <w:t xml:space="preserve">, 1</w:t>
      </w:r>
      <m:oMath>
        <m:r>
          <m:rPr>
            <m:sty m:val="p"/>
          </m:rPr>
          <m:t>×</m:t>
        </m:r>
      </m:oMath>
      <w:r>
        <w:t xml:space="preserve">, 2</w:t>
      </w:r>
      <m:oMath>
        <m:r>
          <m:rPr>
            <m:sty m:val="p"/>
          </m:rPr>
          <m:t>×</m:t>
        </m:r>
      </m:oMath>
      <w:r>
        <w:t xml:space="preserve"> </w:t>
      </w:r>
      <w:r>
        <w:t xml:space="preserve">and 4</w:t>
      </w:r>
      <m:oMath>
        <m:r>
          <m:rPr>
            <m:sty m:val="p"/>
          </m:rPr>
          <m:t>×</m:t>
        </m:r>
      </m:oMath>
      <w:r>
        <w:t xml:space="preserve">; Table 2b).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exceeds GLIMPSE2 from 1</w:t>
      </w:r>
      <m:oMath>
        <m:r>
          <m:rPr>
            <m:sty m:val="p"/>
          </m:rPr>
          <m:t>×</m:t>
        </m:r>
      </m:oMath>
      <w:r>
        <w:t xml:space="preserve"> </w:t>
      </w:r>
      <w:r>
        <w:t xml:space="preserve">upward: ahead by 0.0030</w:t>
      </w:r>
      <w:r>
        <w:t xml:space="preserve"> </w:t>
      </w:r>
      <m:oMath>
        <m:sSup>
          <m:e>
            <m:r>
              <m:t>R</m:t>
            </m:r>
          </m:e>
          <m:sup>
            <m:r>
              <m:t>2</m:t>
            </m:r>
          </m:sup>
        </m:sSup>
      </m:oMath>
      <w:r>
        <w:t xml:space="preserve"> </w:t>
      </w:r>
      <w:r>
        <w:t xml:space="preserve">at 1</w:t>
      </w:r>
      <m:oMath>
        <m:r>
          <m:rPr>
            <m:sty m:val="p"/>
          </m:rPr>
          <m:t>×</m:t>
        </m:r>
      </m:oMath>
      <w:r>
        <w:t xml:space="preserve"> </w:t>
      </w:r>
      <w:r>
        <w:t xml:space="preserve">(0.9282 versus 0.9252), 0.0030 at 2</w:t>
      </w:r>
      <m:oMath>
        <m:r>
          <m:rPr>
            <m:sty m:val="p"/>
          </m:rPr>
          <m:t>×</m:t>
        </m:r>
      </m:oMath>
      <w:r>
        <w:t xml:space="preserve"> </w:t>
      </w:r>
      <w:r>
        <w:t xml:space="preserve">(0.9525 versus 0.9495) and 0.0067 at 4</w:t>
      </w:r>
      <m:oMath>
        <m:r>
          <m:rPr>
            <m:sty m:val="p"/>
          </m:rPr>
          <m:t>×</m:t>
        </m:r>
      </m:oMath>
      <w:r>
        <w:t xml:space="preserve"> </w:t>
      </w:r>
      <w:r>
        <w:t xml:space="preserve">(0.9705 versus 0.9638), with GLIMPSE2 marginally ahead only at the read-starved 0.5</w:t>
      </w:r>
      <m:oMath>
        <m:r>
          <m:rPr>
            <m:sty m:val="p"/>
          </m:rPr>
          <m:t>×</m:t>
        </m:r>
      </m:oMath>
      <w:r>
        <w:t xml:space="preserve"> </w:t>
      </w:r>
      <w:r>
        <w:t xml:space="preserve">(0.8994 versus 0.9023); Selphi 2 leads QUILT2 at every coverage and ties or leads every other MAF bin (Figure 3d). The salient difference at this scale is speed. Imputing one sample over the whole of chromosome 22 (1</w:t>
      </w:r>
      <m:oMath>
        <m:r>
          <m:rPr>
            <m:sty m:val="p"/>
          </m:rPr>
          <m:t>×</m:t>
        </m:r>
      </m:oMath>
      <w:r>
        <w:t xml:space="preserve"> </w:t>
      </w:r>
      <w: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t xml:space="preserve"> </w:t>
      </w:r>
      <w:r>
        <w:t xml:space="preserve">faster than GLIMPSE2 and 15</w:t>
      </w:r>
      <m:oMath>
        <m:r>
          <m:rPr>
            <m:sty m:val="p"/>
          </m:rPr>
          <m:t>×</m:t>
        </m:r>
      </m:oMath>
      <w:r>
        <w:t xml:space="preserve"> </w:t>
      </w:r>
      <w:r>
        <w:t xml:space="preserve">faster than QUILT2 (Figure 4a);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t xml:space="preserve"> </w:t>
      </w:r>
      <w:r>
        <w:t xml:space="preserve">depth evaluated here, a regime outside the range we tested. Across the two datasets and two metrics the picture at the rarest frequencies is the same: on chromosome 22 no consistent per-sample ordering against GLIMPSE2, whether at ~1.8</w:t>
      </w:r>
      <m:oMath>
        <m:r>
          <m:rPr>
            <m:sty m:val="p"/>
          </m:rPr>
          <m:t>×</m:t>
        </m:r>
      </m:oMath>
      <w:r>
        <w:t xml:space="preserve"> </w:t>
      </w:r>
      <w:r>
        <w:t xml:space="preserve">in</w:t>
      </w:r>
      <w:r>
        <w:t xml:space="preserve"> </w:t>
      </w:r>
      <m:oMath>
        <m:sSup>
          <m:e>
            <m:r>
              <m:t>R</m:t>
            </m:r>
          </m:e>
          <m:sup>
            <m:r>
              <m:t>2</m:t>
            </m:r>
          </m:sup>
        </m:sSup>
      </m:oMath>
      <w:r>
        <w:t xml:space="preserve"> </w:t>
      </w:r>
      <w:r>
        <w:t xml:space="preserve">or in the like-for-like capture arm in concordance, and Selphi 2 ahead from 1</w:t>
      </w:r>
      <m:oMath>
        <m:r>
          <m:rPr>
            <m:sty m:val="p"/>
          </m:rPr>
          <m:t>×</m:t>
        </m:r>
      </m:oMath>
      <w:r>
        <w:t xml:space="preserve"> </w:t>
      </w:r>
      <w:r>
        <w:t xml:space="preserve">upward in the sweep; on the larger chromosomes 10 and 1 the capture-library rare stratum becomes Selphi 2’s largest and unanimous margin (Table 1d).</w:t>
      </w:r>
    </w:p>
    <w:p>
      <w:pPr>
        <w:pStyle w:val="BodyText"/>
      </w:pPr>
      <w:r>
        <w:rPr>
          <w:b/>
          <w:bCs/>
        </w:rPr>
        <w:t xml:space="preserve">Table 2b. Three-way low-coverage comparison across a coverage sweep.</w:t>
      </w:r>
      <w:r>
        <w:t xml:space="preserve"> </w:t>
      </w:r>
      <w:r>
        <w:t xml:space="preserve">Mean per-sample dosage</w:t>
      </w:r>
      <w:r>
        <w:t xml:space="preserve"> </w:t>
      </w:r>
      <m:oMath>
        <m:sSup>
          <m:e>
            <m:r>
              <m:t>R</m:t>
            </m:r>
          </m:e>
          <m:sup>
            <m:r>
              <m:t>2</m:t>
            </m:r>
          </m:sup>
        </m:sSup>
      </m:oMath>
      <w:r>
        <w:t xml:space="preserve"> </w:t>
      </w:r>
      <w: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t xml:space="preserve"> </w:t>
      </w:r>
      <w:r>
        <w:rPr>
          <w:rStyle w:val="VerbatimChar"/>
        </w:rPr>
        <w:t xml:space="preserve">--lcwgs</w:t>
      </w:r>
      <w:r>
        <w:t xml:space="preserve"> </w:t>
      </w:r>
      <w: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pPr>
      <w:r>
        <w:rPr>
          <w:i/>
          <w:iCs/>
        </w:rPr>
        <w:t xml:space="preserve">Overall per-sample</w:t>
      </w:r>
      <w:r>
        <w:rPr>
          <w:i/>
          <w:iCs/>
        </w:rPr>
        <w:t xml:space="preserve"> </w:t>
      </w:r>
      <m:oMath>
        <m:sSup>
          <m:e>
            <m:r>
              <m:t>R</m:t>
            </m:r>
          </m:e>
          <m:sup>
            <m:r>
              <m:t>2</m:t>
            </m:r>
          </m:sup>
        </m:sSup>
      </m:oMath>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Coverage</w:t>
            </w:r>
          </w:p>
        </w:tc>
        <w:tc>
          <w:tcPr/>
          <w:p>
            <w:pPr>
              <w:pStyle w:val="Compact"/>
            </w:pPr>
            <w:r>
              <w:t xml:space="preserve">Selphi 2</w:t>
            </w:r>
          </w:p>
        </w:tc>
        <w:tc>
          <w:tcPr/>
          <w:p>
            <w:pPr>
              <w:pStyle w:val="Compact"/>
            </w:pPr>
            <w:r>
              <w:t xml:space="preserve">GLIMPSE2</w:t>
            </w:r>
          </w:p>
        </w:tc>
        <w:tc>
          <w:tcPr/>
          <w:p>
            <w:pPr>
              <w:pStyle w:val="Compact"/>
            </w:pPr>
            <w:r>
              <w:t xml:space="preserve">QUILT2</w:t>
            </w:r>
          </w:p>
        </w:tc>
      </w:tr>
      <w:tr>
        <w:tc>
          <w:tcPr/>
          <w:p>
            <w:pPr>
              <w:pStyle w:val="Compact"/>
            </w:pPr>
            <w:r>
              <w:t xml:space="preserve">0.5</w:t>
            </w:r>
            <m:oMath>
              <m:r>
                <m:rPr>
                  <m:sty m:val="p"/>
                </m:rPr>
                <m:t>×</m:t>
              </m:r>
            </m:oMath>
          </w:p>
        </w:tc>
        <w:tc>
          <w:tcPr/>
          <w:p>
            <w:pPr>
              <w:pStyle w:val="Compact"/>
            </w:pPr>
            <w:r>
              <w:rPr>
                <w:b/>
                <w:bCs/>
              </w:rPr>
              <w:t xml:space="preserve">0.9924</w:t>
            </w:r>
          </w:p>
        </w:tc>
        <w:tc>
          <w:tcPr/>
          <w:p>
            <w:pPr>
              <w:pStyle w:val="Compact"/>
            </w:pPr>
            <w:r>
              <w:t xml:space="preserve">0.9916</w:t>
            </w:r>
          </w:p>
        </w:tc>
        <w:tc>
          <w:tcPr/>
          <w:p>
            <w:pPr>
              <w:pStyle w:val="Compact"/>
            </w:pPr>
            <w:r>
              <w:t xml:space="preserve">0.9919</w:t>
            </w:r>
          </w:p>
        </w:tc>
      </w:tr>
      <w:tr>
        <w:tc>
          <w:tcPr/>
          <w:p>
            <w:pPr>
              <w:pStyle w:val="Compact"/>
            </w:pPr>
            <w:r>
              <w:t xml:space="preserve">1</w:t>
            </w:r>
            <m:oMath>
              <m:r>
                <m:rPr>
                  <m:sty m:val="p"/>
                </m:rPr>
                <m:t>×</m:t>
              </m:r>
            </m:oMath>
          </w:p>
        </w:tc>
        <w:tc>
          <w:tcPr/>
          <w:p>
            <w:pPr>
              <w:pStyle w:val="Compact"/>
            </w:pPr>
            <w:r>
              <w:rPr>
                <w:b/>
                <w:bCs/>
              </w:rPr>
              <w:t xml:space="preserve">0.9952</w:t>
            </w:r>
          </w:p>
        </w:tc>
        <w:tc>
          <w:tcPr/>
          <w:p>
            <w:pPr>
              <w:pStyle w:val="Compact"/>
            </w:pPr>
            <w:r>
              <w:t xml:space="preserve">0.9945</w:t>
            </w:r>
          </w:p>
        </w:tc>
        <w:tc>
          <w:tcPr/>
          <w:p>
            <w:pPr>
              <w:pStyle w:val="Compact"/>
            </w:pPr>
            <w:r>
              <w:t xml:space="preserve">0.9944</w:t>
            </w:r>
          </w:p>
        </w:tc>
      </w:tr>
      <w:tr>
        <w:tc>
          <w:tcPr/>
          <w:p>
            <w:pPr>
              <w:pStyle w:val="Compact"/>
            </w:pPr>
            <w:r>
              <w:t xml:space="preserve">2</w:t>
            </w:r>
            <m:oMath>
              <m:r>
                <m:rPr>
                  <m:sty m:val="p"/>
                </m:rPr>
                <m:t>×</m:t>
              </m:r>
            </m:oMath>
          </w:p>
        </w:tc>
        <w:tc>
          <w:tcPr/>
          <w:p>
            <w:pPr>
              <w:pStyle w:val="Compact"/>
            </w:pPr>
            <w:r>
              <w:rPr>
                <w:b/>
                <w:bCs/>
              </w:rPr>
              <w:t xml:space="preserve">0.9971</w:t>
            </w:r>
          </w:p>
        </w:tc>
        <w:tc>
          <w:tcPr/>
          <w:p>
            <w:pPr>
              <w:pStyle w:val="Compact"/>
            </w:pPr>
            <w:r>
              <w:t xml:space="preserve">0.9967</w:t>
            </w:r>
          </w:p>
        </w:tc>
        <w:tc>
          <w:tcPr/>
          <w:p>
            <w:pPr>
              <w:pStyle w:val="Compact"/>
            </w:pPr>
            <w:r>
              <w:t xml:space="preserve">0.9968</w:t>
            </w:r>
          </w:p>
        </w:tc>
      </w:tr>
      <w:tr>
        <w:tc>
          <w:tcPr/>
          <w:p>
            <w:pPr>
              <w:pStyle w:val="Compact"/>
            </w:pPr>
            <w:r>
              <w:t xml:space="preserve">4</w:t>
            </w:r>
            <m:oMath>
              <m:r>
                <m:rPr>
                  <m:sty m:val="p"/>
                </m:rPr>
                <m:t>×</m:t>
              </m:r>
            </m:oMath>
          </w:p>
        </w:tc>
        <w:tc>
          <w:tcPr/>
          <w:p>
            <w:pPr>
              <w:pStyle w:val="Compact"/>
            </w:pPr>
            <w:r>
              <w:rPr>
                <w:b/>
                <w:bCs/>
              </w:rPr>
              <w:t xml:space="preserve">0.9978</w:t>
            </w:r>
          </w:p>
        </w:tc>
        <w:tc>
          <w:tcPr/>
          <w:p>
            <w:pPr>
              <w:pStyle w:val="Compact"/>
            </w:pPr>
            <w:r>
              <w:t xml:space="preserve">0.9975</w:t>
            </w:r>
          </w:p>
        </w:tc>
        <w:tc>
          <w:tcPr/>
          <w:p>
            <w:pPr>
              <w:pStyle w:val="Compact"/>
            </w:pPr>
            <w:r>
              <w:t xml:space="preserve">0.9973</w:t>
            </w:r>
          </w:p>
        </w:tc>
      </w:tr>
    </w:tbl>
    <w:p>
      <w:pPr>
        <w:pStyle w:val="BodyText"/>
      </w:pPr>
      <w:r>
        <w:rPr>
          <w:i/>
          <w:iCs/>
        </w:rPr>
        <w:t xml:space="preserve">Ultra-rare (MAF 0-0.5%)</w:t>
      </w:r>
      <w:r>
        <w:rPr>
          <w:i/>
          <w:iCs/>
        </w:rPr>
        <w:t xml:space="preserve"> </w:t>
      </w:r>
      <m:oMath>
        <m:sSup>
          <m:e>
            <m:r>
              <m:t>R</m:t>
            </m:r>
          </m:e>
          <m:sup>
            <m:r>
              <m:t>2</m:t>
            </m:r>
          </m:sup>
        </m:sSup>
      </m:oMath>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Coverage</w:t>
            </w:r>
          </w:p>
        </w:tc>
        <w:tc>
          <w:tcPr/>
          <w:p>
            <w:pPr>
              <w:pStyle w:val="Compact"/>
            </w:pPr>
            <w:r>
              <w:t xml:space="preserve">Selphi 2</w:t>
            </w:r>
          </w:p>
        </w:tc>
        <w:tc>
          <w:tcPr/>
          <w:p>
            <w:pPr>
              <w:pStyle w:val="Compact"/>
            </w:pPr>
            <w:r>
              <w:t xml:space="preserve">GLIMPSE2</w:t>
            </w:r>
          </w:p>
        </w:tc>
        <w:tc>
          <w:tcPr/>
          <w:p>
            <w:pPr>
              <w:pStyle w:val="Compact"/>
            </w:pPr>
            <w:r>
              <w:t xml:space="preserve">QUILT2</w:t>
            </w:r>
          </w:p>
        </w:tc>
      </w:tr>
      <w:tr>
        <w:tc>
          <w:tcPr/>
          <w:p>
            <w:pPr>
              <w:pStyle w:val="Compact"/>
            </w:pPr>
            <w:r>
              <w:t xml:space="preserve">0.5</w:t>
            </w:r>
            <m:oMath>
              <m:r>
                <m:rPr>
                  <m:sty m:val="p"/>
                </m:rPr>
                <m:t>×</m:t>
              </m:r>
            </m:oMath>
          </w:p>
        </w:tc>
        <w:tc>
          <w:tcPr/>
          <w:p>
            <w:pPr>
              <w:pStyle w:val="Compact"/>
            </w:pPr>
            <w:r>
              <w:t xml:space="preserve">0.8994</w:t>
            </w:r>
          </w:p>
        </w:tc>
        <w:tc>
          <w:tcPr/>
          <w:p>
            <w:pPr>
              <w:pStyle w:val="Compact"/>
            </w:pPr>
            <w:r>
              <w:rPr>
                <w:b/>
                <w:bCs/>
              </w:rPr>
              <w:t xml:space="preserve">0.9023</w:t>
            </w:r>
          </w:p>
        </w:tc>
        <w:tc>
          <w:tcPr/>
          <w:p>
            <w:pPr>
              <w:pStyle w:val="Compact"/>
            </w:pPr>
            <w:r>
              <w:t xml:space="preserve">0.8864</w:t>
            </w:r>
          </w:p>
        </w:tc>
      </w:tr>
      <w:tr>
        <w:tc>
          <w:tcPr/>
          <w:p>
            <w:pPr>
              <w:pStyle w:val="Compact"/>
            </w:pPr>
            <w:r>
              <w:t xml:space="preserve">1</w:t>
            </w:r>
            <m:oMath>
              <m:r>
                <m:rPr>
                  <m:sty m:val="p"/>
                </m:rPr>
                <m:t>×</m:t>
              </m:r>
            </m:oMath>
          </w:p>
        </w:tc>
        <w:tc>
          <w:tcPr/>
          <w:p>
            <w:pPr>
              <w:pStyle w:val="Compact"/>
            </w:pPr>
            <w:r>
              <w:rPr>
                <w:b/>
                <w:bCs/>
              </w:rPr>
              <w:t xml:space="preserve">0.9282</w:t>
            </w:r>
          </w:p>
        </w:tc>
        <w:tc>
          <w:tcPr/>
          <w:p>
            <w:pPr>
              <w:pStyle w:val="Compact"/>
            </w:pPr>
            <w:r>
              <w:t xml:space="preserve">0.9252</w:t>
            </w:r>
          </w:p>
        </w:tc>
        <w:tc>
          <w:tcPr/>
          <w:p>
            <w:pPr>
              <w:pStyle w:val="Compact"/>
            </w:pPr>
            <w:r>
              <w:t xml:space="preserve">0.9150</w:t>
            </w:r>
          </w:p>
        </w:tc>
      </w:tr>
      <w:tr>
        <w:tc>
          <w:tcPr/>
          <w:p>
            <w:pPr>
              <w:pStyle w:val="Compact"/>
            </w:pPr>
            <w:r>
              <w:t xml:space="preserve">2</w:t>
            </w:r>
            <m:oMath>
              <m:r>
                <m:rPr>
                  <m:sty m:val="p"/>
                </m:rPr>
                <m:t>×</m:t>
              </m:r>
            </m:oMath>
          </w:p>
        </w:tc>
        <w:tc>
          <w:tcPr/>
          <w:p>
            <w:pPr>
              <w:pStyle w:val="Compact"/>
            </w:pPr>
            <w:r>
              <w:rPr>
                <w:b/>
                <w:bCs/>
              </w:rPr>
              <w:t xml:space="preserve">0.9525</w:t>
            </w:r>
          </w:p>
        </w:tc>
        <w:tc>
          <w:tcPr/>
          <w:p>
            <w:pPr>
              <w:pStyle w:val="Compact"/>
            </w:pPr>
            <w:r>
              <w:t xml:space="preserve">0.9495</w:t>
            </w:r>
          </w:p>
        </w:tc>
        <w:tc>
          <w:tcPr/>
          <w:p>
            <w:pPr>
              <w:pStyle w:val="Compact"/>
            </w:pPr>
            <w:r>
              <w:t xml:space="preserve">0.9415</w:t>
            </w:r>
          </w:p>
        </w:tc>
      </w:tr>
      <w:tr>
        <w:tc>
          <w:tcPr/>
          <w:p>
            <w:pPr>
              <w:pStyle w:val="Compact"/>
            </w:pPr>
            <w:r>
              <w:t xml:space="preserve">4</w:t>
            </w:r>
            <m:oMath>
              <m:r>
                <m:rPr>
                  <m:sty m:val="p"/>
                </m:rPr>
                <m:t>×</m:t>
              </m:r>
            </m:oMath>
          </w:p>
        </w:tc>
        <w:tc>
          <w:tcPr/>
          <w:p>
            <w:pPr>
              <w:pStyle w:val="Compact"/>
            </w:pPr>
            <w:r>
              <w:rPr>
                <w:b/>
                <w:bCs/>
              </w:rPr>
              <w:t xml:space="preserve">0.9705</w:t>
            </w:r>
          </w:p>
        </w:tc>
        <w:tc>
          <w:tcPr/>
          <w:p>
            <w:pPr>
              <w:pStyle w:val="Compact"/>
            </w:pPr>
            <w:r>
              <w:t xml:space="preserve">0.9638</w:t>
            </w:r>
          </w:p>
        </w:tc>
        <w:tc>
          <w:tcPr/>
          <w:p>
            <w:pPr>
              <w:pStyle w:val="Compact"/>
            </w:pPr>
            <w:r>
              <w:t xml:space="preserve">0.9437</w:t>
            </w:r>
          </w:p>
        </w:tc>
      </w:tr>
    </w:tbl>
    <w:bookmarkEnd w:id="36"/>
    <w:bookmarkStart w:id="37" w:name="X46caf4a2c80e9c093b358db7a92269fb779e049"/>
    <w:p>
      <w:pPr>
        <w:pStyle w:val="Heading2"/>
      </w:pPr>
      <w:r>
        <w:rPr>
          <w:b/>
          <w:bCs/>
        </w:rPr>
        <w:t xml:space="preserve">Imputation accuracy on the 1000 Genomes Phase 3 reference panel</w:t>
      </w:r>
    </w:p>
    <w:p>
      <w:pPr>
        <w:pStyle w:val="FirstParagraph"/>
      </w:pPr>
      <w:r>
        <w:t xml:space="preserve">On chromosome 22 of the 1000 Genomes Phase 3 panel (4,802 haplotypes, 1,070,401 variants) imputed for 801 held-out samples, Selphi 2’s default diploid engine attains an overall</w:t>
      </w:r>
      <w:r>
        <w:t xml:space="preserve"> </w:t>
      </w:r>
      <m:oMath>
        <m:sSup>
          <m:e>
            <m:r>
              <m:t>R</m:t>
            </m:r>
          </m:e>
          <m:sup>
            <m:r>
              <m:t>2</m:t>
            </m:r>
          </m:sup>
        </m:sSup>
      </m:oMath>
      <w:r>
        <w:t xml:space="preserve"> </w:t>
      </w:r>
      <w:r>
        <w:t xml:space="preserve">of 0.4884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3 caption). The per-sample mean</w:t>
      </w:r>
      <w:r>
        <w:t xml:space="preserve"> </w:t>
      </w:r>
      <m:oMath>
        <m:sSup>
          <m:e>
            <m:r>
              <m:t>R</m:t>
            </m:r>
          </m:e>
          <m:sup>
            <m:r>
              <m:t>2</m:t>
            </m:r>
          </m:sup>
        </m:sSup>
      </m:oMath>
      <w:r>
        <w:t xml:space="preserve"> </w:t>
      </w:r>
      <w:r>
        <w:t xml:space="preserve">is 0.9164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t xml:space="preserve"> </w:t>
      </w:r>
      <m:oMath>
        <m:r>
          <m:t>p</m:t>
        </m:r>
        <m:r>
          <m:rPr>
            <m:sty m:val="p"/>
          </m:rPr>
          <m:t>&lt;</m:t>
        </m:r>
        <m:sSup>
          <m:e>
            <m:r>
              <m:t>10</m:t>
            </m:r>
          </m:e>
          <m:sup>
            <m:r>
              <m:rPr>
                <m:sty m:val="p"/>
              </m:rPr>
              <m:t>−</m:t>
            </m:r>
            <m:r>
              <m:t>100</m:t>
            </m:r>
          </m:sup>
        </m:sSup>
      </m:oMath>
      <w:r>
        <w:t xml:space="preserve"> </w:t>
      </w:r>
      <w:r>
        <w:t xml:space="preserve">against each tool). The same comparison on chromosome 1 (5,769,087 variants) gives overall</w:t>
      </w:r>
      <w:r>
        <w:t xml:space="preserve"> </w:t>
      </w:r>
      <m:oMath>
        <m:sSup>
          <m:e>
            <m:r>
              <m:t>R</m:t>
            </m:r>
          </m:e>
          <m:sup>
            <m:r>
              <m:t>2</m:t>
            </m:r>
          </m:sup>
        </m:sSup>
      </m:oMath>
      <w:r>
        <w:t xml:space="preserve"> </w:t>
      </w:r>
      <w:r>
        <w:t xml:space="preserve">0.5777 (Selphi 2) versus 0.5640 (Beagle 5.5), and per-sample mean 0.9567 versus 0.9507, a per-sample gain of +0.0057 (95% CI [+0.0056, +0.0059]) that favours Selphi 2 in all 801 of 801 samples. Selphi 2 attains the highest</w:t>
      </w:r>
      <w:r>
        <w:t xml:space="preserve"> </w:t>
      </w:r>
      <m:oMath>
        <m:sSup>
          <m:e>
            <m:r>
              <m:t>R</m:t>
            </m:r>
          </m:e>
          <m:sup>
            <m:r>
              <m:t>2</m:t>
            </m:r>
          </m:sup>
        </m:sSup>
      </m:oMath>
      <w:r>
        <w:t xml:space="preserve"> </w:t>
      </w:r>
      <w:r>
        <w:t xml:space="preserve">of the four tools in every MAF bin on chromosome 22, and exceeds Beagle 5.5 in every bin on chromosome 1, the rarest bin (MAF 0.05-0.1%) included (Table 3).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t xml:space="preserve"> </w:t>
      </w:r>
      <w:r>
        <w:rPr>
          <w:b/>
          <w:bCs/>
        </w:rPr>
        <w:t xml:space="preserve">imputation-only</w:t>
      </w:r>
      <w:r>
        <w:t xml:space="preserve"> </w:t>
      </w:r>
      <w:r>
        <w:t xml:space="preserve">benchmark in which all five tools (Selphi 2, the original Selphi 1.5.3, Beagle 5.5, Minimac4 and IMPUTE5) receive the</w:t>
      </w:r>
      <w:r>
        <w:t xml:space="preserve"> </w:t>
      </w:r>
      <w:r>
        <w:rPr>
          <w:i/>
          <w:iCs/>
        </w:rPr>
        <w:t xml:space="preserve">identical</w:t>
      </w:r>
      <w:r>
        <w:t xml:space="preserve"> </w:t>
      </w:r>
      <w:r>
        <w:t xml:space="preserve">phased target haplotypes and the same 1000 Genomes panel, and impute from that shared phasing (Figure 3a; Supplementary Table S9). Selphi 2 leads at overall</w:t>
      </w:r>
      <w:r>
        <w:t xml:space="preserve"> </w:t>
      </w:r>
      <m:oMath>
        <m:sSup>
          <m:e>
            <m:r>
              <m:t>R</m:t>
            </m:r>
          </m:e>
          <m:sup>
            <m:r>
              <m:t>2</m:t>
            </m:r>
          </m:sup>
        </m:sSup>
      </m:oMath>
      <w:r>
        <w:t xml:space="preserve"> </w:t>
      </w:r>
      <w:r>
        <w:t xml:space="preserve">0.5814,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t xml:space="preserve"> </w:t>
      </w:r>
      <m:oMath>
        <m:sSup>
          <m:e>
            <m:r>
              <m:t>R</m:t>
            </m:r>
          </m:e>
          <m:sup>
            <m:r>
              <m:t>2</m:t>
            </m:r>
          </m:sup>
        </m:sSup>
      </m:oMath>
      <w:r>
        <w:t xml:space="preserve"> </w:t>
      </w:r>
      <w:r>
        <w:t xml:space="preserve">metric (Table 3 reports their per-MAF detail on chromosome 22). In deployment as a full phase-and-impute pipeline from the unphased chip, the mode in which it is actually run, Selphi 2’s own internal phasing lifts its genome-wide overall</w:t>
      </w:r>
      <w:r>
        <w:t xml:space="preserve"> </w:t>
      </w:r>
      <m:oMath>
        <m:sSup>
          <m:e>
            <m:r>
              <m:t>R</m:t>
            </m:r>
          </m:e>
          <m:sup>
            <m:r>
              <m:t>2</m:t>
            </m:r>
          </m:sup>
        </m:sSup>
      </m:oMath>
      <w:r>
        <w:t xml:space="preserve"> </w:t>
      </w:r>
      <w:r>
        <w:t xml:space="preserve">further, to 0.5963 (per-sample mean 0.9557) versus Beagle 5.5’s 0.5826 (0.9496), both measured in one session on identical targets, panel and evaluator. Selphi 2 leads in every MAF bin, the rarest included (+0.0031). The margin its internal phasing adds is concentrated at low frequency: over the imputation-only arm it is +0.0149 overall and +0.0243 at the rarest bin. Extended per-MAF detail is in Supplementary Table S1 (chr22 and chr1), Supplementary Table S9 (the genome-wide five-way imputation-only breakdown underlying Figure 3a) and Supplementary Table S12 (Selphi 2 versus Selphi 1.5.3 on chr22 and chr1: overall</w:t>
      </w:r>
      <w:r>
        <w:t xml:space="preserve"> </w:t>
      </w:r>
      <m:oMath>
        <m:sSup>
          <m:e>
            <m:r>
              <m:t>R</m:t>
            </m:r>
          </m:e>
          <m:sup>
            <m:r>
              <m:t>2</m:t>
            </m:r>
          </m:sup>
        </m:sSup>
      </m:oMath>
      <w:r>
        <w:t xml:space="preserve"> </w:t>
      </w:r>
      <w:r>
        <w:t xml:space="preserve">0.4782 versus 0.4703 and 0.5649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pPr>
      <w:r>
        <w:rPr>
          <w:b/>
          <w:bCs/>
        </w:rPr>
        <w:t xml:space="preserve">Table 3. Imputation</w:t>
      </w:r>
      <w:r>
        <w:rPr>
          <w:b/>
          <w:bCs/>
        </w:rPr>
        <w:t xml:space="preserve"> </w:t>
      </w:r>
      <m:oMath>
        <m:sSup>
          <m:e>
            <m:r>
              <m:t>R</m:t>
            </m:r>
          </m:e>
          <m:sup>
            <m:r>
              <m:t>2</m:t>
            </m:r>
          </m:sup>
        </m:sSup>
      </m:oMath>
      <w:r>
        <w:rPr>
          <w:b/>
          <w:bCs/>
        </w:rPr>
        <w:t xml:space="preserve"> </w:t>
      </w:r>
      <w:r>
        <w:rPr>
          <w:b/>
          <w:bCs/>
        </w:rPr>
        <w:t xml:space="preserve">on the 1000 Genomes Phase 3 panel, by MAF.</w:t>
      </w:r>
      <w:r>
        <w:t xml:space="preserve"> </w:t>
      </w:r>
      <w:r>
        <w:t xml:space="preserve">Each cell reports</w:t>
      </w:r>
      <w:r>
        <w:t xml:space="preserve"> </w:t>
      </w:r>
      <m:oMath>
        <m:sSup>
          <m:e>
            <m:r>
              <m:t>R</m:t>
            </m:r>
          </m:e>
          <m:sup>
            <m:r>
              <m:t>2</m:t>
            </m:r>
          </m:sup>
        </m:sSup>
      </m:oMath>
      <w:r>
        <w:t xml:space="preserve"> </w:t>
      </w:r>
      <w: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MAF</w:t>
            </w:r>
          </w:p>
        </w:tc>
        <w:tc>
          <w:tcPr/>
          <w:p>
            <w:pPr>
              <w:pStyle w:val="Compact"/>
            </w:pPr>
            <w:r>
              <w:t xml:space="preserve">chr22 Selphi 2</w:t>
            </w:r>
          </w:p>
        </w:tc>
        <w:tc>
          <w:tcPr/>
          <w:p>
            <w:pPr>
              <w:pStyle w:val="Compact"/>
            </w:pPr>
            <w:r>
              <w:t xml:space="preserve">chr22 Beagle 5.5</w:t>
            </w:r>
          </w:p>
        </w:tc>
        <w:tc>
          <w:tcPr/>
          <w:p>
            <w:pPr>
              <w:pStyle w:val="Compact"/>
            </w:pPr>
            <w:r>
              <w:t xml:space="preserve">chr22 IMPUTE5</w:t>
            </w:r>
          </w:p>
        </w:tc>
        <w:tc>
          <w:tcPr/>
          <w:p>
            <w:pPr>
              <w:pStyle w:val="Compact"/>
            </w:pPr>
            <w:r>
              <w:t xml:space="preserve">chr22 Minimac4</w:t>
            </w:r>
          </w:p>
        </w:tc>
        <w:tc>
          <w:tcPr/>
          <w:p>
            <w:pPr>
              <w:pStyle w:val="Compact"/>
            </w:pPr>
            <w:r>
              <w:t xml:space="preserve">chr22 Selphi 1.5.3</w:t>
            </w:r>
          </w:p>
        </w:tc>
        <w:tc>
          <w:tcPr/>
          <w:p>
            <w:pPr>
              <w:pStyle w:val="Compact"/>
            </w:pPr>
            <w:r>
              <w:t xml:space="preserve">chr1 Selphi 2</w:t>
            </w:r>
          </w:p>
        </w:tc>
        <w:tc>
          <w:tcPr/>
          <w:p>
            <w:pPr>
              <w:pStyle w:val="Compact"/>
            </w:pPr>
            <w:r>
              <w:t xml:space="preserve">chr1 Beagle 5.5</w:t>
            </w:r>
          </w:p>
        </w:tc>
      </w:tr>
      <w:tr>
        <w:tc>
          <w:tcPr/>
          <w:p>
            <w:pPr>
              <w:pStyle w:val="Compact"/>
            </w:pPr>
            <w:r>
              <w:t xml:space="preserve">0.05-0.1%</w:t>
            </w:r>
          </w:p>
        </w:tc>
        <w:tc>
          <w:tcPr/>
          <w:p>
            <w:pPr>
              <w:pStyle w:val="Compact"/>
            </w:pPr>
            <w:r>
              <w:rPr>
                <w:b/>
                <w:bCs/>
              </w:rPr>
              <w:t xml:space="preserve">0.2836</w:t>
            </w:r>
          </w:p>
        </w:tc>
        <w:tc>
          <w:tcPr/>
          <w:p>
            <w:pPr>
              <w:pStyle w:val="Compact"/>
            </w:pPr>
            <w:r>
              <w:t xml:space="preserve">0.2800</w:t>
            </w:r>
          </w:p>
        </w:tc>
        <w:tc>
          <w:tcPr/>
          <w:p>
            <w:pPr>
              <w:pStyle w:val="Compact"/>
            </w:pPr>
            <w:r>
              <w:t xml:space="preserve">0.2613</w:t>
            </w:r>
          </w:p>
        </w:tc>
        <w:tc>
          <w:tcPr/>
          <w:p>
            <w:pPr>
              <w:pStyle w:val="Compact"/>
            </w:pPr>
            <w:r>
              <w:t xml:space="preserve">0.2757</w:t>
            </w:r>
          </w:p>
        </w:tc>
        <w:tc>
          <w:tcPr/>
          <w:p>
            <w:pPr>
              <w:pStyle w:val="Compact"/>
            </w:pPr>
            <w:r>
              <w:t xml:space="preserve">0.2502</w:t>
            </w:r>
          </w:p>
        </w:tc>
        <w:tc>
          <w:tcPr/>
          <w:p>
            <w:pPr>
              <w:pStyle w:val="Compact"/>
            </w:pPr>
            <w:r>
              <w:rPr>
                <w:b/>
                <w:bCs/>
              </w:rPr>
              <w:t xml:space="preserve">0.3669</w:t>
            </w:r>
          </w:p>
        </w:tc>
        <w:tc>
          <w:tcPr/>
          <w:p>
            <w:pPr>
              <w:pStyle w:val="Compact"/>
            </w:pPr>
            <w:r>
              <w:t xml:space="preserve">0.3638</w:t>
            </w:r>
          </w:p>
        </w:tc>
      </w:tr>
      <w:tr>
        <w:tc>
          <w:tcPr/>
          <w:p>
            <w:pPr>
              <w:pStyle w:val="Compact"/>
            </w:pPr>
            <w:r>
              <w:t xml:space="preserve">0.1-0.2%</w:t>
            </w:r>
          </w:p>
        </w:tc>
        <w:tc>
          <w:tcPr/>
          <w:p>
            <w:pPr>
              <w:pStyle w:val="Compact"/>
            </w:pPr>
            <w:r>
              <w:rPr>
                <w:b/>
                <w:bCs/>
              </w:rPr>
              <w:t xml:space="preserve">0.3324</w:t>
            </w:r>
          </w:p>
        </w:tc>
        <w:tc>
          <w:tcPr/>
          <w:p>
            <w:pPr>
              <w:pStyle w:val="Compact"/>
            </w:pPr>
            <w:r>
              <w:t xml:space="preserve">0.3177</w:t>
            </w:r>
          </w:p>
        </w:tc>
        <w:tc>
          <w:tcPr/>
          <w:p>
            <w:pPr>
              <w:pStyle w:val="Compact"/>
            </w:pPr>
            <w:r>
              <w:t xml:space="preserve">0.3029</w:t>
            </w:r>
          </w:p>
        </w:tc>
        <w:tc>
          <w:tcPr/>
          <w:p>
            <w:pPr>
              <w:pStyle w:val="Compact"/>
            </w:pPr>
            <w:r>
              <w:t xml:space="preserve">0.3155</w:t>
            </w:r>
          </w:p>
        </w:tc>
        <w:tc>
          <w:tcPr/>
          <w:p>
            <w:pPr>
              <w:pStyle w:val="Compact"/>
            </w:pPr>
            <w:r>
              <w:t xml:space="preserve">0.3051</w:t>
            </w:r>
          </w:p>
        </w:tc>
        <w:tc>
          <w:tcPr/>
          <w:p>
            <w:pPr>
              <w:pStyle w:val="Compact"/>
            </w:pPr>
            <w:r>
              <w:rPr>
                <w:b/>
                <w:bCs/>
              </w:rPr>
              <w:t xml:space="preserve">0.4227</w:t>
            </w:r>
          </w:p>
        </w:tc>
        <w:tc>
          <w:tcPr/>
          <w:p>
            <w:pPr>
              <w:pStyle w:val="Compact"/>
            </w:pPr>
            <w:r>
              <w:t xml:space="preserve">0.4065</w:t>
            </w:r>
          </w:p>
        </w:tc>
      </w:tr>
      <w:tr>
        <w:tc>
          <w:tcPr/>
          <w:p>
            <w:pPr>
              <w:pStyle w:val="Compact"/>
            </w:pPr>
            <w:r>
              <w:t xml:space="preserve">0.2-0.5%</w:t>
            </w:r>
          </w:p>
        </w:tc>
        <w:tc>
          <w:tcPr/>
          <w:p>
            <w:pPr>
              <w:pStyle w:val="Compact"/>
            </w:pPr>
            <w:r>
              <w:rPr>
                <w:b/>
                <w:bCs/>
              </w:rPr>
              <w:t xml:space="preserve">0.4300</w:t>
            </w:r>
          </w:p>
        </w:tc>
        <w:tc>
          <w:tcPr/>
          <w:p>
            <w:pPr>
              <w:pStyle w:val="Compact"/>
            </w:pPr>
            <w:r>
              <w:t xml:space="preserve">0.4073</w:t>
            </w:r>
          </w:p>
        </w:tc>
        <w:tc>
          <w:tcPr/>
          <w:p>
            <w:pPr>
              <w:pStyle w:val="Compact"/>
            </w:pPr>
            <w:r>
              <w:t xml:space="preserve">0.3936</w:t>
            </w:r>
          </w:p>
        </w:tc>
        <w:tc>
          <w:tcPr/>
          <w:p>
            <w:pPr>
              <w:pStyle w:val="Compact"/>
            </w:pPr>
            <w:r>
              <w:t xml:space="preserve">0.4010</w:t>
            </w:r>
          </w:p>
        </w:tc>
        <w:tc>
          <w:tcPr/>
          <w:p>
            <w:pPr>
              <w:pStyle w:val="Compact"/>
            </w:pPr>
            <w:r>
              <w:t xml:space="preserve">0.4064</w:t>
            </w:r>
          </w:p>
        </w:tc>
        <w:tc>
          <w:tcPr/>
          <w:p>
            <w:pPr>
              <w:pStyle w:val="Compact"/>
            </w:pPr>
            <w:r>
              <w:rPr>
                <w:b/>
                <w:bCs/>
              </w:rPr>
              <w:t xml:space="preserve">0.5180</w:t>
            </w:r>
          </w:p>
        </w:tc>
        <w:tc>
          <w:tcPr/>
          <w:p>
            <w:pPr>
              <w:pStyle w:val="Compact"/>
            </w:pPr>
            <w:r>
              <w:t xml:space="preserve">0.4950</w:t>
            </w:r>
          </w:p>
        </w:tc>
      </w:tr>
      <w:tr>
        <w:tc>
          <w:tcPr/>
          <w:p>
            <w:pPr>
              <w:pStyle w:val="Compact"/>
            </w:pPr>
            <w:r>
              <w:t xml:space="preserve">0.5-1%</w:t>
            </w:r>
          </w:p>
        </w:tc>
        <w:tc>
          <w:tcPr/>
          <w:p>
            <w:pPr>
              <w:pStyle w:val="Compact"/>
            </w:pPr>
            <w:r>
              <w:rPr>
                <w:b/>
                <w:bCs/>
              </w:rPr>
              <w:t xml:space="preserve">0.5130</w:t>
            </w:r>
          </w:p>
        </w:tc>
        <w:tc>
          <w:tcPr/>
          <w:p>
            <w:pPr>
              <w:pStyle w:val="Compact"/>
            </w:pPr>
            <w:r>
              <w:t xml:space="preserve">0.4866</w:t>
            </w:r>
          </w:p>
        </w:tc>
        <w:tc>
          <w:tcPr/>
          <w:p>
            <w:pPr>
              <w:pStyle w:val="Compact"/>
            </w:pPr>
            <w:r>
              <w:t xml:space="preserve">0.4763</w:t>
            </w:r>
          </w:p>
        </w:tc>
        <w:tc>
          <w:tcPr/>
          <w:p>
            <w:pPr>
              <w:pStyle w:val="Compact"/>
            </w:pPr>
            <w:r>
              <w:t xml:space="preserve">0.4807</w:t>
            </w:r>
          </w:p>
        </w:tc>
        <w:tc>
          <w:tcPr/>
          <w:p>
            <w:pPr>
              <w:pStyle w:val="Compact"/>
            </w:pPr>
            <w:r>
              <w:t xml:space="preserve">0.4986</w:t>
            </w:r>
          </w:p>
        </w:tc>
        <w:tc>
          <w:tcPr/>
          <w:p>
            <w:pPr>
              <w:pStyle w:val="Compact"/>
            </w:pPr>
            <w:r>
              <w:rPr>
                <w:b/>
                <w:bCs/>
              </w:rPr>
              <w:t xml:space="preserve">0.6178</w:t>
            </w:r>
          </w:p>
        </w:tc>
        <w:tc>
          <w:tcPr/>
          <w:p>
            <w:pPr>
              <w:pStyle w:val="Compact"/>
            </w:pPr>
            <w:r>
              <w:t xml:space="preserve">0.5924</w:t>
            </w:r>
          </w:p>
        </w:tc>
      </w:tr>
      <w:tr>
        <w:tc>
          <w:tcPr/>
          <w:p>
            <w:pPr>
              <w:pStyle w:val="Compact"/>
            </w:pPr>
            <w:r>
              <w:t xml:space="preserve">1-2%</w:t>
            </w:r>
          </w:p>
        </w:tc>
        <w:tc>
          <w:tcPr/>
          <w:p>
            <w:pPr>
              <w:pStyle w:val="Compact"/>
            </w:pPr>
            <w:r>
              <w:rPr>
                <w:b/>
                <w:bCs/>
              </w:rPr>
              <w:t xml:space="preserve">0.5767</w:t>
            </w:r>
          </w:p>
        </w:tc>
        <w:tc>
          <w:tcPr/>
          <w:p>
            <w:pPr>
              <w:pStyle w:val="Compact"/>
            </w:pPr>
            <w:r>
              <w:t xml:space="preserve">0.5480</w:t>
            </w:r>
          </w:p>
        </w:tc>
        <w:tc>
          <w:tcPr/>
          <w:p>
            <w:pPr>
              <w:pStyle w:val="Compact"/>
            </w:pPr>
            <w:r>
              <w:t xml:space="preserve">0.5415</w:t>
            </w:r>
          </w:p>
        </w:tc>
        <w:tc>
          <w:tcPr/>
          <w:p>
            <w:pPr>
              <w:pStyle w:val="Compact"/>
            </w:pPr>
            <w:r>
              <w:t xml:space="preserve">0.5442</w:t>
            </w:r>
          </w:p>
        </w:tc>
        <w:tc>
          <w:tcPr/>
          <w:p>
            <w:pPr>
              <w:pStyle w:val="Compact"/>
            </w:pPr>
            <w:r>
              <w:t xml:space="preserve">0.5696</w:t>
            </w:r>
          </w:p>
        </w:tc>
        <w:tc>
          <w:tcPr/>
          <w:p>
            <w:pPr>
              <w:pStyle w:val="Compact"/>
            </w:pPr>
            <w:r>
              <w:rPr>
                <w:b/>
                <w:bCs/>
              </w:rPr>
              <w:t xml:space="preserve">0.6832</w:t>
            </w:r>
          </w:p>
        </w:tc>
        <w:tc>
          <w:tcPr/>
          <w:p>
            <w:pPr>
              <w:pStyle w:val="Compact"/>
            </w:pPr>
            <w:r>
              <w:t xml:space="preserve">0.6578</w:t>
            </w:r>
          </w:p>
        </w:tc>
      </w:tr>
      <w:tr>
        <w:tc>
          <w:tcPr/>
          <w:p>
            <w:pPr>
              <w:pStyle w:val="Compact"/>
            </w:pPr>
            <w:r>
              <w:t xml:space="preserve">2-5%</w:t>
            </w:r>
          </w:p>
        </w:tc>
        <w:tc>
          <w:tcPr/>
          <w:p>
            <w:pPr>
              <w:pStyle w:val="Compact"/>
            </w:pPr>
            <w:r>
              <w:rPr>
                <w:b/>
                <w:bCs/>
              </w:rPr>
              <w:t xml:space="preserve">0.6783</w:t>
            </w:r>
          </w:p>
        </w:tc>
        <w:tc>
          <w:tcPr/>
          <w:p>
            <w:pPr>
              <w:pStyle w:val="Compact"/>
            </w:pPr>
            <w:r>
              <w:t xml:space="preserve">0.6519</w:t>
            </w:r>
          </w:p>
        </w:tc>
        <w:tc>
          <w:tcPr/>
          <w:p>
            <w:pPr>
              <w:pStyle w:val="Compact"/>
            </w:pPr>
            <w:r>
              <w:t xml:space="preserve">0.6486</w:t>
            </w:r>
          </w:p>
        </w:tc>
        <w:tc>
          <w:tcPr/>
          <w:p>
            <w:pPr>
              <w:pStyle w:val="Compact"/>
            </w:pPr>
            <w:r>
              <w:t xml:space="preserve">0.6503</w:t>
            </w:r>
          </w:p>
        </w:tc>
        <w:tc>
          <w:tcPr/>
          <w:p>
            <w:pPr>
              <w:pStyle w:val="Compact"/>
            </w:pPr>
            <w:r>
              <w:t xml:space="preserve">0.6753</w:t>
            </w:r>
          </w:p>
        </w:tc>
        <w:tc>
          <w:tcPr/>
          <w:p>
            <w:pPr>
              <w:pStyle w:val="Compact"/>
            </w:pPr>
            <w:r>
              <w:rPr>
                <w:b/>
                <w:bCs/>
              </w:rPr>
              <w:t xml:space="preserve">0.7574</w:t>
            </w:r>
          </w:p>
        </w:tc>
        <w:tc>
          <w:tcPr/>
          <w:p>
            <w:pPr>
              <w:pStyle w:val="Compact"/>
            </w:pPr>
            <w:r>
              <w:t xml:space="preserve">0.7338</w:t>
            </w:r>
          </w:p>
        </w:tc>
      </w:tr>
      <w:tr>
        <w:tc>
          <w:tcPr/>
          <w:p>
            <w:pPr>
              <w:pStyle w:val="Compact"/>
            </w:pPr>
            <w:r>
              <w:t xml:space="preserve">5-10%</w:t>
            </w:r>
          </w:p>
        </w:tc>
        <w:tc>
          <w:tcPr/>
          <w:p>
            <w:pPr>
              <w:pStyle w:val="Compact"/>
            </w:pPr>
            <w:r>
              <w:rPr>
                <w:b/>
                <w:bCs/>
              </w:rPr>
              <w:t xml:space="preserve">0.7608</w:t>
            </w:r>
          </w:p>
        </w:tc>
        <w:tc>
          <w:tcPr/>
          <w:p>
            <w:pPr>
              <w:pStyle w:val="Compact"/>
            </w:pPr>
            <w:r>
              <w:t xml:space="preserve">0.7385</w:t>
            </w:r>
          </w:p>
        </w:tc>
        <w:tc>
          <w:tcPr/>
          <w:p>
            <w:pPr>
              <w:pStyle w:val="Compact"/>
            </w:pPr>
            <w:r>
              <w:t xml:space="preserve">0.7355</w:t>
            </w:r>
          </w:p>
        </w:tc>
        <w:tc>
          <w:tcPr/>
          <w:p>
            <w:pPr>
              <w:pStyle w:val="Compact"/>
            </w:pPr>
            <w:r>
              <w:t xml:space="preserve">0.7358</w:t>
            </w:r>
          </w:p>
        </w:tc>
        <w:tc>
          <w:tcPr/>
          <w:p>
            <w:pPr>
              <w:pStyle w:val="Compact"/>
            </w:pPr>
            <w:r>
              <w:t xml:space="preserve">0.7598</w:t>
            </w:r>
          </w:p>
        </w:tc>
        <w:tc>
          <w:tcPr/>
          <w:p>
            <w:pPr>
              <w:pStyle w:val="Compact"/>
            </w:pPr>
            <w:r>
              <w:rPr>
                <w:b/>
                <w:bCs/>
              </w:rPr>
              <w:t xml:space="preserve">0.8513</w:t>
            </w:r>
          </w:p>
        </w:tc>
        <w:tc>
          <w:tcPr/>
          <w:p>
            <w:pPr>
              <w:pStyle w:val="Compact"/>
            </w:pPr>
            <w:r>
              <w:t xml:space="preserve">0.8343</w:t>
            </w:r>
          </w:p>
        </w:tc>
      </w:tr>
      <w:tr>
        <w:tc>
          <w:tcPr/>
          <w:p>
            <w:pPr>
              <w:pStyle w:val="Compact"/>
            </w:pPr>
            <w:r>
              <w:t xml:space="preserve">10-20%</w:t>
            </w:r>
          </w:p>
        </w:tc>
        <w:tc>
          <w:tcPr/>
          <w:p>
            <w:pPr>
              <w:pStyle w:val="Compact"/>
            </w:pPr>
            <w:r>
              <w:rPr>
                <w:b/>
                <w:bCs/>
              </w:rPr>
              <w:t xml:space="preserve">0.7971</w:t>
            </w:r>
          </w:p>
        </w:tc>
        <w:tc>
          <w:tcPr/>
          <w:p>
            <w:pPr>
              <w:pStyle w:val="Compact"/>
            </w:pPr>
            <w:r>
              <w:t xml:space="preserve">0.7789</w:t>
            </w:r>
          </w:p>
        </w:tc>
        <w:tc>
          <w:tcPr/>
          <w:p>
            <w:pPr>
              <w:pStyle w:val="Compact"/>
            </w:pPr>
            <w:r>
              <w:t xml:space="preserve">0.7769</w:t>
            </w:r>
          </w:p>
        </w:tc>
        <w:tc>
          <w:tcPr/>
          <w:p>
            <w:pPr>
              <w:pStyle w:val="Compact"/>
            </w:pPr>
            <w:r>
              <w:t xml:space="preserve">0.7731</w:t>
            </w:r>
          </w:p>
        </w:tc>
        <w:tc>
          <w:tcPr/>
          <w:p>
            <w:pPr>
              <w:pStyle w:val="Compact"/>
            </w:pPr>
            <w:r>
              <w:t xml:space="preserve">0.7972</w:t>
            </w:r>
          </w:p>
        </w:tc>
        <w:tc>
          <w:tcPr/>
          <w:p>
            <w:pPr>
              <w:pStyle w:val="Compact"/>
            </w:pPr>
            <w:r>
              <w:rPr>
                <w:b/>
                <w:bCs/>
              </w:rPr>
              <w:t xml:space="preserve">0.9018</w:t>
            </w:r>
          </w:p>
        </w:tc>
        <w:tc>
          <w:tcPr/>
          <w:p>
            <w:pPr>
              <w:pStyle w:val="Compact"/>
            </w:pPr>
            <w:r>
              <w:t xml:space="preserve">0.8901</w:t>
            </w:r>
          </w:p>
        </w:tc>
      </w:tr>
      <w:tr>
        <w:tc>
          <w:tcPr/>
          <w:p>
            <w:pPr>
              <w:pStyle w:val="Compact"/>
            </w:pPr>
            <w:r>
              <w:t xml:space="preserve">20-50%</w:t>
            </w:r>
          </w:p>
        </w:tc>
        <w:tc>
          <w:tcPr/>
          <w:p>
            <w:pPr>
              <w:pStyle w:val="Compact"/>
            </w:pPr>
            <w:r>
              <w:rPr>
                <w:b/>
                <w:bCs/>
              </w:rPr>
              <w:t xml:space="preserve">0.8430</w:t>
            </w:r>
          </w:p>
        </w:tc>
        <w:tc>
          <w:tcPr/>
          <w:p>
            <w:pPr>
              <w:pStyle w:val="Compact"/>
            </w:pPr>
            <w:r>
              <w:t xml:space="preserve">0.8270</w:t>
            </w:r>
          </w:p>
        </w:tc>
        <w:tc>
          <w:tcPr/>
          <w:p>
            <w:pPr>
              <w:pStyle w:val="Compact"/>
            </w:pPr>
            <w:r>
              <w:t xml:space="preserve">0.8255</w:t>
            </w:r>
          </w:p>
        </w:tc>
        <w:tc>
          <w:tcPr/>
          <w:p>
            <w:pPr>
              <w:pStyle w:val="Compact"/>
            </w:pPr>
            <w:r>
              <w:t xml:space="preserve">0.8215</w:t>
            </w:r>
          </w:p>
        </w:tc>
        <w:tc>
          <w:tcPr/>
          <w:p>
            <w:pPr>
              <w:pStyle w:val="Compact"/>
            </w:pPr>
            <w:r>
              <w:t xml:space="preserve">0.8432</w:t>
            </w:r>
          </w:p>
        </w:tc>
        <w:tc>
          <w:tcPr/>
          <w:p>
            <w:pPr>
              <w:pStyle w:val="Compact"/>
            </w:pPr>
            <w:r>
              <w:rPr>
                <w:b/>
                <w:bCs/>
              </w:rPr>
              <w:t xml:space="preserve">0.9318</w:t>
            </w:r>
          </w:p>
        </w:tc>
        <w:tc>
          <w:tcPr/>
          <w:p>
            <w:pPr>
              <w:pStyle w:val="Compact"/>
            </w:pPr>
            <w:r>
              <w:t xml:space="preserve">0.9231</w:t>
            </w:r>
          </w:p>
        </w:tc>
      </w:tr>
      <w:tr>
        <w:tc>
          <w:tcPr/>
          <w:p>
            <w:pPr>
              <w:pStyle w:val="Compact"/>
            </w:pPr>
            <w:r>
              <w:t xml:space="preserve">OVERALL</w:t>
            </w:r>
          </w:p>
        </w:tc>
        <w:tc>
          <w:tcPr/>
          <w:p>
            <w:pPr>
              <w:pStyle w:val="Compact"/>
            </w:pPr>
            <w:r>
              <w:rPr>
                <w:b/>
                <w:bCs/>
              </w:rPr>
              <w:t xml:space="preserve">0.4884</w:t>
            </w:r>
          </w:p>
        </w:tc>
        <w:tc>
          <w:tcPr/>
          <w:p>
            <w:pPr>
              <w:pStyle w:val="Compact"/>
            </w:pPr>
            <w:r>
              <w:t xml:space="preserve">0.4727</w:t>
            </w:r>
          </w:p>
        </w:tc>
        <w:tc>
          <w:tcPr/>
          <w:p>
            <w:pPr>
              <w:pStyle w:val="Compact"/>
            </w:pPr>
            <w:r>
              <w:t xml:space="preserve">0.4594</w:t>
            </w:r>
          </w:p>
        </w:tc>
        <w:tc>
          <w:tcPr/>
          <w:p>
            <w:pPr>
              <w:pStyle w:val="Compact"/>
            </w:pPr>
            <w:r>
              <w:t xml:space="preserve">0.4688</w:t>
            </w:r>
          </w:p>
        </w:tc>
        <w:tc>
          <w:tcPr/>
          <w:p>
            <w:pPr>
              <w:pStyle w:val="Compact"/>
            </w:pPr>
            <w:r>
              <w:t xml:space="preserve">0.4703</w:t>
            </w:r>
          </w:p>
        </w:tc>
        <w:tc>
          <w:tcPr/>
          <w:p>
            <w:pPr>
              <w:pStyle w:val="Compact"/>
            </w:pPr>
            <w:r>
              <w:rPr>
                <w:b/>
                <w:bCs/>
              </w:rPr>
              <w:t xml:space="preserve">0.5777</w:t>
            </w:r>
          </w:p>
        </w:tc>
        <w:tc>
          <w:tcPr/>
          <w:p>
            <w:pPr>
              <w:pStyle w:val="Compact"/>
            </w:pPr>
            <w:r>
              <w:t xml:space="preserve">0.5640</w:t>
            </w:r>
          </w:p>
        </w:tc>
      </w:tr>
    </w:tbl>
    <w:p>
      <w:pPr>
        <w:pStyle w:val="BodyText"/>
      </w:pPr>
      <w:r>
        <w:t xml:space="preserve">In full-pipeline mode Selphi 2 leads at every frequency, the rarest bin included (chr22 +0.0036, chromosome 1 +0.0031 over Beagle 5.5), and its margin grows with allele frequency (chr22 20-50% MAF: +0.0160 over Beagle 5.5, +0.0215 over Minimac4, +0.0175 over IMPUTE5). The rarest bin is nonetheless where the two methods come closest, and in the imputation-only arm, where Selphi 2 is handed an external phasing instead of producing its own, Beagle 5.5 still leads it there (Supplementary Tables S1 and S9). That the sign differs between the two arms, with the imputer held fixed, points to the phasing stage rather than the imputation stage as the source, plausibly because a single-carrier haplotype is recovered at these frequencies only if the target’s own phase is correct around it; we have not isolated the mechanism directly. At common frequencies the advantage comes from the other end of the pipeline, the long-range, large-window PBWT scan retaining more informative haplotypes per target.</w:t>
      </w:r>
    </w:p>
    <w:bookmarkEnd w:id="37"/>
    <w:bookmarkStart w:id="38" w:name="X6d3bddefc4b11d49fb24047a32f959377528e94"/>
    <w:p>
      <w:pPr>
        <w:pStyle w:val="Heading2"/>
      </w:pPr>
      <w:r>
        <w:rPr>
          <w:b/>
          <w:bCs/>
        </w:rPr>
        <w:t xml:space="preserve">Imputation accuracy on a biobank-scale admixed cohort</w:t>
      </w:r>
    </w:p>
    <w:p>
      <w:pPr>
        <w:pStyle w:val="FirstParagraph"/>
      </w:pPr>
      <w: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t xml:space="preserve"> </w:t>
      </w:r>
      <w:r>
        <w:t xml:space="preserve">= 2,500 retains 1.5% of the 171,054-haplotype TOPMed panel), systematically excluding haplotypes that carry rare alleles in minority sub-populations. We tested this hypothesis on the MESA cohort</w:t>
      </w:r>
      <w:r>
        <w:rPr>
          <w:vertAlign w:val="superscript"/>
        </w:rPr>
        <w:t xml:space="preserve">27</w:t>
      </w:r>
      <w:r>
        <w:t xml:space="preserve"> </w:t>
      </w:r>
      <w: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pPr>
      <w:r>
        <w:t xml:space="preserve">Selphi 2’s panel-adaptive sizing formula (Methods, Candidate selection and HMM) yields</w:t>
      </w:r>
      <w:r>
        <w:t xml:space="preserve"> </w:t>
      </w:r>
      <m:oMath>
        <m:sSub>
          <m:e>
            <m:r>
              <m:t>m</m:t>
            </m:r>
          </m:e>
          <m:sub>
            <m:r>
              <m:t>c</m:t>
            </m:r>
          </m:sub>
        </m:sSub>
      </m:oMath>
      <w:r>
        <w:t xml:space="preserve"> </w:t>
      </w:r>
      <w:r>
        <w:t xml:space="preserve">= 132,676 for the TOPMed panel (panel-tile-compression diversity CV = 0.845, scaled fraction 0.776). At this candidate-set size, Selphi 2’s default diploid engine attains overall</w:t>
      </w:r>
      <w:r>
        <w:t xml:space="preserve"> </w:t>
      </w:r>
      <m:oMath>
        <m:sSup>
          <m:e>
            <m:r>
              <m:t>R</m:t>
            </m:r>
          </m:e>
          <m:sup>
            <m:r>
              <m:t>2</m:t>
            </m:r>
          </m:sup>
        </m:sSup>
      </m:oMath>
      <w:r>
        <w:t xml:space="preserve"> </w:t>
      </w:r>
      <w:r>
        <w:t xml:space="preserve">0.6210 on the MESA cohort, compared to 0.5921 for Beagle 5.5 on the same full-panel set of 17.9 million variants (</w:t>
      </w:r>
      <m:oMath>
        <m:r>
          <m:rPr>
            <m:sty m:val="p"/>
          </m:rPr>
          <m:t>Δ</m:t>
        </m:r>
      </m:oMath>
      <w:r>
        <w:t xml:space="preserve"> </w:t>
      </w:r>
      <w:r>
        <w:t xml:space="preserve">= +0.0289). Per-sample mean</w:t>
      </w:r>
      <w:r>
        <w:t xml:space="preserve"> </w:t>
      </w:r>
      <m:oMath>
        <m:sSup>
          <m:e>
            <m:r>
              <m:t>R</m:t>
            </m:r>
          </m:e>
          <m:sup>
            <m:r>
              <m:t>2</m:t>
            </m:r>
          </m:sup>
        </m:sSup>
      </m:oMath>
      <w:r>
        <w:t xml:space="preserve"> </w:t>
      </w:r>
      <w:r>
        <w:t xml:space="preserve">is 0.9017 (Selphi 2) versus 0.8764 (Beagle 5.5),</w:t>
      </w:r>
      <w:r>
        <w:t xml:space="preserve"> </w:t>
      </w:r>
      <m:oMath>
        <m:r>
          <m:rPr>
            <m:sty m:val="p"/>
          </m:rPr>
          <m:t>Δ</m:t>
        </m:r>
      </m:oMath>
      <w:r>
        <w:t xml:space="preserve"> </w:t>
      </w:r>
      <w:r>
        <w:t xml:space="preserve">= +0.0253; broken down by self-reported ancestry, Selphi 2 leads Beagle 5.5 in all four MESA groups (+0.023 to +0.037 per-sample</w:t>
      </w:r>
      <w:r>
        <w:t xml:space="preserve"> </w:t>
      </w:r>
      <m:oMath>
        <m:sSup>
          <m:e>
            <m:r>
              <m:t>R</m:t>
            </m:r>
          </m:e>
          <m:sup>
            <m:r>
              <m:t>2</m:t>
            </m:r>
          </m:sup>
        </m:sSup>
      </m:oMath>
      <w:r>
        <w:t xml:space="preserve">, largest on the East-Asian group; Figure 3b). Increasing the candidate set further to</w:t>
      </w:r>
      <w:r>
        <w:t xml:space="preserve"> </w:t>
      </w:r>
      <m:oMath>
        <m:sSub>
          <m:e>
            <m:r>
              <m:t>m</m:t>
            </m:r>
          </m:e>
          <m:sub>
            <m:r>
              <m:t>c</m:t>
            </m:r>
          </m:sub>
        </m:sSub>
      </m:oMath>
      <w:r>
        <w:t xml:space="preserve"> </w:t>
      </w:r>
      <w: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t xml:space="preserve"> </w:t>
      </w:r>
      <m:oMath>
        <m:sSup>
          <m:e>
            <m:r>
              <m:t>R</m:t>
            </m:r>
          </m:e>
          <m:sup>
            <m:r>
              <m:t>2</m:t>
            </m:r>
          </m:sup>
        </m:sSup>
      </m:oMath>
      <w:r>
        <w:t xml:space="preserve"> </w:t>
      </w:r>
      <w:r>
        <w:t xml:space="preserve">0.4967 and 0.4795 respectively, well below both Beagle 5.5 (0.5921) and Selphi 2 (0.6210): IMPUTE5’s fixed</w:t>
      </w:r>
      <w:r>
        <w:t xml:space="preserve"> </w:t>
      </w:r>
      <m:oMath>
        <m:r>
          <m:t>L</m:t>
        </m:r>
      </m:oMath>
      <w:r>
        <w:t xml:space="preserve"> </w:t>
      </w:r>
      <w: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pPr>
      <w:r>
        <w:t xml:space="preserve">To isolate the contribution of the new sizing rule, we ran Selphi 2 on the same admixed cohort with</w:t>
      </w:r>
      <w:r>
        <w:t xml:space="preserve"> </w:t>
      </w:r>
      <m:oMath>
        <m:sSub>
          <m:e>
            <m:r>
              <m:t>m</m:t>
            </m:r>
          </m:e>
          <m:sub>
            <m:r>
              <m:t>c</m:t>
            </m:r>
          </m:sub>
        </m:sSub>
      </m:oMath>
      <w:r>
        <w:t xml:space="preserve"> </w:t>
      </w:r>
      <w:r>
        <w:t xml:space="preserve">fixed at 2,500 (a representative fixed candidate-set size). On a 500-sample MESA subset (chr20, TOPMed panel),</w:t>
      </w:r>
      <w:r>
        <w:t xml:space="preserve"> </w:t>
      </w:r>
      <m:oMath>
        <m:sSub>
          <m:e>
            <m:r>
              <m:t>m</m:t>
            </m:r>
          </m:e>
          <m:sub>
            <m:r>
              <m:t>c</m:t>
            </m:r>
          </m:sub>
        </m:sSub>
      </m:oMath>
      <w:r>
        <w:t xml:space="preserve"> </w:t>
      </w:r>
      <w:r>
        <w:t xml:space="preserve">= 2,500 yielded overall</w:t>
      </w:r>
      <w:r>
        <w:t xml:space="preserve"> </w:t>
      </w:r>
      <m:oMath>
        <m:sSup>
          <m:e>
            <m:r>
              <m:t>R</m:t>
            </m:r>
          </m:e>
          <m:sup>
            <m:r>
              <m:t>2</m:t>
            </m:r>
          </m:sup>
        </m:sSup>
      </m:oMath>
      <w:r>
        <w:t xml:space="preserve"> </w:t>
      </w:r>
      <w:r>
        <w:t xml:space="preserve">0.5916 while</w:t>
      </w:r>
      <w:r>
        <w:t xml:space="preserve"> </w:t>
      </w:r>
      <m:oMath>
        <m:sSub>
          <m:e>
            <m:r>
              <m:t>m</m:t>
            </m:r>
          </m:e>
          <m:sub>
            <m:r>
              <m:t>c</m:t>
            </m:r>
          </m:sub>
        </m:sSub>
      </m:oMath>
      <w:r>
        <w:t xml:space="preserve"> </w:t>
      </w:r>
      <w:r>
        <w:t xml:space="preserve">= 132,676 (auto) yielded</w:t>
      </w:r>
      <w:r>
        <w:t xml:space="preserve"> </w:t>
      </w:r>
      <m:oMath>
        <m:sSup>
          <m:e>
            <m:r>
              <m:t>R</m:t>
            </m:r>
          </m:e>
          <m:sup>
            <m:r>
              <m:t>2</m:t>
            </m:r>
          </m:sup>
        </m:sSup>
      </m:oMath>
      <w:r>
        <w:t xml:space="preserve"> </w:t>
      </w:r>
      <w:r>
        <w:t xml:space="preserve">0.6453, a gain of +0.0536 attributable entirely to the candidate-set size (Table 4).</w:t>
      </w:r>
    </w:p>
    <w:p>
      <w:pPr>
        <w:pStyle w:val="BodyText"/>
      </w:pPr>
      <w:r>
        <w:rPr>
          <w:b/>
          <w:bCs/>
        </w:rPr>
        <w:t xml:space="preserve">Table 4. Effect of candidate-set size on imputation</w:t>
      </w:r>
      <w:r>
        <w:rPr>
          <w:b/>
          <w:bCs/>
        </w:rPr>
        <w:t xml:space="preserve"> </w:t>
      </w:r>
      <m:oMath>
        <m:sSup>
          <m:e>
            <m:r>
              <m:t>R</m:t>
            </m:r>
          </m:e>
          <m:sup>
            <m:r>
              <m:t>2</m:t>
            </m:r>
          </m:sup>
        </m:sSup>
      </m:oMath>
      <w:r>
        <w:rPr>
          <w:b/>
          <w:bCs/>
        </w:rPr>
        <w:t xml:space="preserve">, MESA admixed cohort</w:t>
      </w:r>
      <w:r>
        <w:rPr>
          <w:b/>
          <w:bCs/>
        </w:rPr>
        <w:t xml:space="preserve"> </w:t>
      </w:r>
      <m:oMath>
        <m:r>
          <m:rPr>
            <m:sty m:val="p"/>
          </m:rPr>
          <m:t>×</m:t>
        </m:r>
      </m:oMath>
      <w:r>
        <w:rPr>
          <w:b/>
          <w:bCs/>
        </w:rPr>
        <w:t xml:space="preserve"> </w:t>
      </w:r>
      <w:r>
        <w:rPr>
          <w:b/>
          <w:bCs/>
        </w:rPr>
        <w:t xml:space="preserve">TOPMed panel.</w:t>
      </w:r>
      <w:r>
        <w:t xml:space="preserve"> </w:t>
      </w:r>
      <m:oMath>
        <m:sSup>
          <m:e>
            <m:r>
              <m:t>R</m:t>
            </m:r>
          </m:e>
          <m:sup>
            <m:r>
              <m:t>2</m:t>
            </m:r>
          </m:sup>
        </m:sSup>
      </m:oMath>
      <w:r>
        <w:t xml:space="preserve"> </w:t>
      </w:r>
      <w:r>
        <w:t xml:space="preserve">for two candidate-set sizes on a 500-sample subset of MESA, chr20, at representative MAF bins spanning the frequency range (the full nine-bin breakdown, stratified by ancestry, is in Table 4b).</w:t>
      </w:r>
      <w:r>
        <w:t xml:space="preserve"> </w:t>
      </w:r>
      <m:oMath>
        <m:sSub>
          <m:e>
            <m:r>
              <m:t>m</m:t>
            </m:r>
          </m:e>
          <m:sub>
            <m:r>
              <m:t>c</m:t>
            </m:r>
          </m:sub>
        </m:sSub>
      </m:oMath>
      <w:r>
        <w:t xml:space="preserve"> </w:t>
      </w:r>
      <w:r>
        <w:t xml:space="preserve">= 2,500 is a representative fixed candidate-set size;</w:t>
      </w:r>
      <w:r>
        <w:t xml:space="preserve"> </w:t>
      </w:r>
      <m:oMath>
        <m:sSub>
          <m:e>
            <m:r>
              <m:t>m</m:t>
            </m:r>
          </m:e>
          <m:sub>
            <m:r>
              <m:t>c</m:t>
            </m:r>
          </m:sub>
        </m:sSub>
      </m:oMath>
      <w:r>
        <w:t xml:space="preserve"> </w:t>
      </w:r>
      <w:r>
        <w:t xml:space="preserve">= 132,676 is the value chosen by the panel-adaptive formula (Methods).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MAF</w:t>
            </w:r>
          </w:p>
        </w:tc>
        <w:tc>
          <w:tcPr/>
          <w:p>
            <w:pPr>
              <w:pStyle w:val="Compact"/>
            </w:pPr>
            <m:oMath>
              <m:sSub>
                <m:e>
                  <m:r>
                    <m:t>m</m:t>
                  </m:r>
                </m:e>
                <m:sub>
                  <m:r>
                    <m:t>c</m:t>
                  </m:r>
                </m:sub>
              </m:sSub>
            </m:oMath>
            <w:r>
              <w:t xml:space="preserve"> </w:t>
            </w:r>
            <w:r>
              <w:t xml:space="preserve">= 2,500</w:t>
            </w:r>
          </w:p>
        </w:tc>
        <w:tc>
          <w:tcPr/>
          <w:p>
            <w:pPr>
              <w:pStyle w:val="Compact"/>
            </w:pPr>
            <m:oMath>
              <m:sSub>
                <m:e>
                  <m:r>
                    <m:t>m</m:t>
                  </m:r>
                </m:e>
                <m:sub>
                  <m:r>
                    <m:t>c</m:t>
                  </m:r>
                </m:sub>
              </m:sSub>
            </m:oMath>
            <w:r>
              <w:t xml:space="preserve"> </w:t>
            </w:r>
            <w:r>
              <w:t xml:space="preserve">= 132,676 (auto)</w:t>
            </w:r>
          </w:p>
        </w:tc>
        <w:tc>
          <w:tcPr/>
          <w:p>
            <w:pPr>
              <w:pStyle w:val="Compact"/>
            </w:pPr>
            <m:oMath>
              <m:r>
                <m:rPr>
                  <m:sty m:val="p"/>
                </m:rPr>
                <m:t>Δ</m:t>
              </m:r>
            </m:oMath>
          </w:p>
        </w:tc>
      </w:tr>
      <w:tr>
        <w:tc>
          <w:tcPr/>
          <w:p>
            <w:pPr>
              <w:pStyle w:val="Compact"/>
            </w:pPr>
            <w:r>
              <w:t xml:space="preserve">0.1-0.2%</w:t>
            </w:r>
          </w:p>
        </w:tc>
        <w:tc>
          <w:tcPr/>
          <w:p>
            <w:pPr>
              <w:pStyle w:val="Compact"/>
            </w:pPr>
            <w:r>
              <w:t xml:space="preserve">0.5273</w:t>
            </w:r>
          </w:p>
        </w:tc>
        <w:tc>
          <w:tcPr/>
          <w:p>
            <w:pPr>
              <w:pStyle w:val="Compact"/>
            </w:pPr>
            <w:r>
              <w:t xml:space="preserve">0.6220</w:t>
            </w:r>
          </w:p>
        </w:tc>
        <w:tc>
          <w:tcPr/>
          <w:p>
            <w:pPr>
              <w:pStyle w:val="Compact"/>
            </w:pPr>
            <w:r>
              <w:t xml:space="preserve">+0.0948</w:t>
            </w:r>
          </w:p>
        </w:tc>
      </w:tr>
      <w:tr>
        <w:tc>
          <w:tcPr/>
          <w:p>
            <w:pPr>
              <w:pStyle w:val="Compact"/>
            </w:pPr>
            <w:r>
              <w:t xml:space="preserve">0.2-0.5%</w:t>
            </w:r>
          </w:p>
        </w:tc>
        <w:tc>
          <w:tcPr/>
          <w:p>
            <w:pPr>
              <w:pStyle w:val="Compact"/>
            </w:pPr>
            <w:r>
              <w:t xml:space="preserve">0.5486</w:t>
            </w:r>
          </w:p>
        </w:tc>
        <w:tc>
          <w:tcPr/>
          <w:p>
            <w:pPr>
              <w:pStyle w:val="Compact"/>
            </w:pPr>
            <w:r>
              <w:t xml:space="preserve">0.6143</w:t>
            </w:r>
          </w:p>
        </w:tc>
        <w:tc>
          <w:tcPr/>
          <w:p>
            <w:pPr>
              <w:pStyle w:val="Compact"/>
            </w:pPr>
            <w:r>
              <w:t xml:space="preserve">+0.0657</w:t>
            </w:r>
          </w:p>
        </w:tc>
      </w:tr>
      <w:tr>
        <w:tc>
          <w:tcPr/>
          <w:p>
            <w:pPr>
              <w:pStyle w:val="Compact"/>
            </w:pPr>
            <w:r>
              <w:t xml:space="preserve">0.5-1%</w:t>
            </w:r>
          </w:p>
        </w:tc>
        <w:tc>
          <w:tcPr/>
          <w:p>
            <w:pPr>
              <w:pStyle w:val="Compact"/>
            </w:pPr>
            <w:r>
              <w:t xml:space="preserve">0.6097</w:t>
            </w:r>
          </w:p>
        </w:tc>
        <w:tc>
          <w:tcPr/>
          <w:p>
            <w:pPr>
              <w:pStyle w:val="Compact"/>
            </w:pPr>
            <w:r>
              <w:t xml:space="preserve">0.6520</w:t>
            </w:r>
          </w:p>
        </w:tc>
        <w:tc>
          <w:tcPr/>
          <w:p>
            <w:pPr>
              <w:pStyle w:val="Compact"/>
            </w:pPr>
            <w:r>
              <w:t xml:space="preserve">+0.0422</w:t>
            </w:r>
          </w:p>
        </w:tc>
      </w:tr>
      <w:tr>
        <w:tc>
          <w:tcPr/>
          <w:p>
            <w:pPr>
              <w:pStyle w:val="Compact"/>
            </w:pPr>
            <w:r>
              <w:t xml:space="preserve">1-2%</w:t>
            </w:r>
          </w:p>
        </w:tc>
        <w:tc>
          <w:tcPr/>
          <w:p>
            <w:pPr>
              <w:pStyle w:val="Compact"/>
            </w:pPr>
            <w:r>
              <w:t xml:space="preserve">0.6369</w:t>
            </w:r>
          </w:p>
        </w:tc>
        <w:tc>
          <w:tcPr/>
          <w:p>
            <w:pPr>
              <w:pStyle w:val="Compact"/>
            </w:pPr>
            <w:r>
              <w:t xml:space="preserve">0.6684</w:t>
            </w:r>
          </w:p>
        </w:tc>
        <w:tc>
          <w:tcPr/>
          <w:p>
            <w:pPr>
              <w:pStyle w:val="Compact"/>
            </w:pPr>
            <w:r>
              <w:t xml:space="preserve">+0.0315</w:t>
            </w:r>
          </w:p>
        </w:tc>
      </w:tr>
      <w:tr>
        <w:tc>
          <w:tcPr/>
          <w:p>
            <w:pPr>
              <w:pStyle w:val="Compact"/>
            </w:pPr>
            <w:r>
              <w:t xml:space="preserve">5-10%</w:t>
            </w:r>
          </w:p>
        </w:tc>
        <w:tc>
          <w:tcPr/>
          <w:p>
            <w:pPr>
              <w:pStyle w:val="Compact"/>
            </w:pPr>
            <w:r>
              <w:t xml:space="preserve">0.6656</w:t>
            </w:r>
          </w:p>
        </w:tc>
        <w:tc>
          <w:tcPr/>
          <w:p>
            <w:pPr>
              <w:pStyle w:val="Compact"/>
            </w:pPr>
            <w:r>
              <w:t xml:space="preserve">0.6788</w:t>
            </w:r>
          </w:p>
        </w:tc>
        <w:tc>
          <w:tcPr/>
          <w:p>
            <w:pPr>
              <w:pStyle w:val="Compact"/>
            </w:pPr>
            <w:r>
              <w:t xml:space="preserve">+0.0132</w:t>
            </w:r>
          </w:p>
        </w:tc>
      </w:tr>
      <w:tr>
        <w:tc>
          <w:tcPr/>
          <w:p>
            <w:pPr>
              <w:pStyle w:val="Compact"/>
            </w:pPr>
            <w:r>
              <w:t xml:space="preserve">20-50%</w:t>
            </w:r>
          </w:p>
        </w:tc>
        <w:tc>
          <w:tcPr/>
          <w:p>
            <w:pPr>
              <w:pStyle w:val="Compact"/>
            </w:pPr>
            <w:r>
              <w:t xml:space="preserve">0.6731</w:t>
            </w:r>
          </w:p>
        </w:tc>
        <w:tc>
          <w:tcPr/>
          <w:p>
            <w:pPr>
              <w:pStyle w:val="Compact"/>
            </w:pPr>
            <w:r>
              <w:t xml:space="preserve">0.6778</w:t>
            </w:r>
          </w:p>
        </w:tc>
        <w:tc>
          <w:tcPr/>
          <w:p>
            <w:pPr>
              <w:pStyle w:val="Compact"/>
            </w:pPr>
            <w:r>
              <w:t xml:space="preserve">+0.0047</w:t>
            </w:r>
          </w:p>
        </w:tc>
      </w:tr>
      <w:tr>
        <w:tc>
          <w:tcPr/>
          <w:p>
            <w:pPr>
              <w:pStyle w:val="Compact"/>
            </w:pPr>
            <w:r>
              <w:t xml:space="preserve">OVERALL</w:t>
            </w:r>
          </w:p>
        </w:tc>
        <w:tc>
          <w:tcPr/>
          <w:p>
            <w:pPr>
              <w:pStyle w:val="Compact"/>
            </w:pPr>
            <w:r>
              <w:t xml:space="preserve">0.5916</w:t>
            </w:r>
          </w:p>
        </w:tc>
        <w:tc>
          <w:tcPr/>
          <w:p>
            <w:pPr>
              <w:pStyle w:val="Compact"/>
            </w:pPr>
            <w:r>
              <w:rPr>
                <w:b/>
                <w:bCs/>
              </w:rPr>
              <w:t xml:space="preserve">0.6453</w:t>
            </w:r>
          </w:p>
        </w:tc>
        <w:tc>
          <w:tcPr/>
          <w:p>
            <w:pPr>
              <w:pStyle w:val="Compact"/>
            </w:pPr>
            <w:r>
              <w:rPr>
                <w:b/>
                <w:bCs/>
              </w:rPr>
              <w:t xml:space="preserve">+0.0536</w:t>
            </w:r>
          </w:p>
        </w:tc>
      </w:tr>
    </w:tbl>
    <w:p>
      <w:pPr>
        <w:pStyle w:val="BodyText"/>
      </w:pPr>
      <w:r>
        <w:t xml:space="preserve">The gain is monotonically larger at rarer MAF bins, confirming that the fixed candidate-set size was preferentially truncating rare-variant carriers. The panel-adaptive formula recovers this accuracy without manual tuning.</w:t>
      </w:r>
    </w:p>
    <w:p>
      <w:pPr>
        <w:pStyle w:val="BodyText"/>
      </w:pPr>
      <w:r>
        <w:t xml:space="preserve">To test whether this candidate-set truncation falls preferentially on minority ancestries, as the proposed mechanism predicts, we re-imputed the full 5,000-sample cohort twice (fixed</w:t>
      </w:r>
      <w:r>
        <w:t xml:space="preserve"> </w:t>
      </w:r>
      <m:oMath>
        <m:sSub>
          <m:e>
            <m:r>
              <m:t>m</m:t>
            </m:r>
          </m:e>
          <m:sub>
            <m:r>
              <m:t>c</m:t>
            </m:r>
          </m:sub>
        </m:sSub>
      </m:oMath>
      <w:r>
        <w:t xml:space="preserve"> </w:t>
      </w:r>
      <w:r>
        <w:t xml:space="preserve">= 2,500 versus panel-adaptive</w:t>
      </w:r>
      <w:r>
        <w:t xml:space="preserve"> </w:t>
      </w:r>
      <m:oMath>
        <m:sSub>
          <m:e>
            <m:r>
              <m:t>m</m:t>
            </m:r>
          </m:e>
          <m:sub>
            <m:r>
              <m:t>c</m:t>
            </m:r>
          </m:sub>
        </m:sSub>
      </m:oMath>
      <w:r>
        <w:t xml:space="preserve"> </w:t>
      </w:r>
      <w:r>
        <w:t xml:space="preserve">= 132,676, identical in every other respect) and stratified the recovered accuracy (adaptive minus fixed) by self-reported ancestry and minor-allele frequency (3,948 of 5,000 samples carry an ancestry label; per-variant</w:t>
      </w:r>
      <w:r>
        <w:t xml:space="preserve"> </w:t>
      </w:r>
      <m:oMath>
        <m:sSup>
          <m:e>
            <m:r>
              <m:t>R</m:t>
            </m:r>
          </m:e>
          <m:sup>
            <m:r>
              <m:t>2</m:t>
            </m:r>
          </m:sup>
        </m:sSup>
      </m:oMath>
      <w:r>
        <w:t xml:space="preserve"> </w:t>
      </w:r>
      <w:r>
        <w:t xml:space="preserve">binned by within-group MAF). The recovery is concentrated at rare variants and is largest for the most admixed or diverged populations (Table 4b): at the rarest bin (MAF 0.05-0.1%) the panel-adaptive sizing recovers +0.153</w:t>
      </w:r>
      <w:r>
        <w:t xml:space="preserve"> </w:t>
      </w:r>
      <m:oMath>
        <m:sSup>
          <m:e>
            <m:r>
              <m:t>R</m:t>
            </m:r>
          </m:e>
          <m:sup>
            <m:r>
              <m:t>2</m:t>
            </m:r>
          </m:sup>
        </m:sSup>
      </m:oMath>
      <w:r>
        <w:t xml:space="preserve"> </w:t>
      </w:r>
      <w:r>
        <w:t xml:space="preserve">for Hispanic and +0.121 for African-American samples, versus +0.105 for European-ancestry (White) samples, and the gap widens across the low-frequency range (at 0.2-0.5% MAF, +0.110 and +0.070 versus +0.047). Aggregated over all variants the recovery is +0.100 (Hispanic), +0.073 (African-American), and +0.045 (White); the comparatively homogeneous East-Asian (Chinese-American) group, already well served by a small candidate set, gains essentially nothing (overall -0.002, and marginally negative from 0.5% MAF upward, where the larger candidate set slightly over-conditions this homogeneous group; Table 4b).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pPr>
      <w:r>
        <w:rPr>
          <w:b/>
          <w:bCs/>
        </w:rPr>
        <w:t xml:space="preserve">Table 4b. Rare-variant accuracy recovered by panel-adaptive candidate sizing, stratified by ancestry.</w:t>
      </w:r>
      <w:r>
        <w:t xml:space="preserve"> </w:t>
      </w:r>
      <w:r>
        <w:t xml:space="preserve">Per-variant</w:t>
      </w:r>
      <w:r>
        <w:t xml:space="preserve"> </w:t>
      </w:r>
      <m:oMath>
        <m:sSup>
          <m:e>
            <m:r>
              <m:t>R</m:t>
            </m:r>
          </m:e>
          <m:sup>
            <m:r>
              <m:t>2</m:t>
            </m:r>
          </m:sup>
        </m:sSup>
      </m:oMath>
      <w:r>
        <w:t xml:space="preserve"> </w:t>
      </w:r>
      <w:r>
        <w:t xml:space="preserve">gain (panel-adaptive</w:t>
      </w:r>
      <w:r>
        <w:t xml:space="preserve"> </w:t>
      </w:r>
      <m:oMath>
        <m:sSub>
          <m:e>
            <m:r>
              <m:t>m</m:t>
            </m:r>
          </m:e>
          <m:sub>
            <m:r>
              <m:t>c</m:t>
            </m:r>
          </m:sub>
        </m:sSub>
      </m:oMath>
      <w:r>
        <w:t xml:space="preserve"> </w:t>
      </w:r>
      <w:r>
        <w:t xml:space="preserve">= 132,676 minus fixed</w:t>
      </w:r>
      <w:r>
        <w:t xml:space="preserve"> </w:t>
      </w:r>
      <m:oMath>
        <m:sSub>
          <m:e>
            <m:r>
              <m:t>m</m:t>
            </m:r>
          </m:e>
          <m:sub>
            <m:r>
              <m:t>c</m:t>
            </m:r>
          </m:sub>
        </m:sSub>
      </m:oMath>
      <w:r>
        <w:t xml:space="preserve"> </w:t>
      </w:r>
      <w:r>
        <w:t xml:space="preserve">= 2,500) on the full 5,000-sample MESA cohort imputed against the TOPMed panel (chr20), binned by within-group minor-allele frequency. Both runs are identical except for the candidate-set size. n = labelled samples per group.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MAF</w:t>
            </w:r>
          </w:p>
        </w:tc>
        <w:tc>
          <w:tcPr/>
          <w:p>
            <w:pPr>
              <w:pStyle w:val="Compact"/>
            </w:pPr>
            <w:r>
              <w:t xml:space="preserve">African-American (924)</w:t>
            </w:r>
          </w:p>
        </w:tc>
        <w:tc>
          <w:tcPr/>
          <w:p>
            <w:pPr>
              <w:pStyle w:val="Compact"/>
            </w:pPr>
            <w:r>
              <w:t xml:space="preserve">Hispanic (859)</w:t>
            </w:r>
          </w:p>
        </w:tc>
        <w:tc>
          <w:tcPr/>
          <w:p>
            <w:pPr>
              <w:pStyle w:val="Compact"/>
            </w:pPr>
            <w:r>
              <w:t xml:space="preserve">White (1,631)</w:t>
            </w:r>
          </w:p>
        </w:tc>
        <w:tc>
          <w:tcPr/>
          <w:p>
            <w:pPr>
              <w:pStyle w:val="Compact"/>
            </w:pPr>
            <w:r>
              <w:t xml:space="preserve">Chinese-American (534)</w:t>
            </w:r>
          </w:p>
        </w:tc>
      </w:tr>
      <w:tr>
        <w:tc>
          <w:tcPr/>
          <w:p>
            <w:pPr>
              <w:pStyle w:val="Compact"/>
            </w:pPr>
            <w:r>
              <w:t xml:space="preserve">0.05-0.1%</w:t>
            </w:r>
          </w:p>
        </w:tc>
        <w:tc>
          <w:tcPr/>
          <w:p>
            <w:pPr>
              <w:pStyle w:val="Compact"/>
            </w:pPr>
            <w:r>
              <w:t xml:space="preserve">+0.1206</w:t>
            </w:r>
          </w:p>
        </w:tc>
        <w:tc>
          <w:tcPr/>
          <w:p>
            <w:pPr>
              <w:pStyle w:val="Compact"/>
            </w:pPr>
            <w:r>
              <w:rPr>
                <w:b/>
                <w:bCs/>
              </w:rPr>
              <w:t xml:space="preserve">+0.1529</w:t>
            </w:r>
          </w:p>
        </w:tc>
        <w:tc>
          <w:tcPr/>
          <w:p>
            <w:pPr>
              <w:pStyle w:val="Compact"/>
            </w:pPr>
            <w:r>
              <w:t xml:space="preserve">+0.1049</w:t>
            </w:r>
          </w:p>
        </w:tc>
        <w:tc>
          <w:tcPr/>
          <w:p>
            <w:pPr>
              <w:pStyle w:val="Compact"/>
            </w:pPr>
            <w:r>
              <w:t xml:space="preserve">+0.0093</w:t>
            </w:r>
          </w:p>
        </w:tc>
      </w:tr>
      <w:tr>
        <w:tc>
          <w:tcPr/>
          <w:p>
            <w:pPr>
              <w:pStyle w:val="Compact"/>
            </w:pPr>
            <w:r>
              <w:t xml:space="preserve">0.1-0.2%</w:t>
            </w:r>
          </w:p>
        </w:tc>
        <w:tc>
          <w:tcPr/>
          <w:p>
            <w:pPr>
              <w:pStyle w:val="Compact"/>
            </w:pPr>
            <w:r>
              <w:t xml:space="preserve">+0.0973</w:t>
            </w:r>
          </w:p>
        </w:tc>
        <w:tc>
          <w:tcPr/>
          <w:p>
            <w:pPr>
              <w:pStyle w:val="Compact"/>
            </w:pPr>
            <w:r>
              <w:t xml:space="preserve">+0.1362</w:t>
            </w:r>
          </w:p>
        </w:tc>
        <w:tc>
          <w:tcPr/>
          <w:p>
            <w:pPr>
              <w:pStyle w:val="Compact"/>
            </w:pPr>
            <w:r>
              <w:t xml:space="preserve">+0.0734</w:t>
            </w:r>
          </w:p>
        </w:tc>
        <w:tc>
          <w:tcPr/>
          <w:p>
            <w:pPr>
              <w:pStyle w:val="Compact"/>
            </w:pPr>
            <w:r>
              <w:t xml:space="preserve">+0.0097</w:t>
            </w:r>
          </w:p>
        </w:tc>
      </w:tr>
      <w:tr>
        <w:tc>
          <w:tcPr/>
          <w:p>
            <w:pPr>
              <w:pStyle w:val="Compact"/>
            </w:pPr>
            <w:r>
              <w:t xml:space="preserve">0.2-0.5%</w:t>
            </w:r>
          </w:p>
        </w:tc>
        <w:tc>
          <w:tcPr/>
          <w:p>
            <w:pPr>
              <w:pStyle w:val="Compact"/>
            </w:pPr>
            <w:r>
              <w:t xml:space="preserve">+0.0702</w:t>
            </w:r>
          </w:p>
        </w:tc>
        <w:tc>
          <w:tcPr/>
          <w:p>
            <w:pPr>
              <w:pStyle w:val="Compact"/>
            </w:pPr>
            <w:r>
              <w:t xml:space="preserve">+0.1095</w:t>
            </w:r>
          </w:p>
        </w:tc>
        <w:tc>
          <w:tcPr/>
          <w:p>
            <w:pPr>
              <w:pStyle w:val="Compact"/>
            </w:pPr>
            <w:r>
              <w:t xml:space="preserve">+0.0471</w:t>
            </w:r>
          </w:p>
        </w:tc>
        <w:tc>
          <w:tcPr/>
          <w:p>
            <w:pPr>
              <w:pStyle w:val="Compact"/>
            </w:pPr>
            <w:r>
              <w:t xml:space="preserve">+0.0031</w:t>
            </w:r>
          </w:p>
        </w:tc>
      </w:tr>
      <w:tr>
        <w:tc>
          <w:tcPr/>
          <w:p>
            <w:pPr>
              <w:pStyle w:val="Compact"/>
            </w:pPr>
            <w:r>
              <w:t xml:space="preserve">0.5-1%</w:t>
            </w:r>
          </w:p>
        </w:tc>
        <w:tc>
          <w:tcPr/>
          <w:p>
            <w:pPr>
              <w:pStyle w:val="Compact"/>
            </w:pPr>
            <w:r>
              <w:t xml:space="preserve">+0.0513</w:t>
            </w:r>
          </w:p>
        </w:tc>
        <w:tc>
          <w:tcPr/>
          <w:p>
            <w:pPr>
              <w:pStyle w:val="Compact"/>
            </w:pPr>
            <w:r>
              <w:t xml:space="preserve">+0.0830</w:t>
            </w:r>
          </w:p>
        </w:tc>
        <w:tc>
          <w:tcPr/>
          <w:p>
            <w:pPr>
              <w:pStyle w:val="Compact"/>
            </w:pPr>
            <w:r>
              <w:t xml:space="preserve">+0.0298</w:t>
            </w:r>
          </w:p>
        </w:tc>
        <w:tc>
          <w:tcPr/>
          <w:p>
            <w:pPr>
              <w:pStyle w:val="Compact"/>
            </w:pPr>
            <w:r>
              <w:t xml:space="preserve">-0.0007</w:t>
            </w:r>
          </w:p>
        </w:tc>
      </w:tr>
      <w:tr>
        <w:tc>
          <w:tcPr/>
          <w:p>
            <w:pPr>
              <w:pStyle w:val="Compact"/>
            </w:pPr>
            <w:r>
              <w:t xml:space="preserve">1-2%</w:t>
            </w:r>
          </w:p>
        </w:tc>
        <w:tc>
          <w:tcPr/>
          <w:p>
            <w:pPr>
              <w:pStyle w:val="Compact"/>
            </w:pPr>
            <w:r>
              <w:t xml:space="preserve">+0.0416</w:t>
            </w:r>
          </w:p>
        </w:tc>
        <w:tc>
          <w:tcPr/>
          <w:p>
            <w:pPr>
              <w:pStyle w:val="Compact"/>
            </w:pPr>
            <w:r>
              <w:t xml:space="preserve">+0.0573</w:t>
            </w:r>
          </w:p>
        </w:tc>
        <w:tc>
          <w:tcPr/>
          <w:p>
            <w:pPr>
              <w:pStyle w:val="Compact"/>
            </w:pPr>
            <w:r>
              <w:t xml:space="preserve">+0.0185</w:t>
            </w:r>
          </w:p>
        </w:tc>
        <w:tc>
          <w:tcPr/>
          <w:p>
            <w:pPr>
              <w:pStyle w:val="Compact"/>
            </w:pPr>
            <w:r>
              <w:t xml:space="preserve">-0.0045</w:t>
            </w:r>
          </w:p>
        </w:tc>
      </w:tr>
      <w:tr>
        <w:tc>
          <w:tcPr/>
          <w:p>
            <w:pPr>
              <w:pStyle w:val="Compact"/>
            </w:pPr>
            <w:r>
              <w:t xml:space="preserve">2-5%</w:t>
            </w:r>
          </w:p>
        </w:tc>
        <w:tc>
          <w:tcPr/>
          <w:p>
            <w:pPr>
              <w:pStyle w:val="Compact"/>
            </w:pPr>
            <w:r>
              <w:t xml:space="preserve">+0.0331</w:t>
            </w:r>
          </w:p>
        </w:tc>
        <w:tc>
          <w:tcPr/>
          <w:p>
            <w:pPr>
              <w:pStyle w:val="Compact"/>
            </w:pPr>
            <w:r>
              <w:t xml:space="preserve">+0.0356</w:t>
            </w:r>
          </w:p>
        </w:tc>
        <w:tc>
          <w:tcPr/>
          <w:p>
            <w:pPr>
              <w:pStyle w:val="Compact"/>
            </w:pPr>
            <w:r>
              <w:t xml:space="preserve">+0.0090</w:t>
            </w:r>
          </w:p>
        </w:tc>
        <w:tc>
          <w:tcPr/>
          <w:p>
            <w:pPr>
              <w:pStyle w:val="Compact"/>
            </w:pPr>
            <w:r>
              <w:t xml:space="preserve">-0.0054</w:t>
            </w:r>
          </w:p>
        </w:tc>
      </w:tr>
      <w:tr>
        <w:tc>
          <w:tcPr/>
          <w:p>
            <w:pPr>
              <w:pStyle w:val="Compact"/>
            </w:pPr>
            <w:r>
              <w:t xml:space="preserve">5-10%</w:t>
            </w:r>
          </w:p>
        </w:tc>
        <w:tc>
          <w:tcPr/>
          <w:p>
            <w:pPr>
              <w:pStyle w:val="Compact"/>
            </w:pPr>
            <w:r>
              <w:t xml:space="preserve">+0.0256</w:t>
            </w:r>
          </w:p>
        </w:tc>
        <w:tc>
          <w:tcPr/>
          <w:p>
            <w:pPr>
              <w:pStyle w:val="Compact"/>
            </w:pPr>
            <w:r>
              <w:t xml:space="preserve">+0.0201</w:t>
            </w:r>
          </w:p>
        </w:tc>
        <w:tc>
          <w:tcPr/>
          <w:p>
            <w:pPr>
              <w:pStyle w:val="Compact"/>
            </w:pPr>
            <w:r>
              <w:t xml:space="preserve">+0.0080</w:t>
            </w:r>
          </w:p>
        </w:tc>
        <w:tc>
          <w:tcPr/>
          <w:p>
            <w:pPr>
              <w:pStyle w:val="Compact"/>
            </w:pPr>
            <w:r>
              <w:t xml:space="preserve">-0.0058</w:t>
            </w:r>
          </w:p>
        </w:tc>
      </w:tr>
      <w:tr>
        <w:tc>
          <w:tcPr/>
          <w:p>
            <w:pPr>
              <w:pStyle w:val="Compact"/>
            </w:pPr>
            <w:r>
              <w:t xml:space="preserve">10-20%</w:t>
            </w:r>
          </w:p>
        </w:tc>
        <w:tc>
          <w:tcPr/>
          <w:p>
            <w:pPr>
              <w:pStyle w:val="Compact"/>
            </w:pPr>
            <w:r>
              <w:t xml:space="preserve">+0.0192</w:t>
            </w:r>
          </w:p>
        </w:tc>
        <w:tc>
          <w:tcPr/>
          <w:p>
            <w:pPr>
              <w:pStyle w:val="Compact"/>
            </w:pPr>
            <w:r>
              <w:t xml:space="preserve">+0.0142</w:t>
            </w:r>
          </w:p>
        </w:tc>
        <w:tc>
          <w:tcPr/>
          <w:p>
            <w:pPr>
              <w:pStyle w:val="Compact"/>
            </w:pPr>
            <w:r>
              <w:t xml:space="preserve">+0.0064</w:t>
            </w:r>
          </w:p>
        </w:tc>
        <w:tc>
          <w:tcPr/>
          <w:p>
            <w:pPr>
              <w:pStyle w:val="Compact"/>
            </w:pPr>
            <w:r>
              <w:t xml:space="preserve">-0.0054</w:t>
            </w:r>
          </w:p>
        </w:tc>
      </w:tr>
      <w:tr>
        <w:tc>
          <w:tcPr/>
          <w:p>
            <w:pPr>
              <w:pStyle w:val="Compact"/>
            </w:pPr>
            <w:r>
              <w:t xml:space="preserve">20-50%</w:t>
            </w:r>
          </w:p>
        </w:tc>
        <w:tc>
          <w:tcPr/>
          <w:p>
            <w:pPr>
              <w:pStyle w:val="Compact"/>
            </w:pPr>
            <w:r>
              <w:t xml:space="preserve">+0.0127</w:t>
            </w:r>
          </w:p>
        </w:tc>
        <w:tc>
          <w:tcPr/>
          <w:p>
            <w:pPr>
              <w:pStyle w:val="Compact"/>
            </w:pPr>
            <w:r>
              <w:t xml:space="preserve">+0.0092</w:t>
            </w:r>
          </w:p>
        </w:tc>
        <w:tc>
          <w:tcPr/>
          <w:p>
            <w:pPr>
              <w:pStyle w:val="Compact"/>
            </w:pPr>
            <w:r>
              <w:t xml:space="preserve">+0.0038</w:t>
            </w:r>
          </w:p>
        </w:tc>
        <w:tc>
          <w:tcPr/>
          <w:p>
            <w:pPr>
              <w:pStyle w:val="Compact"/>
            </w:pPr>
            <w:r>
              <w:t xml:space="preserve">-0.0039</w:t>
            </w:r>
          </w:p>
        </w:tc>
      </w:tr>
      <w:tr>
        <w:tc>
          <w:tcPr/>
          <w:p>
            <w:pPr>
              <w:pStyle w:val="Compact"/>
            </w:pPr>
            <w:r>
              <w:t xml:space="preserve">OVERALL</w:t>
            </w:r>
          </w:p>
        </w:tc>
        <w:tc>
          <w:tcPr/>
          <w:p>
            <w:pPr>
              <w:pStyle w:val="Compact"/>
            </w:pPr>
            <w:r>
              <w:t xml:space="preserve">+0.0729</w:t>
            </w:r>
          </w:p>
        </w:tc>
        <w:tc>
          <w:tcPr/>
          <w:p>
            <w:pPr>
              <w:pStyle w:val="Compact"/>
            </w:pPr>
            <w:r>
              <w:t xml:space="preserve">+0.1003</w:t>
            </w:r>
          </w:p>
        </w:tc>
        <w:tc>
          <w:tcPr/>
          <w:p>
            <w:pPr>
              <w:pStyle w:val="Compact"/>
            </w:pPr>
            <w:r>
              <w:t xml:space="preserve">+0.0453</w:t>
            </w:r>
          </w:p>
        </w:tc>
        <w:tc>
          <w:tcPr/>
          <w:p>
            <w:pPr>
              <w:pStyle w:val="Compact"/>
            </w:pPr>
            <w:r>
              <w:t xml:space="preserve">-0.0021</w:t>
            </w:r>
          </w:p>
        </w:tc>
      </w:tr>
    </w:tbl>
    <w:bookmarkEnd w:id="38"/>
    <w:bookmarkStart w:id="42" w:name="X531f82d26301f05db98be986a955c39ecd49cb6"/>
    <w:p>
      <w:pPr>
        <w:pStyle w:val="Heading2"/>
      </w:pPr>
      <w:r>
        <w:rPr>
          <w:b/>
          <w:bCs/>
        </w:rPr>
        <w:t xml:space="preserve">Out-of-panel generalization to ancestries absent from the reference panel</w:t>
      </w:r>
    </w:p>
    <w:p>
      <w:pPr>
        <w:pStyle w:val="FirstParagraph"/>
      </w:pPr>
      <w: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r>
        <w:rPr>
          <w:vertAlign w:val="superscript"/>
        </w:rPr>
        <w:t xml:space="preserve">28</w:t>
      </w:r>
      <w: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pPr>
      <w:r>
        <w:t xml:space="preserve">Across all 22 autosomes, Selphi 2 (default diploid engine) exceeds Beagle 5.5 in per-sample</w:t>
      </w:r>
      <w:r>
        <w:t xml:space="preserve"> </w:t>
      </w:r>
      <m:oMath>
        <m:sSup>
          <m:e>
            <m:r>
              <m:t>R</m:t>
            </m:r>
          </m:e>
          <m:sup>
            <m:r>
              <m:t>2</m:t>
            </m:r>
          </m:sup>
        </m:sSup>
      </m:oMath>
      <w:r>
        <w:t xml:space="preserve"> </w:t>
      </w:r>
      <w:r>
        <w:t xml:space="preserve">in all seven continental regions, including the two absent from the panel (Oceanian +0.0105, Middle-Eastern +0.0066; African +0.0129, East-Asian +0.0079; Table 4c). The advantage is unanimous across individuals: Selphi 2’s per-sample</w:t>
      </w:r>
      <w:r>
        <w:t xml:space="preserve"> </w:t>
      </w:r>
      <m:oMath>
        <m:sSup>
          <m:e>
            <m:r>
              <m:t>R</m:t>
            </m:r>
          </m:e>
          <m:sup>
            <m:r>
              <m:t>2</m:t>
            </m:r>
          </m:sup>
        </m:sSup>
      </m:oMath>
      <w:r>
        <w:t xml:space="preserve"> </w:t>
      </w:r>
      <w:r>
        <w:t xml:space="preserve">exceeds Beagle 5.5’s in all 925 targets (mean</w:t>
      </w:r>
      <w:r>
        <w:t xml:space="preserve"> </w:t>
      </w:r>
      <m:oMath>
        <m:r>
          <m:rPr>
            <m:sty m:val="p"/>
          </m:rPr>
          <m:t>Δ</m:t>
        </m:r>
        <m:sSup>
          <m:e>
            <m:r>
              <m:t>R</m:t>
            </m:r>
          </m:e>
          <m:sup>
            <m:r>
              <m:t>2</m:t>
            </m:r>
          </m:sup>
        </m:sSup>
      </m:oMath>
      <w:r>
        <w:t xml:space="preserve"> </w:t>
      </w:r>
      <w:r>
        <w:t xml:space="preserve">= +0.0072, 95% CI [+0.0070, +0.0075] from 20,000 paired bootstrap resamples; two-sided Wilcoxon</w:t>
      </w:r>
      <w:r>
        <w:t xml:space="preserve"> </w:t>
      </w:r>
      <m:oMath>
        <m:r>
          <m:t>p</m:t>
        </m:r>
        <m:r>
          <m:rPr>
            <m:sty m:val="p"/>
          </m:rPr>
          <m:t>&lt;</m:t>
        </m:r>
        <m:sSup>
          <m:e>
            <m:r>
              <m:t>10</m:t>
            </m:r>
          </m:e>
          <m:sup>
            <m:r>
              <m:rPr>
                <m:sty m:val="p"/>
              </m:rPr>
              <m:t>−</m:t>
            </m:r>
            <m:r>
              <m:t>100</m:t>
            </m:r>
          </m:sup>
        </m:sSup>
      </m:oMath>
      <w:r>
        <w:t xml:space="preserve">), and in every one of the seven regions taken separately (every per-region 95% CI excludes zero; every sample favours Selphi 2). On the per-variant metric Selphi 2 also leads overall (0.5372 versus 0.5252) and at every MAF bin above 0.1%. At the rarest bin (MAF 0.05-0.1%) the two are now level, Beagle ahead by 0.0004, the same place the two methods converge on the in-panel 1000 Genomes benchmark.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pPr>
      <w:r>
        <w:rPr>
          <w:b/>
          <w:bCs/>
        </w:rPr>
        <w:t xml:space="preserve">Table 4c. Out-of-panel generalization: HGDP targets imputed against a 1000 Genomes panel, genome-wide.</w:t>
      </w:r>
      <w:r>
        <w:t xml:space="preserve"> </w:t>
      </w:r>
      <w:r>
        <w:t xml:space="preserve">Per-sample mean</w:t>
      </w:r>
      <w:r>
        <w:t xml:space="preserve"> </w:t>
      </w:r>
      <m:oMath>
        <m:sSup>
          <m:e>
            <m:r>
              <m:t>R</m:t>
            </m:r>
          </m:e>
          <m:sup>
            <m:r>
              <m:t>2</m:t>
            </m:r>
          </m:sup>
        </m:sSup>
      </m:oMath>
      <w:r>
        <w:t xml:space="preserve"> </w:t>
      </w:r>
      <w: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 (n)</w:t>
            </w:r>
          </w:p>
        </w:tc>
        <w:tc>
          <w:tcPr/>
          <w:p>
            <w:pPr>
              <w:pStyle w:val="Compact"/>
            </w:pPr>
            <w:r>
              <w:t xml:space="preserve">Selphi 2</w:t>
            </w:r>
          </w:p>
        </w:tc>
        <w:tc>
          <w:tcPr/>
          <w:p>
            <w:pPr>
              <w:pStyle w:val="Compact"/>
            </w:pPr>
            <w:r>
              <w:t xml:space="preserve">Beagle 5.5</w:t>
            </w:r>
          </w:p>
        </w:tc>
        <w:tc>
          <w:tcPr/>
          <w:p>
            <w:pPr>
              <w:pStyle w:val="Compact"/>
            </w:pPr>
            <m:oMath>
              <m:r>
                <m:rPr>
                  <m:sty m:val="p"/>
                </m:rPr>
                <m:t>Δ</m:t>
              </m:r>
            </m:oMath>
          </w:p>
        </w:tc>
      </w:tr>
      <w:tr>
        <w:tc>
          <w:tcPr/>
          <w:p>
            <w:pPr>
              <w:pStyle w:val="Compact"/>
            </w:pPr>
            <w:r>
              <w:t xml:space="preserve">Oceanian, not in panel (30)</w:t>
            </w:r>
          </w:p>
        </w:tc>
        <w:tc>
          <w:tcPr/>
          <w:p>
            <w:pPr>
              <w:pStyle w:val="Compact"/>
            </w:pPr>
            <w:r>
              <w:rPr>
                <w:b/>
                <w:bCs/>
              </w:rPr>
              <w:t xml:space="preserve">0.8983</w:t>
            </w:r>
          </w:p>
        </w:tc>
        <w:tc>
          <w:tcPr/>
          <w:p>
            <w:pPr>
              <w:pStyle w:val="Compact"/>
            </w:pPr>
            <w:r>
              <w:t xml:space="preserve">0.8879</w:t>
            </w:r>
          </w:p>
        </w:tc>
        <w:tc>
          <w:tcPr/>
          <w:p>
            <w:pPr>
              <w:pStyle w:val="Compact"/>
            </w:pPr>
            <w:r>
              <w:t xml:space="preserve">+0.0105</w:t>
            </w:r>
          </w:p>
        </w:tc>
      </w:tr>
      <w:tr>
        <w:tc>
          <w:tcPr/>
          <w:p>
            <w:pPr>
              <w:pStyle w:val="Compact"/>
            </w:pPr>
            <w:r>
              <w:t xml:space="preserve">Middle-Eastern, not in panel (157)</w:t>
            </w:r>
          </w:p>
        </w:tc>
        <w:tc>
          <w:tcPr/>
          <w:p>
            <w:pPr>
              <w:pStyle w:val="Compact"/>
            </w:pPr>
            <w:r>
              <w:rPr>
                <w:b/>
                <w:bCs/>
              </w:rPr>
              <w:t xml:space="preserve">0.9391</w:t>
            </w:r>
          </w:p>
        </w:tc>
        <w:tc>
          <w:tcPr/>
          <w:p>
            <w:pPr>
              <w:pStyle w:val="Compact"/>
            </w:pPr>
            <w:r>
              <w:t xml:space="preserve">0.9325</w:t>
            </w:r>
          </w:p>
        </w:tc>
        <w:tc>
          <w:tcPr/>
          <w:p>
            <w:pPr>
              <w:pStyle w:val="Compact"/>
            </w:pPr>
            <w:r>
              <w:t xml:space="preserve">+0.0066</w:t>
            </w:r>
          </w:p>
        </w:tc>
      </w:tr>
      <w:tr>
        <w:tc>
          <w:tcPr/>
          <w:p>
            <w:pPr>
              <w:pStyle w:val="Compact"/>
            </w:pPr>
            <w:r>
              <w:t xml:space="preserve">African (107)</w:t>
            </w:r>
          </w:p>
        </w:tc>
        <w:tc>
          <w:tcPr/>
          <w:p>
            <w:pPr>
              <w:pStyle w:val="Compact"/>
            </w:pPr>
            <w:r>
              <w:rPr>
                <w:b/>
                <w:bCs/>
              </w:rPr>
              <w:t xml:space="preserve">0.8784</w:t>
            </w:r>
          </w:p>
        </w:tc>
        <w:tc>
          <w:tcPr/>
          <w:p>
            <w:pPr>
              <w:pStyle w:val="Compact"/>
            </w:pPr>
            <w:r>
              <w:t xml:space="preserve">0.8655</w:t>
            </w:r>
          </w:p>
        </w:tc>
        <w:tc>
          <w:tcPr/>
          <w:p>
            <w:pPr>
              <w:pStyle w:val="Compact"/>
            </w:pPr>
            <w:r>
              <w:t xml:space="preserve">+0.0129</w:t>
            </w:r>
          </w:p>
        </w:tc>
      </w:tr>
      <w:tr>
        <w:tc>
          <w:tcPr/>
          <w:p>
            <w:pPr>
              <w:pStyle w:val="Compact"/>
            </w:pPr>
            <w:r>
              <w:t xml:space="preserve">East-Asian (233)</w:t>
            </w:r>
          </w:p>
        </w:tc>
        <w:tc>
          <w:tcPr/>
          <w:p>
            <w:pPr>
              <w:pStyle w:val="Compact"/>
            </w:pPr>
            <w:r>
              <w:rPr>
                <w:b/>
                <w:bCs/>
              </w:rPr>
              <w:t xml:space="preserve">0.9509</w:t>
            </w:r>
          </w:p>
        </w:tc>
        <w:tc>
          <w:tcPr/>
          <w:p>
            <w:pPr>
              <w:pStyle w:val="Compact"/>
            </w:pPr>
            <w:r>
              <w:t xml:space="preserve">0.9429</w:t>
            </w:r>
          </w:p>
        </w:tc>
        <w:tc>
          <w:tcPr/>
          <w:p>
            <w:pPr>
              <w:pStyle w:val="Compact"/>
            </w:pPr>
            <w:r>
              <w:t xml:space="preserve">+0.0079</w:t>
            </w:r>
          </w:p>
        </w:tc>
      </w:tr>
      <w:tr>
        <w:tc>
          <w:tcPr/>
          <w:p>
            <w:pPr>
              <w:pStyle w:val="Compact"/>
            </w:pPr>
            <w:r>
              <w:t xml:space="preserve">Central/South-Asian (183)</w:t>
            </w:r>
          </w:p>
        </w:tc>
        <w:tc>
          <w:tcPr/>
          <w:p>
            <w:pPr>
              <w:pStyle w:val="Compact"/>
            </w:pPr>
            <w:r>
              <w:rPr>
                <w:b/>
                <w:bCs/>
              </w:rPr>
              <w:t xml:space="preserve">0.9472</w:t>
            </w:r>
          </w:p>
        </w:tc>
        <w:tc>
          <w:tcPr/>
          <w:p>
            <w:pPr>
              <w:pStyle w:val="Compact"/>
            </w:pPr>
            <w:r>
              <w:t xml:space="preserve">0.9416</w:t>
            </w:r>
          </w:p>
        </w:tc>
        <w:tc>
          <w:tcPr/>
          <w:p>
            <w:pPr>
              <w:pStyle w:val="Compact"/>
            </w:pPr>
            <w:r>
              <w:t xml:space="preserve">+0.0056</w:t>
            </w:r>
          </w:p>
        </w:tc>
      </w:tr>
      <w:tr>
        <w:tc>
          <w:tcPr/>
          <w:p>
            <w:pPr>
              <w:pStyle w:val="Compact"/>
            </w:pPr>
            <w:r>
              <w:t xml:space="preserve">European (153)</w:t>
            </w:r>
          </w:p>
        </w:tc>
        <w:tc>
          <w:tcPr/>
          <w:p>
            <w:pPr>
              <w:pStyle w:val="Compact"/>
            </w:pPr>
            <w:r>
              <w:rPr>
                <w:b/>
                <w:bCs/>
              </w:rPr>
              <w:t xml:space="preserve">0.9578</w:t>
            </w:r>
          </w:p>
        </w:tc>
        <w:tc>
          <w:tcPr/>
          <w:p>
            <w:pPr>
              <w:pStyle w:val="Compact"/>
            </w:pPr>
            <w:r>
              <w:t xml:space="preserve">0.9531</w:t>
            </w:r>
          </w:p>
        </w:tc>
        <w:tc>
          <w:tcPr/>
          <w:p>
            <w:pPr>
              <w:pStyle w:val="Compact"/>
            </w:pPr>
            <w:r>
              <w:t xml:space="preserve">+0.0048</w:t>
            </w:r>
          </w:p>
        </w:tc>
      </w:tr>
      <w:tr>
        <w:tc>
          <w:tcPr/>
          <w:p>
            <w:pPr>
              <w:pStyle w:val="Compact"/>
            </w:pPr>
            <w:r>
              <w:t xml:space="preserve">Admixed-American (62)</w:t>
            </w:r>
          </w:p>
        </w:tc>
        <w:tc>
          <w:tcPr/>
          <w:p>
            <w:pPr>
              <w:pStyle w:val="Compact"/>
            </w:pPr>
            <w:r>
              <w:rPr>
                <w:b/>
                <w:bCs/>
              </w:rPr>
              <w:t xml:space="preserve">0.9627</w:t>
            </w:r>
          </w:p>
        </w:tc>
        <w:tc>
          <w:tcPr/>
          <w:p>
            <w:pPr>
              <w:pStyle w:val="Compact"/>
            </w:pPr>
            <w:r>
              <w:t xml:space="preserve">0.9568</w:t>
            </w:r>
          </w:p>
        </w:tc>
        <w:tc>
          <w:tcPr/>
          <w:p>
            <w:pPr>
              <w:pStyle w:val="Compact"/>
            </w:pPr>
            <w:r>
              <w:t xml:space="preserve">+0.0060</w:t>
            </w:r>
          </w:p>
        </w:tc>
      </w:tr>
      <w:tr>
        <w:tc>
          <w:tcPr/>
          <w:p>
            <w:pPr>
              <w:pStyle w:val="Compact"/>
            </w:pPr>
            <w:r>
              <w:t xml:space="preserve">All (925)</w:t>
            </w:r>
          </w:p>
        </w:tc>
        <w:tc>
          <w:tcPr/>
          <w:p>
            <w:pPr>
              <w:pStyle w:val="Compact"/>
            </w:pPr>
            <w:r>
              <w:rPr>
                <w:b/>
                <w:bCs/>
              </w:rPr>
              <w:t xml:space="preserve">0.9400</w:t>
            </w:r>
          </w:p>
        </w:tc>
        <w:tc>
          <w:tcPr/>
          <w:p>
            <w:pPr>
              <w:pStyle w:val="Compact"/>
            </w:pPr>
            <w:r>
              <w:t xml:space="preserve">0.9328</w:t>
            </w:r>
          </w:p>
        </w:tc>
        <w:tc>
          <w:tcPr/>
          <w:p>
            <w:pPr>
              <w:pStyle w:val="Compact"/>
            </w:pPr>
            <w:r>
              <w:t xml:space="preserve">+0.0072</w:t>
            </w:r>
          </w:p>
        </w:tc>
      </w:tr>
    </w:tbl>
    <w:p>
      <w:pPr>
        <w:pStyle w:val="CaptionedFigure"/>
      </w:pPr>
      <w:r>
        <w:drawing>
          <wp:inline>
            <wp:extent cx="5334000" cy="4045307"/>
            <wp:effectExtent b="0" l="0" r="0" t="0"/>
            <wp:docPr descr="Figure 3" title="" id="40" name="Picture"/>
            <a:graphic>
              <a:graphicData uri="http://schemas.openxmlformats.org/drawingml/2006/picture">
                <pic:pic>
                  <pic:nvPicPr>
                    <pic:cNvPr descr="figures/figure3_accuracy.png" id="41" name="Picture"/>
                    <pic:cNvPicPr>
                      <a:picLocks noChangeArrowheads="1" noChangeAspect="1"/>
                    </pic:cNvPicPr>
                  </pic:nvPicPr>
                  <pic:blipFill>
                    <a:blip r:embed="rId39"/>
                    <a:stretch>
                      <a:fillRect/>
                    </a:stretch>
                  </pic:blipFill>
                  <pic:spPr bwMode="auto">
                    <a:xfrm>
                      <a:off x="0" y="0"/>
                      <a:ext cx="5334000" cy="4045307"/>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Imputation accuracy across the allele-frequency spectrum.</w:t>
      </w:r>
      <w:r>
        <w:t xml:space="preserve"> </w:t>
      </w:r>
      <w:r>
        <w:t xml:space="preserve">(a) 1000 Genomes genome-wide (20 autosomes; chr8 and chr11 excluded because Beagle aborted on a duplicate panel marker, so all tools use the identical chromosome set), imputation-only: n-weighted per-MAF</w:t>
      </w:r>
      <w:r>
        <w:t xml:space="preserve"> </w:t>
      </w:r>
      <m:oMath>
        <m:sSup>
          <m:e>
            <m:r>
              <m:t>R</m:t>
            </m:r>
          </m:e>
          <m:sup>
            <m:r>
              <m:t>2</m:t>
            </m:r>
          </m:sup>
        </m:sSup>
      </m:oMath>
      <w:r>
        <w:t xml:space="preserve"> </w:t>
      </w:r>
      <w: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t xml:space="preserve"> </w:t>
      </w:r>
      <m:oMath>
        <m:sSup>
          <m:e>
            <m:r>
              <m:t>R</m:t>
            </m:r>
          </m:e>
          <m:sup>
            <m:r>
              <m:t>2</m:t>
            </m:r>
          </m:sup>
        </m:sSup>
      </m:oMath>
      <w:r>
        <w:t xml:space="preserve"> </w:t>
      </w:r>
      <w:r>
        <w:t xml:space="preserve">(0.5814) and across the low-frequency bins; it and Selphi 1.5.3 lie within ≈0.001 at the common bins, both above the three external tools, and Beagle 5.5 leads only the rarest 0.05-0.1% bin (Supplementary Table S9). (b) Per-sample imputation</w:t>
      </w:r>
      <w:r>
        <w:t xml:space="preserve"> </w:t>
      </w:r>
      <m:oMath>
        <m:sSup>
          <m:e>
            <m:r>
              <m:t>R</m:t>
            </m:r>
          </m:e>
          <m:sup>
            <m:r>
              <m:t>2</m:t>
            </m:r>
          </m:sup>
        </m:sSup>
      </m:oMath>
      <w:r>
        <w:t xml:space="preserve"> </w:t>
      </w:r>
      <w:r>
        <w:t xml:space="preserve">by self-reported ancestry on the MESA cohort (chromosome 20, full phase-and-impute pipeline against the TOPMed reference panel): Selphi 2 (default diploid engine) versus Beagle 5.5. Selphi 2 leads in all four ancestry groups (per-group</w:t>
      </w:r>
      <w:r>
        <w:t xml:space="preserve"> </w:t>
      </w:r>
      <m:oMath>
        <m:sSup>
          <m:e>
            <m:r>
              <m:t>R</m:t>
            </m:r>
          </m:e>
          <m:sup>
            <m:r>
              <m:t>2</m:t>
            </m:r>
          </m:sup>
        </m:sSup>
      </m:oMath>
      <w:r>
        <w:t xml:space="preserve"> </w:t>
      </w:r>
      <w:r>
        <w:t xml:space="preserve">gain annotated), with the largest margin on the East-Asian group; the candidate-set-sizing ablation behind the rare-variant gains in the admixed and diverged groups is in Table 4b. (c) Out-of-panel generalization, genome-wide: per-sample</w:t>
      </w:r>
      <w:r>
        <w:t xml:space="preserve"> </w:t>
      </w:r>
      <m:oMath>
        <m:sSup>
          <m:e>
            <m:r>
              <m:t>R</m:t>
            </m:r>
          </m:e>
          <m:sup>
            <m:r>
              <m:t>2</m:t>
            </m:r>
          </m:sup>
        </m:sSup>
      </m:oMath>
      <w:r>
        <w:t xml:space="preserve"> </w:t>
      </w:r>
      <w: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t xml:space="preserve"> </w:t>
      </w:r>
      <m:oMath>
        <m:sSup>
          <m:e>
            <m:r>
              <m:t>R</m:t>
            </m:r>
          </m:e>
          <m:sup>
            <m:r>
              <m:t>2</m:t>
            </m:r>
          </m:sup>
        </m:sSup>
      </m:oMath>
      <w:r>
        <w:t xml:space="preserve"> </w:t>
      </w:r>
      <w:r>
        <w:t xml:space="preserve">versus coverage for Selphi 2, GLIMPSE2 and QUILT2 (GIAB HG002/HG003/HG004, chromosome 22:20-30 Mb, leak-free 6,332-haplotype 1000 Genomes panel, reference-homozygous sites scored as dosage zero, scored on the sites imputed by all three tools; Table 2b). Selphi 2 (native in-process pileup, band-mode recombination by default) exceeds both GLIMPSE2 and QUILT2 in overall per-sample</w:t>
      </w:r>
      <w:r>
        <w:t xml:space="preserve"> </w:t>
      </w:r>
      <m:oMath>
        <m:sSup>
          <m:e>
            <m:r>
              <m:t>R</m:t>
            </m:r>
          </m:e>
          <m:sup>
            <m:r>
              <m:t>2</m:t>
            </m:r>
          </m:sup>
        </m:sSup>
      </m:oMath>
      <w:r>
        <w:t xml:space="preserve"> </w:t>
      </w:r>
      <w:r>
        <w:t xml:space="preserve">at every coverage. On the ultra-rare bin (MAF 0-0.5%; Table 2b) Selphi 2 leads at 1</w:t>
      </w:r>
      <m:oMath>
        <m:r>
          <m:rPr>
            <m:sty m:val="p"/>
          </m:rPr>
          <m:t>×</m:t>
        </m:r>
      </m:oMath>
      <w:r>
        <w:t xml:space="preserve">, 2</w:t>
      </w:r>
      <m:oMath>
        <m:r>
          <m:rPr>
            <m:sty m:val="p"/>
          </m:rPr>
          <m:t>×</m:t>
        </m:r>
      </m:oMath>
      <w:r>
        <w:t xml:space="preserve"> </w:t>
      </w:r>
      <w:r>
        <w:t xml:space="preserve">and 4</w:t>
      </w:r>
      <m:oMath>
        <m:r>
          <m:rPr>
            <m:sty m:val="p"/>
          </m:rPr>
          <m:t>×</m:t>
        </m:r>
      </m:oMath>
      <w:r>
        <w:t xml:space="preserve">, with GLIMPSE2 marginally ahead only at the read-starved 0.5</w:t>
      </w:r>
      <m:oMath>
        <m:r>
          <m:rPr>
            <m:sty m:val="p"/>
          </m:rPr>
          <m:t>×</m:t>
        </m:r>
      </m:oMath>
      <w:r>
        <w:t xml:space="preserve">.</w:t>
      </w:r>
    </w:p>
    <w:bookmarkEnd w:id="42"/>
    <w:bookmarkStart w:id="43" w:name="X9e0dc98142f4ca72e1fa7fdf7293104c848b106"/>
    <w:p>
      <w:pPr>
        <w:pStyle w:val="Heading2"/>
      </w:pPr>
      <w:r>
        <w:rPr>
          <w:b/>
          <w:bCs/>
        </w:rPr>
        <w:t xml:space="preserve">Independent validation against leak-free GIAB truth</w:t>
      </w:r>
    </w:p>
    <w:p>
      <w:pPr>
        <w:pStyle w:val="FirstParagraph"/>
      </w:pPr>
      <w: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pPr>
      <w:r>
        <w:t xml:space="preserve">On chr21, Selphi 2 attains</w:t>
      </w:r>
      <w:r>
        <w:t xml:space="preserve"> </w:t>
      </w:r>
      <m:oMath>
        <m:sSup>
          <m:e>
            <m:r>
              <m:t>R</m:t>
            </m:r>
          </m:e>
          <m:sup>
            <m:r>
              <m:t>2</m:t>
            </m:r>
          </m:sup>
        </m:sSup>
      </m:oMath>
      <w:r>
        <w:t xml:space="preserve"> </w:t>
      </w:r>
      <w:r>
        <w:t xml:space="preserve">0.9763 (concordance 0.9803) versus Beagle 5.5 (build 03 Oct 2025) 0.9732 (concordance 0.9817) on identical input; on chr1 the order reverses, 0.9817 versus 0.9834, so the two tools are within 0.003 of each other in both directions on this well-saturated panel. Against Selphi 1.5.3, measured in May 2026 on the same six samples with an earlier construction of the chip input and not re-run, Selphi 2 was tied within run-to-run variation (chr21 0.9704 versus 0.9702; chr1 0.9815 versus 0.9815).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pPr>
      <w:r>
        <w:t xml:space="preserve">The wall-time and memory differences on this benchmark are large: Selphi 2 imputes chr21 in 6.9 s with peak memory 3.2 GB; Beagle 5.5 takes 6.7 s with peak 7.0 GB; Selphi 1.5.3 took 112.8 s with peak 7.1 GB in the May 2026 measurement. On the larger chr1, the speed-up over Selphi 1.5.3 grows to 48</w:t>
      </w:r>
      <m:oMath>
        <m:r>
          <m:rPr>
            <m:sty m:val="p"/>
          </m:rPr>
          <m:t>×</m:t>
        </m:r>
      </m:oMath>
      <w:r>
        <w:t xml:space="preserve"> </w:t>
      </w:r>
      <w:r>
        <w:t xml:space="preserve">(40.1 s for Selphi 2 versus 1923 s for Selphi 1.5.3), with Selphi 2 using less than half the memory of Beagle 5.5 (7.2 GB versus 16.8 GB); on this small six-sample input Beagle 5.5 is the faster of the two on chr1 (24.9 s), where Selphi 2’s wall time is dominated by writing the 16.3-million-variant output. Selphi 2 thus matches the accuracy of the established imputation tools on leak-free truth while reducing runtime by an order of magnitude relative to Selphi 1.5.3, at wall times comparable to Beagle 5.5 and less than half its memory (Supplementary Table S3).</w:t>
      </w:r>
    </w:p>
    <w:bookmarkEnd w:id="43"/>
    <w:bookmarkStart w:id="44" w:name="X7682954b6030efca8f62743f2d44a25aae36e8e"/>
    <w:p>
      <w:pPr>
        <w:pStyle w:val="Heading2"/>
      </w:pPr>
      <w:r>
        <w:rPr>
          <w:b/>
          <w:bCs/>
        </w:rPr>
        <w:t xml:space="preserve">Imputation accuracy on consumer arrays against high-coverage WGS truth</w:t>
      </w:r>
    </w:p>
    <w:p>
      <w:pPr>
        <w:pStyle w:val="FirstParagraph"/>
      </w:pPr>
      <w: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pPr>
      <w:r>
        <w:t xml:space="preserve">Given both tools the same Beagle-derived phasing, Selphi 2’s imputation exceeds Beagle 5.5 on both variant classes, averaged across all 22 autosomes and the six samples: mean SNP</w:t>
      </w:r>
      <w:r>
        <w:t xml:space="preserve"> </w:t>
      </w:r>
      <m:oMath>
        <m:sSup>
          <m:e>
            <m:r>
              <m:t>R</m:t>
            </m:r>
          </m:e>
          <m:sup>
            <m:r>
              <m:t>2</m:t>
            </m:r>
          </m:sup>
        </m:sSup>
      </m:oMath>
      <w:r>
        <w:t xml:space="preserve"> </w:t>
      </w:r>
      <w:r>
        <w:t xml:space="preserve">0.9601 versus 0.9584 and mean indel</w:t>
      </w:r>
      <w:r>
        <w:t xml:space="preserve"> </w:t>
      </w:r>
      <m:oMath>
        <m:sSup>
          <m:e>
            <m:r>
              <m:t>R</m:t>
            </m:r>
          </m:e>
          <m:sup>
            <m:r>
              <m:t>2</m:t>
            </m:r>
          </m:sup>
        </m:sSup>
      </m:oMath>
      <w:r>
        <w:t xml:space="preserve"> </w:t>
      </w:r>
      <w:r>
        <w:t xml:space="preserve">0.7911 versus 0.7840 (Table 5).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t xml:space="preserve"> </w:t>
      </w:r>
      <m:oMath>
        <m:sSup>
          <m:e>
            <m:r>
              <m:t>R</m:t>
            </m:r>
          </m:e>
          <m:sup>
            <m:r>
              <m:t>2</m:t>
            </m:r>
          </m:sup>
        </m:sSup>
      </m:oMath>
      <w:r>
        <w:t xml:space="preserve"> </w:t>
      </w:r>
      <w:r>
        <w:t xml:space="preserve">0.9609, indel</w:t>
      </w:r>
      <w:r>
        <w:t xml:space="preserve"> </w:t>
      </w:r>
      <m:oMath>
        <m:sSup>
          <m:e>
            <m:r>
              <m:t>R</m:t>
            </m:r>
          </m:e>
          <m:sup>
            <m:r>
              <m:t>2</m:t>
            </m:r>
          </m:sup>
        </m:sSup>
      </m:oMath>
      <w:r>
        <w:t xml:space="preserve"> </w:t>
      </w:r>
      <w:r>
        <w:t xml:space="preserve">0.7939),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t xml:space="preserve"> </w:t>
      </w:r>
      <m:oMath>
        <m:sSup>
          <m:e>
            <m:r>
              <m:t>R</m:t>
            </m:r>
          </m:e>
          <m:sup>
            <m:r>
              <m:t>2</m:t>
            </m:r>
          </m:sup>
        </m:sSup>
      </m:oMath>
      <w:r>
        <w:t xml:space="preserve"> </w:t>
      </w:r>
      <w:r>
        <w:t xml:space="preserve">0.9553 (an earlier single-phase version) to 0.9605; the current release measures 0.9609.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t xml:space="preserve"> </w:t>
      </w:r>
      <m:oMath>
        <m:r>
          <m:rPr>
            <m:sty m:val="p"/>
          </m:rPr>
          <m:t>Δ</m:t>
        </m:r>
        <m:sSup>
          <m:e>
            <m:r>
              <m:t>R</m:t>
            </m:r>
          </m:e>
          <m:sup>
            <m:r>
              <m:t>2</m:t>
            </m:r>
          </m:sup>
        </m:sSup>
      </m:oMath>
      <w:r>
        <w:t xml:space="preserve"> </w:t>
      </w:r>
      <w: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pPr>
      <w:r>
        <w:rPr>
          <w:b/>
          <w:bCs/>
        </w:rPr>
        <w:t xml:space="preserve">Table 5. Genome-wide imputation</w:t>
      </w:r>
      <w:r>
        <w:rPr>
          <w:b/>
          <w:bCs/>
        </w:rPr>
        <w:t xml:space="preserve"> </w:t>
      </w:r>
      <m:oMath>
        <m:sSup>
          <m:e>
            <m:r>
              <m:t>R</m:t>
            </m:r>
          </m:e>
          <m:sup>
            <m:r>
              <m:t>2</m:t>
            </m:r>
          </m:sup>
        </m:sSup>
      </m:oMath>
      <w:r>
        <w:rPr>
          <w:b/>
          <w:bCs/>
        </w:rPr>
        <w:t xml:space="preserve"> </w:t>
      </w:r>
      <w:r>
        <w:rPr>
          <w:b/>
          <w:bCs/>
        </w:rPr>
        <w:t xml:space="preserve">on real consumer arrays against high-coverage WGS truth.</w:t>
      </w:r>
      <w:r>
        <w:t xml:space="preserve"> </w:t>
      </w:r>
      <w: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t xml:space="preserve">) between imputed dosage and truth genotype.</w:t>
      </w:r>
      <w:r>
        <w:t xml:space="preserve"> </w:t>
      </w:r>
      <w:r>
        <w:t xml:space="preserve">“Beagle-phased”</w:t>
      </w:r>
      <w:r>
        <w:t xml:space="preserve"> </w:t>
      </w:r>
      <w:r>
        <w:t xml:space="preserve">rows feed both imputers the identical Beagle phase-only output (isolating the imputation step);</w:t>
      </w:r>
      <w:r>
        <w:t xml:space="preserve"> </w:t>
      </w:r>
      <w:r>
        <w:t xml:space="preserve">“haploid/diploid”</w:t>
      </w:r>
      <w:r>
        <w:t xml:space="preserve"> </w:t>
      </w:r>
      <w:r>
        <w:t xml:space="preserve">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Pipeline (phasing to imputation)</w:t>
            </w:r>
          </w:p>
        </w:tc>
        <w:tc>
          <w:tcPr/>
          <w:p>
            <w:pPr>
              <w:pStyle w:val="Compact"/>
            </w:pPr>
            <w:r>
              <w:t xml:space="preserve">SNP</w:t>
            </w:r>
            <w:r>
              <w:t xml:space="preserve"> </w:t>
            </w:r>
            <m:oMath>
              <m:sSup>
                <m:e>
                  <m:r>
                    <m:t>R</m:t>
                  </m:r>
                </m:e>
                <m:sup>
                  <m:r>
                    <m:t>2</m:t>
                  </m:r>
                </m:sup>
              </m:sSup>
            </m:oMath>
          </w:p>
        </w:tc>
        <w:tc>
          <w:tcPr/>
          <w:p>
            <w:pPr>
              <w:pStyle w:val="Compact"/>
            </w:pPr>
            <w:r>
              <w:t xml:space="preserve">Indel</w:t>
            </w:r>
            <w:r>
              <w:t xml:space="preserve"> </w:t>
            </w:r>
            <m:oMath>
              <m:sSup>
                <m:e>
                  <m:r>
                    <m:t>R</m:t>
                  </m:r>
                </m:e>
                <m:sup>
                  <m:r>
                    <m:t>2</m:t>
                  </m:r>
                </m:sup>
              </m:sSup>
            </m:oMath>
          </w:p>
        </w:tc>
      </w:tr>
      <w:tr>
        <w:tc>
          <w:tcPr/>
          <w:p>
            <w:pPr>
              <w:pStyle w:val="Compact"/>
            </w:pPr>
            <w:r>
              <w:t xml:space="preserve">Selphi 2 (Beagle-phased)</w:t>
            </w:r>
          </w:p>
        </w:tc>
        <w:tc>
          <w:tcPr/>
          <w:p>
            <w:pPr>
              <w:pStyle w:val="Compact"/>
            </w:pPr>
            <w:r>
              <w:t xml:space="preserve">0.9601</w:t>
            </w:r>
          </w:p>
        </w:tc>
        <w:tc>
          <w:tcPr/>
          <w:p>
            <w:pPr>
              <w:pStyle w:val="Compact"/>
            </w:pPr>
            <w:r>
              <w:t xml:space="preserve">0.7911</w:t>
            </w:r>
          </w:p>
        </w:tc>
      </w:tr>
      <w:tr>
        <w:tc>
          <w:tcPr/>
          <w:p>
            <w:pPr>
              <w:pStyle w:val="Compact"/>
            </w:pPr>
            <w:r>
              <w:t xml:space="preserve">Selphi 1.5.3 (Beagle-phased)</w:t>
            </w:r>
          </w:p>
        </w:tc>
        <w:tc>
          <w:tcPr/>
          <w:p>
            <w:pPr>
              <w:pStyle w:val="Compact"/>
            </w:pPr>
            <w:r>
              <w:t xml:space="preserve">0.9599</w:t>
            </w:r>
          </w:p>
        </w:tc>
        <w:tc>
          <w:tcPr/>
          <w:p>
            <w:pPr>
              <w:pStyle w:val="Compact"/>
            </w:pPr>
            <w:r>
              <w:t xml:space="preserve">0.7932</w:t>
            </w:r>
          </w:p>
        </w:tc>
      </w:tr>
      <w:tr>
        <w:tc>
          <w:tcPr/>
          <w:p>
            <w:pPr>
              <w:pStyle w:val="Compact"/>
            </w:pPr>
            <w:r>
              <w:t xml:space="preserve">Beagle 5.5 (phase + impute)</w:t>
            </w:r>
          </w:p>
        </w:tc>
        <w:tc>
          <w:tcPr/>
          <w:p>
            <w:pPr>
              <w:pStyle w:val="Compact"/>
            </w:pPr>
            <w:r>
              <w:t xml:space="preserve">0.9584</w:t>
            </w:r>
          </w:p>
        </w:tc>
        <w:tc>
          <w:tcPr/>
          <w:p>
            <w:pPr>
              <w:pStyle w:val="Compact"/>
            </w:pPr>
            <w:r>
              <w:t xml:space="preserve">0.7840</w:t>
            </w:r>
          </w:p>
        </w:tc>
      </w:tr>
      <w:tr>
        <w:tc>
          <w:tcPr/>
          <w:p>
            <w:pPr>
              <w:pStyle w:val="Compact"/>
            </w:pPr>
            <w:r>
              <w:t xml:space="preserve">Selphi 2 (haploid engine, internal phasing)</w:t>
            </w:r>
          </w:p>
        </w:tc>
        <w:tc>
          <w:tcPr/>
          <w:p>
            <w:pPr>
              <w:pStyle w:val="Compact"/>
            </w:pPr>
            <w:r>
              <w:t xml:space="preserve">0.9587</w:t>
            </w:r>
          </w:p>
        </w:tc>
        <w:tc>
          <w:tcPr/>
          <w:p>
            <w:pPr>
              <w:pStyle w:val="Compact"/>
            </w:pPr>
            <w:r>
              <w:t xml:space="preserve">0.7909</w:t>
            </w:r>
          </w:p>
        </w:tc>
      </w:tr>
      <w:tr>
        <w:tc>
          <w:tcPr/>
          <w:p>
            <w:pPr>
              <w:pStyle w:val="Compact"/>
            </w:pPr>
            <w:r>
              <w:t xml:space="preserve">Selphi 2 (diploid engine, internal phasing)</w:t>
            </w:r>
          </w:p>
        </w:tc>
        <w:tc>
          <w:tcPr/>
          <w:p>
            <w:pPr>
              <w:pStyle w:val="Compact"/>
            </w:pPr>
            <w:r>
              <w:rPr>
                <w:b/>
                <w:bCs/>
              </w:rPr>
              <w:t xml:space="preserve">0.9609</w:t>
            </w:r>
          </w:p>
        </w:tc>
        <w:tc>
          <w:tcPr/>
          <w:p>
            <w:pPr>
              <w:pStyle w:val="Compact"/>
            </w:pPr>
            <w:r>
              <w:rPr>
                <w:b/>
                <w:bCs/>
              </w:rPr>
              <w:t xml:space="preserve">0.7939</w:t>
            </w:r>
          </w:p>
        </w:tc>
      </w:tr>
    </w:tbl>
    <w:p>
      <w:pPr>
        <w:pStyle w:val="BodyText"/>
      </w:pPr>
      <w:r>
        <w:t xml:space="preserve">Beyond accuracy, Selphi 2’s default diploid engine is faster and far leaner than Beagle 5.5 on this benchmark. Imputing the six-sample cohort against the 75,552-haplotype panel on a single 16-thread node (one chromosome at a time), Selphi 2 completes all 22 autosomes in 19.0 minutes versus Beagle’s 36.4 minutes (1.9</w:t>
      </w:r>
      <m:oMath>
        <m:r>
          <m:rPr>
            <m:sty m:val="p"/>
          </m:rPr>
          <m:t>×</m:t>
        </m:r>
      </m:oMath>
      <w:r>
        <w:t xml:space="preserve"> </w:t>
      </w:r>
      <w:r>
        <w:t xml:space="preserve">faster end-to-end), at a peak resident memory of 8.5 GB versus Beagle’s roughly 40 GB (about 4.7</w:t>
      </w:r>
      <m:oMath>
        <m:r>
          <m:rPr>
            <m:sty m:val="p"/>
          </m:rPr>
          <m:t>×</m:t>
        </m:r>
      </m:oMath>
      <w:r>
        <w:t xml:space="preserve"> </w:t>
      </w:r>
      <w:r>
        <w:t xml:space="preserve">leaner), even though the default intra-run ensemble (Methods) runs two imputation passes; disabling the ensemble is faster still (Table 5b). Per-chromosome wall times on this shared node fluctuate with system load, so the whole-genome total is the stable measure.</w:t>
      </w:r>
    </w:p>
    <w:p>
      <w:pPr>
        <w:pStyle w:val="BodyText"/>
      </w:pPr>
      <w:r>
        <w:rPr>
          <w:b/>
          <w:bCs/>
        </w:rPr>
        <w:t xml:space="preserve">Table 5b. Whole-genome wall time and peak memory on the consumer-array benchmark.</w:t>
      </w:r>
      <w:r>
        <w:t xml:space="preserve"> </w:t>
      </w:r>
      <w: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Whole-genome wall time</w:t>
            </w:r>
          </w:p>
        </w:tc>
        <w:tc>
          <w:tcPr/>
          <w:p>
            <w:pPr>
              <w:pStyle w:val="Compact"/>
            </w:pPr>
            <w:r>
              <w:t xml:space="preserve">Peak memory</w:t>
            </w:r>
          </w:p>
        </w:tc>
      </w:tr>
      <w:tr>
        <w:tc>
          <w:tcPr/>
          <w:p>
            <w:pPr>
              <w:pStyle w:val="Compact"/>
            </w:pPr>
            <w:r>
              <w:t xml:space="preserve">Selphi 2 (default diploid)</w:t>
            </w:r>
          </w:p>
        </w:tc>
        <w:tc>
          <w:tcPr/>
          <w:p>
            <w:pPr>
              <w:pStyle w:val="Compact"/>
            </w:pPr>
            <w:r>
              <w:t xml:space="preserve">19.0 min</w:t>
            </w:r>
          </w:p>
        </w:tc>
        <w:tc>
          <w:tcPr/>
          <w:p>
            <w:pPr>
              <w:pStyle w:val="Compact"/>
            </w:pPr>
            <w:r>
              <w:t xml:space="preserve">8.5 GB</w:t>
            </w:r>
          </w:p>
        </w:tc>
      </w:tr>
      <w:tr>
        <w:tc>
          <w:tcPr/>
          <w:p>
            <w:pPr>
              <w:pStyle w:val="Compact"/>
            </w:pPr>
            <w:r>
              <w:t xml:space="preserve">Beagle 5.5 (phase + impute)</w:t>
            </w:r>
          </w:p>
        </w:tc>
        <w:tc>
          <w:tcPr/>
          <w:p>
            <w:pPr>
              <w:pStyle w:val="Compact"/>
            </w:pPr>
            <w:r>
              <w:t xml:space="preserve">36.4 min</w:t>
            </w:r>
          </w:p>
        </w:tc>
        <w:tc>
          <w:tcPr/>
          <w:p>
            <w:pPr>
              <w:pStyle w:val="Compact"/>
            </w:pPr>
            <w:r>
              <w:t xml:space="preserve">≈ 40 GB</w:t>
            </w:r>
          </w:p>
        </w:tc>
      </w:tr>
    </w:tbl>
    <w:bookmarkEnd w:id="44"/>
    <w:bookmarkStart w:id="45" w:name="X8eda26a10fa6ad4579080827b2dc7f6ef81355e"/>
    <w:p>
      <w:pPr>
        <w:pStyle w:val="Heading2"/>
      </w:pPr>
      <w:r>
        <w:rPr>
          <w:b/>
          <w:bCs/>
        </w:rPr>
        <w:t xml:space="preserve">Phasing accuracy on the 1000 Genomes trio dataset</w:t>
      </w:r>
    </w:p>
    <w:p>
      <w:pPr>
        <w:pStyle w:val="FirstParagraph"/>
      </w:pPr>
      <w: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w:t>
      </w:r>
      <w:r>
        <w:t xml:space="preserve">“no-trios”</w:t>
      </w:r>
      <w:r>
        <w:t xml:space="preserve"> </w:t>
      </w:r>
      <w:r>
        <w:t xml:space="preserve">panel). For SHAPEIT5 v5.1.1, the full pipeline was run (phase_common at MAF ≥ 0.001, then phase_rare on the common-variant scaffold). For Beagle 5.5, the default phasing pass was used. Switch error rate (SER) was computed against the parent-of-origin truth using</w:t>
      </w:r>
      <w:r>
        <w:t xml:space="preserve"> </w:t>
      </w:r>
      <w:r>
        <w:rPr>
          <w:rStyle w:val="VerbatimChar"/>
        </w:rPr>
        <w:t xml:space="preserve">bcftools +trio-switch-rate</w:t>
      </w:r>
      <w:r>
        <w:t xml:space="preserve">. The set of testable heterozygous sites was determined by the trio genotypes and was therefore the same for every tool (1,992,617 sites on chr22; 10,632,243 sites on chr1, summed across the 54 trios).</w:t>
      </w:r>
    </w:p>
    <w:p>
      <w:pPr>
        <w:pStyle w:val="BodyText"/>
      </w:pPr>
      <w:r>
        <w:t xml:space="preserve">On chromosome 22, Selphi 2’s diploid engine attains the lowest mean SER (2.528%), followed by Beagle 5.5 (2.548%), Selphi 2’s haploid engine (2.569%), and SHAPEIT5 full pipeline (2.607%). On chromosome 1, the ranking is Beagle 5.5 (1.865%), Selphi 2 haploid (1.876%), Selphi 2 diploid (1.879%), and SHAPEIT5 (1.929%). Selphi 2’s diploid engine is effectively tied with Beagle 5.5 across both chromosomes (|</w:t>
      </w:r>
      <m:oMath>
        <m:r>
          <m:rPr>
            <m:sty m:val="p"/>
          </m:rPr>
          <m:t>Δ</m:t>
        </m:r>
      </m:oMath>
      <w:r>
        <w:t xml:space="preserve">| ≤ 0.020 percentage points; three further seeds on chr22 span 2.527-2.541%) and consistently better than SHAPEIT5 (by 0.050-0.079 percentage points). Selphi 2 diploid is also the fastest phaser of the four on both chromosomes, completing chr22 and chr1 in 0.40</w:t>
      </w:r>
      <m:oMath>
        <m:r>
          <m:rPr>
            <m:sty m:val="p"/>
          </m:rPr>
          <m:t>×</m:t>
        </m:r>
      </m:oMath>
      <w:r>
        <w:t xml:space="preserve"> </w:t>
      </w:r>
      <w:r>
        <w:t xml:space="preserve">Beagle’s wall time, with 4-6</w:t>
      </w:r>
      <m:oMath>
        <m:r>
          <m:rPr>
            <m:sty m:val="p"/>
          </m:rPr>
          <m:t>×</m:t>
        </m:r>
      </m:oMath>
      <w:r>
        <w:t xml:space="preserve"> </w:t>
      </w:r>
      <w:r>
        <w:t xml:space="preserve">lower peak memory than Beagle 5.5 (Table 6; Supplementary Table S5).</w:t>
      </w:r>
    </w:p>
    <w:p>
      <w:pPr>
        <w:pStyle w:val="BodyText"/>
      </w:pPr>
      <w:r>
        <w:rPr>
          <w:b/>
          <w:bCs/>
        </w:rPr>
        <w:t xml:space="preserve">Table 6. Phasing accuracy, wall time, and peak memory on the 1000 Genomes trio dataset.</w:t>
      </w:r>
      <w:r>
        <w:t xml:space="preserve"> </w:t>
      </w:r>
      <w:r>
        <w:t xml:space="preserve">All tools phased the same 54 trio children (whole-genome sequencing density) against the 2,239-sample no-trios reference panel, on the same machine with 16 threads, all four in one session (Beagle 5.5 with a 64 GB Java heap; SHAPEIT5 wall and memory are the sum and the maximum over</w:t>
      </w:r>
      <w:r>
        <w:t xml:space="preserve"> </w:t>
      </w:r>
      <w:r>
        <w:rPr>
          <w:rStyle w:val="VerbatimChar"/>
        </w:rPr>
        <w:t xml:space="preserve">phase_common</w:t>
      </w:r>
      <w:r>
        <w:t xml:space="preserve"> </w:t>
      </w:r>
      <w:r>
        <w:t xml:space="preserve">and</w:t>
      </w:r>
      <w:r>
        <w:t xml:space="preserve"> </w:t>
      </w:r>
      <w:r>
        <w:rPr>
          <w:rStyle w:val="VerbatimChar"/>
        </w:rPr>
        <w:t xml:space="preserve">phase_rare</w:t>
      </w:r>
      <w:r>
        <w:t xml:space="preserve">). SER is the mean of the per-trio switch-error rates from</w:t>
      </w:r>
      <w:r>
        <w:t xml:space="preserve"> </w:t>
      </w:r>
      <w:r>
        <w:rPr>
          <w:rStyle w:val="VerbatimChar"/>
        </w:rPr>
        <w:t xml:space="preserve">bcftools +trio-switch-rate</w:t>
      </w:r>
      <w:r>
        <w:t xml:space="preserve"> </w:t>
      </w:r>
      <w:r>
        <w:t xml:space="preserve">over the same heterozygous site set for every tool (n = 1,992,617 sites on chr22, 10,632,243 sites on chr1, summed across the 54 trios).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Tool</w:t>
            </w:r>
          </w:p>
        </w:tc>
        <w:tc>
          <w:tcPr/>
          <w:p>
            <w:pPr>
              <w:pStyle w:val="Compact"/>
            </w:pPr>
            <w:r>
              <w:t xml:space="preserve">chr22 SER (%)</w:t>
            </w:r>
          </w:p>
        </w:tc>
        <w:tc>
          <w:tcPr/>
          <w:p>
            <w:pPr>
              <w:pStyle w:val="Compact"/>
            </w:pPr>
            <w:r>
              <w:t xml:space="preserve">chr22 wall</w:t>
            </w:r>
          </w:p>
        </w:tc>
        <w:tc>
          <w:tcPr/>
          <w:p>
            <w:pPr>
              <w:pStyle w:val="Compact"/>
            </w:pPr>
            <w:r>
              <w:t xml:space="preserve">chr22 peak RAM</w:t>
            </w:r>
          </w:p>
        </w:tc>
        <w:tc>
          <w:tcPr/>
          <w:p>
            <w:pPr>
              <w:pStyle w:val="Compact"/>
            </w:pPr>
            <w:r>
              <w:t xml:space="preserve">chr1 SER (%)</w:t>
            </w:r>
          </w:p>
        </w:tc>
        <w:tc>
          <w:tcPr/>
          <w:p>
            <w:pPr>
              <w:pStyle w:val="Compact"/>
            </w:pPr>
            <w:r>
              <w:t xml:space="preserve">chr1 wall</w:t>
            </w:r>
          </w:p>
        </w:tc>
        <w:tc>
          <w:tcPr/>
          <w:p>
            <w:pPr>
              <w:pStyle w:val="Compact"/>
            </w:pPr>
            <w:r>
              <w:t xml:space="preserve">chr1 peak RAM</w:t>
            </w:r>
          </w:p>
        </w:tc>
      </w:tr>
      <w:tr>
        <w:tc>
          <w:tcPr/>
          <w:p>
            <w:pPr>
              <w:pStyle w:val="Compact"/>
            </w:pPr>
            <w:r>
              <w:rPr>
                <w:b/>
                <w:bCs/>
              </w:rPr>
              <w:t xml:space="preserve">Selphi 2 diploid</w:t>
            </w:r>
          </w:p>
        </w:tc>
        <w:tc>
          <w:tcPr/>
          <w:p>
            <w:pPr>
              <w:pStyle w:val="Compact"/>
            </w:pPr>
            <w:r>
              <w:rPr>
                <w:b/>
                <w:bCs/>
              </w:rPr>
              <w:t xml:space="preserve">2.528</w:t>
            </w:r>
          </w:p>
        </w:tc>
        <w:tc>
          <w:tcPr/>
          <w:p>
            <w:pPr>
              <w:pStyle w:val="Compact"/>
            </w:pPr>
            <w:r>
              <w:rPr>
                <w:b/>
                <w:bCs/>
              </w:rPr>
              <w:t xml:space="preserve">67 s</w:t>
            </w:r>
          </w:p>
        </w:tc>
        <w:tc>
          <w:tcPr/>
          <w:p>
            <w:pPr>
              <w:pStyle w:val="Compact"/>
            </w:pPr>
            <w:r>
              <w:rPr>
                <w:b/>
                <w:bCs/>
              </w:rPr>
              <w:t xml:space="preserve">5.2 GB</w:t>
            </w:r>
          </w:p>
        </w:tc>
        <w:tc>
          <w:tcPr/>
          <w:p>
            <w:pPr>
              <w:pStyle w:val="Compact"/>
            </w:pPr>
            <w:r>
              <w:t xml:space="preserve">1.879</w:t>
            </w:r>
          </w:p>
        </w:tc>
        <w:tc>
          <w:tcPr/>
          <w:p>
            <w:pPr>
              <w:pStyle w:val="Compact"/>
            </w:pPr>
            <w:r>
              <w:rPr>
                <w:b/>
                <w:bCs/>
              </w:rPr>
              <w:t xml:space="preserve">343 s</w:t>
            </w:r>
          </w:p>
        </w:tc>
        <w:tc>
          <w:tcPr/>
          <w:p>
            <w:pPr>
              <w:pStyle w:val="Compact"/>
            </w:pPr>
            <w:r>
              <w:rPr>
                <w:b/>
                <w:bCs/>
              </w:rPr>
              <w:t xml:space="preserve">13.7 GB</w:t>
            </w:r>
          </w:p>
        </w:tc>
      </w:tr>
      <w:tr>
        <w:tc>
          <w:tcPr/>
          <w:p>
            <w:pPr>
              <w:pStyle w:val="Compact"/>
            </w:pPr>
            <w:r>
              <w:t xml:space="preserve">Beagle 5.5</w:t>
            </w:r>
          </w:p>
        </w:tc>
        <w:tc>
          <w:tcPr/>
          <w:p>
            <w:pPr>
              <w:pStyle w:val="Compact"/>
            </w:pPr>
            <w:r>
              <w:t xml:space="preserve">2.548</w:t>
            </w:r>
          </w:p>
        </w:tc>
        <w:tc>
          <w:tcPr/>
          <w:p>
            <w:pPr>
              <w:pStyle w:val="Compact"/>
            </w:pPr>
            <w:r>
              <w:t xml:space="preserve">169 s</w:t>
            </w:r>
          </w:p>
        </w:tc>
        <w:tc>
          <w:tcPr/>
          <w:p>
            <w:pPr>
              <w:pStyle w:val="Compact"/>
            </w:pPr>
            <w:r>
              <w:t xml:space="preserve">30.3 GB</w:t>
            </w:r>
          </w:p>
        </w:tc>
        <w:tc>
          <w:tcPr/>
          <w:p>
            <w:pPr>
              <w:pStyle w:val="Compact"/>
            </w:pPr>
            <w:r>
              <w:rPr>
                <w:b/>
                <w:bCs/>
              </w:rPr>
              <w:t xml:space="preserve">1.865</w:t>
            </w:r>
          </w:p>
        </w:tc>
        <w:tc>
          <w:tcPr/>
          <w:p>
            <w:pPr>
              <w:pStyle w:val="Compact"/>
            </w:pPr>
            <w:r>
              <w:t xml:space="preserve">857 s</w:t>
            </w:r>
          </w:p>
        </w:tc>
        <w:tc>
          <w:tcPr/>
          <w:p>
            <w:pPr>
              <w:pStyle w:val="Compact"/>
            </w:pPr>
            <w:r>
              <w:t xml:space="preserve">52.8 GB</w:t>
            </w:r>
          </w:p>
        </w:tc>
      </w:tr>
      <w:tr>
        <w:tc>
          <w:tcPr/>
          <w:p>
            <w:pPr>
              <w:pStyle w:val="Compact"/>
            </w:pPr>
            <w:r>
              <w:t xml:space="preserve">Selphi 2 haploid</w:t>
            </w:r>
          </w:p>
        </w:tc>
        <w:tc>
          <w:tcPr/>
          <w:p>
            <w:pPr>
              <w:pStyle w:val="Compact"/>
            </w:pPr>
            <w:r>
              <w:t xml:space="preserve">2.569</w:t>
            </w:r>
          </w:p>
        </w:tc>
        <w:tc>
          <w:tcPr/>
          <w:p>
            <w:pPr>
              <w:pStyle w:val="Compact"/>
            </w:pPr>
            <w:r>
              <w:t xml:space="preserve">348 s</w:t>
            </w:r>
          </w:p>
        </w:tc>
        <w:tc>
          <w:tcPr/>
          <w:p>
            <w:pPr>
              <w:pStyle w:val="Compact"/>
            </w:pPr>
            <w:r>
              <w:t xml:space="preserve">34.1 GB</w:t>
            </w:r>
          </w:p>
        </w:tc>
        <w:tc>
          <w:tcPr/>
          <w:p>
            <w:pPr>
              <w:pStyle w:val="Compact"/>
            </w:pPr>
            <w:r>
              <w:t xml:space="preserve">1.876</w:t>
            </w:r>
          </w:p>
        </w:tc>
        <w:tc>
          <w:tcPr/>
          <w:p>
            <w:pPr>
              <w:pStyle w:val="Compact"/>
            </w:pPr>
            <w:r>
              <w:t xml:space="preserve">1,559 s</w:t>
            </w:r>
          </w:p>
        </w:tc>
        <w:tc>
          <w:tcPr/>
          <w:p>
            <w:pPr>
              <w:pStyle w:val="Compact"/>
            </w:pPr>
            <w:r>
              <w:t xml:space="preserve">65.7 GB</w:t>
            </w:r>
          </w:p>
        </w:tc>
      </w:tr>
      <w:tr>
        <w:tc>
          <w:tcPr/>
          <w:p>
            <w:pPr>
              <w:pStyle w:val="Compact"/>
            </w:pPr>
            <w:r>
              <w:t xml:space="preserve">SHAPEIT5 v5.1.1 (full)</w:t>
            </w:r>
          </w:p>
        </w:tc>
        <w:tc>
          <w:tcPr/>
          <w:p>
            <w:pPr>
              <w:pStyle w:val="Compact"/>
            </w:pPr>
            <w:r>
              <w:t xml:space="preserve">2.607</w:t>
            </w:r>
          </w:p>
        </w:tc>
        <w:tc>
          <w:tcPr/>
          <w:p>
            <w:pPr>
              <w:pStyle w:val="Compact"/>
            </w:pPr>
            <w:r>
              <w:t xml:space="preserve">118 s</w:t>
            </w:r>
          </w:p>
        </w:tc>
        <w:tc>
          <w:tcPr/>
          <w:p>
            <w:pPr>
              <w:pStyle w:val="Compact"/>
            </w:pPr>
            <w:r>
              <w:t xml:space="preserve">5.6 GB</w:t>
            </w:r>
          </w:p>
        </w:tc>
        <w:tc>
          <w:tcPr/>
          <w:p>
            <w:pPr>
              <w:pStyle w:val="Compact"/>
            </w:pPr>
            <w:r>
              <w:t xml:space="preserve">1.929</w:t>
            </w:r>
          </w:p>
        </w:tc>
        <w:tc>
          <w:tcPr/>
          <w:p>
            <w:pPr>
              <w:pStyle w:val="Compact"/>
            </w:pPr>
            <w:r>
              <w:t xml:space="preserve">611 s</w:t>
            </w:r>
          </w:p>
        </w:tc>
        <w:tc>
          <w:tcPr/>
          <w:p>
            <w:pPr>
              <w:pStyle w:val="Compact"/>
            </w:pPr>
            <w:r>
              <w:t xml:space="preserve">29.6 GB</w:t>
            </w:r>
          </w:p>
        </w:tc>
      </w:tr>
    </w:tbl>
    <w:p>
      <w:pPr>
        <w:pStyle w:val="BodyText"/>
      </w:pPr>
      <w:r>
        <w:t xml:space="preserve">The two Selphi 2 engines are within 0.005 percentage points on chr1 (haploid 1.876%, diploid 1.879%) and within 0.05 on chr22 (diploid 2.528% versus haploid 2.569%). On admixed biobank-scale data (MESA 5K</w:t>
      </w:r>
      <w:r>
        <w:t xml:space="preserve"> </w:t>
      </w:r>
      <m:oMath>
        <m:r>
          <m:rPr>
            <m:sty m:val="p"/>
          </m:rPr>
          <m:t>×</m:t>
        </m:r>
      </m:oMath>
      <w:r>
        <w:t xml:space="preserve"> </w:t>
      </w:r>
      <w:r>
        <w:t xml:space="preserve">TOPMed chr20), the diploid engine attains overall imputation</w:t>
      </w:r>
      <w:r>
        <w:t xml:space="preserve"> </w:t>
      </w:r>
      <m:oMath>
        <m:sSup>
          <m:e>
            <m:r>
              <m:t>R</m:t>
            </m:r>
          </m:e>
          <m:sup>
            <m:r>
              <m:t>2</m:t>
            </m:r>
          </m:sup>
        </m:sSup>
      </m:oMath>
      <w:r>
        <w:t xml:space="preserve"> </w:t>
      </w:r>
      <w:r>
        <w:t xml:space="preserve">0.6210 versus the haploid engine’s 0.6158 (+0.0052), while the per-sample means are within 0.001 of each other (0.9017 versus 0.9023); the diploid engine reaches this in 2.98 h against the haploid engine’s 1.83 h, at 82.9 versus 56.0 GB. We discuss the interpretation of this engine-by-cohort behaviour in the Discussion.</w:t>
      </w:r>
    </w:p>
    <w:p>
      <w:pPr>
        <w:pStyle w:val="BodyText"/>
      </w:pPr>
      <w:r>
        <w:rPr>
          <w:b/>
          <w:bCs/>
        </w:rPr>
        <w:t xml:space="preserve">Pedigree-aware phasing.</w:t>
      </w:r>
      <w:r>
        <w:t xml:space="preserve"> </w:t>
      </w:r>
      <w:r>
        <w:t xml:space="preserve">When trios or duos are available, Selphi 2 applies the Mendelian constraints implied by the pedigree before the HMM (Methods,</w:t>
      </w:r>
      <w:r>
        <w:t xml:space="preserve"> </w:t>
      </w:r>
      <w:r>
        <w:rPr>
          <w:i/>
          <w:iCs/>
        </w:rPr>
        <w:t xml:space="preserve">Pedigree scaffolding</w:t>
      </w:r>
      <w:r>
        <w:t xml:space="preserve">). To quantify the benefit, we re-phased the same 54 children together with their parents (162 individuals) against the no-trios panel with the pedigree supplied (</w:t>
      </w:r>
      <w:r>
        <w:rPr>
          <w:rStyle w:val="VerbatimChar"/>
        </w:rPr>
        <w:t xml:space="preserve">--ped</w:t>
      </w:r>
      <w:r>
        <w:t xml:space="preserve">), and compared against the parent-free phasing above. On chromosome 22 the pedigree scaffold lowered Selphi 2’s mean switch-error rate from 2.528% to 0.853% (a 66% reduction), while the same pedigree lowered Beagle 5.5’s SER from 2.548% to 1.050% and SHAPEIT5’s (full pipeline,</w:t>
      </w:r>
      <w:r>
        <w:t xml:space="preserve"> </w:t>
      </w:r>
      <w:r>
        <w:rPr>
          <w:rStyle w:val="VerbatimChar"/>
        </w:rPr>
        <w:t xml:space="preserve">phase_common</w:t>
      </w:r>
      <w:r>
        <w:t xml:space="preserve"> </w:t>
      </w:r>
      <w:r>
        <w:t xml:space="preserve">+</w:t>
      </w:r>
      <w:r>
        <w:t xml:space="preserve"> </w:t>
      </w:r>
      <w:r>
        <w:rPr>
          <w:rStyle w:val="VerbatimChar"/>
        </w:rPr>
        <w:t xml:space="preserve">phase_rare</w:t>
      </w:r>
      <w:r>
        <w:t xml:space="preserve">) from 2.607% to 0.000% (Table 6b). On chromosome 1 the pedigree lowered Selphi 2 from 1.879% to 0.332% and Beagle 5.5 from 1.865% to 0.429%. Among the two probabilistic scaffolders Selphi 2 therefore makes the more effective use of the pedigree on both chromosomes (0.853% versus 1.050%; 0.332% versus 0.429%).</w:t>
      </w:r>
    </w:p>
    <w:p>
      <w:pPr>
        <w:pStyle w:val="BodyText"/>
      </w:pPr>
      <w:r>
        <w:t xml:space="preserve">Switch-error rates measured</w:t>
      </w:r>
      <w:r>
        <w:t xml:space="preserve"> </w:t>
      </w:r>
      <w:r>
        <w:rPr>
          <w:i/>
          <w:iCs/>
        </w:rPr>
        <w:t xml:space="preserve">with</w:t>
      </w:r>
      <w:r>
        <w:t xml:space="preserve"> </w:t>
      </w:r>
      <w: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t xml:space="preserve"> </w:t>
      </w:r>
      <w:r>
        <w:rPr>
          <w:rStyle w:val="VerbatimChar"/>
        </w:rPr>
        <w:t xml:space="preserve">--pedigree</w:t>
      </w:r>
      <w:r>
        <w:t xml:space="preserve"> </w:t>
      </w:r>
      <w: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6) is therefore the unconfounded measure of phasing quality. There the three tools are close: on chromosome 22 Selphi 2’s diploid engine is statistically indistinguishable from Beagle 5.5 (paired Δ = -0.019 pp, 95% CI [-0.049, +0.009] from 20,000 paired bootstrap resamples, lower in 30 of 54 trios) and significantly lower than SHAPEIT5 (Δ = -0.078 pp, [-0.107, -0.050], 40 of 54 trios), while on chromosome 1 Beagle 5.5 is marginally lowest but again not significantly different from Selphi 2 (Δ = +0.014 pp, [-0.001, +0.027]), and Selphi 2 again leads SHAPEIT5 (Δ = -0.050 pp, [-0.062, -0.038], 47 of 54 trios).</w:t>
      </w:r>
    </w:p>
    <w:p>
      <w:pPr>
        <w:pStyle w:val="BodyText"/>
      </w:pPr>
      <w: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t xml:space="preserve"> </w:t>
      </w:r>
      <m:oMath>
        <m:sSup>
          <m:e>
            <m:r>
              <m:t>R</m:t>
            </m:r>
          </m:e>
          <m:sup>
            <m:r>
              <m:t>2</m:t>
            </m:r>
          </m:sup>
        </m:sSup>
      </m:oMath>
      <w:r>
        <w:t xml:space="preserve"> </w:t>
      </w:r>
      <w:r>
        <w:t xml:space="preserve">+0.016 to +0.022 on chromosome 22 and +0.013 to +0.018 on chromosome 1; Table 6c).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t xml:space="preserve"> </w:t>
      </w:r>
      <m:oMath>
        <m:sSup>
          <m:e>
            <m:r>
              <m:t>R</m:t>
            </m:r>
          </m:e>
          <m:sup>
            <m:r>
              <m:t>2</m:t>
            </m:r>
          </m:sup>
        </m:sSup>
      </m:oMath>
      <w:r>
        <w:t xml:space="preserve"> </w:t>
      </w:r>
      <w:r>
        <w:t xml:space="preserve">within 0.002), so the gain reflects the pedigree information itself rather than the choice of phasing tool.</w:t>
      </w:r>
    </w:p>
    <w:p>
      <w:pPr>
        <w:pStyle w:val="BodyText"/>
      </w:pPr>
      <w:r>
        <w:rPr>
          <w:b/>
          <w:bCs/>
        </w:rPr>
        <w:t xml:space="preserve">Table 6b. Pedigree-aware phasing: switch-error rate with and without trio pedigree.</w:t>
      </w:r>
      <w:r>
        <w:t xml:space="preserve"> </w:t>
      </w:r>
      <w:r>
        <w:t xml:space="preserve">The same 54 trio children were phased against the 2,239-sample no-trios reference panel either alone (no pedigree) or jointly with their parents (162 individuals) with the trio pedigree supplied. SER computed by</w:t>
      </w:r>
      <w:r>
        <w:t xml:space="preserve"> </w:t>
      </w:r>
      <w:r>
        <w:rPr>
          <w:rStyle w:val="VerbatimChar"/>
        </w:rPr>
        <w:t xml:space="preserve">bcftools +trio-switch-rate</w:t>
      </w:r>
      <w:r>
        <w:t xml:space="preserve"> </w:t>
      </w:r>
      <w:r>
        <w:t xml:space="preserve">(column nSwitch %) against the parent-of-origin truth, reported as the mean of per-trio switch-error rates (equal weight per trio, n = 54) over an identical 1,992,617-site testable set for every tool. SHAPEIT5 is the full pipeline (</w:t>
      </w:r>
      <w:r>
        <w:rPr>
          <w:rStyle w:val="VerbatimChar"/>
        </w:rPr>
        <w:t xml:space="preserve">phase_common</w:t>
      </w:r>
      <w:r>
        <w:t xml:space="preserve"> </w:t>
      </w:r>
      <w:r>
        <w:t xml:space="preserve">at MAF ≥ 0.001 then</w:t>
      </w:r>
      <w:r>
        <w:t xml:space="preserve"> </w:t>
      </w:r>
      <w:r>
        <w:rPr>
          <w:rStyle w:val="VerbatimChar"/>
        </w:rPr>
        <w:t xml:space="preserve">phase_rare</w:t>
      </w:r>
      <w:r>
        <w:t xml:space="preserve">). The no-pedigree columns are the Table 6 runs; paired significance is given in the text. Pedigree-aware SER is partially circular (see text); the no-pedigree columns are the unconfounded comparison and Table 6c is the independent confirmation.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Tool</w:t>
            </w:r>
          </w:p>
        </w:tc>
        <w:tc>
          <w:tcPr/>
          <w:p>
            <w:pPr>
              <w:pStyle w:val="Compact"/>
            </w:pPr>
            <w:r>
              <w:t xml:space="preserve">chr22 SER, no pedigree (%)</w:t>
            </w:r>
          </w:p>
        </w:tc>
        <w:tc>
          <w:tcPr/>
          <w:p>
            <w:pPr>
              <w:pStyle w:val="Compact"/>
            </w:pPr>
            <w:r>
              <w:t xml:space="preserve">chr22 SER, + pedigree (%)</w:t>
            </w:r>
          </w:p>
        </w:tc>
        <w:tc>
          <w:tcPr/>
          <w:p>
            <w:pPr>
              <w:pStyle w:val="Compact"/>
            </w:pPr>
            <w:r>
              <w:t xml:space="preserve">chr1 SER, no pedigree (%)</w:t>
            </w:r>
          </w:p>
        </w:tc>
        <w:tc>
          <w:tcPr/>
          <w:p>
            <w:pPr>
              <w:pStyle w:val="Compact"/>
            </w:pPr>
            <w:r>
              <w:t xml:space="preserve">chr1 SER, + pedigree (%)</w:t>
            </w:r>
          </w:p>
        </w:tc>
      </w:tr>
      <w:tr>
        <w:tc>
          <w:tcPr/>
          <w:p>
            <w:pPr>
              <w:pStyle w:val="Compact"/>
            </w:pPr>
            <w:r>
              <w:t xml:space="preserve">Selphi 2 (diploid)</w:t>
            </w:r>
          </w:p>
        </w:tc>
        <w:tc>
          <w:tcPr/>
          <w:p>
            <w:pPr>
              <w:pStyle w:val="Compact"/>
            </w:pPr>
            <w:r>
              <w:t xml:space="preserve">2.528</w:t>
            </w:r>
          </w:p>
        </w:tc>
        <w:tc>
          <w:tcPr/>
          <w:p>
            <w:pPr>
              <w:pStyle w:val="Compact"/>
            </w:pPr>
            <w:r>
              <w:rPr>
                <w:b/>
                <w:bCs/>
              </w:rPr>
              <w:t xml:space="preserve">0.853</w:t>
            </w:r>
          </w:p>
        </w:tc>
        <w:tc>
          <w:tcPr/>
          <w:p>
            <w:pPr>
              <w:pStyle w:val="Compact"/>
            </w:pPr>
            <w:r>
              <w:t xml:space="preserve">1.879</w:t>
            </w:r>
          </w:p>
        </w:tc>
        <w:tc>
          <w:tcPr/>
          <w:p>
            <w:pPr>
              <w:pStyle w:val="Compact"/>
            </w:pPr>
            <w:r>
              <w:rPr>
                <w:b/>
                <w:bCs/>
              </w:rPr>
              <w:t xml:space="preserve">0.332</w:t>
            </w:r>
          </w:p>
        </w:tc>
      </w:tr>
      <w:tr>
        <w:tc>
          <w:tcPr/>
          <w:p>
            <w:pPr>
              <w:pStyle w:val="Compact"/>
            </w:pPr>
            <w:r>
              <w:t xml:space="preserve">Beagle 5.5</w:t>
            </w:r>
          </w:p>
        </w:tc>
        <w:tc>
          <w:tcPr/>
          <w:p>
            <w:pPr>
              <w:pStyle w:val="Compact"/>
            </w:pPr>
            <w:r>
              <w:t xml:space="preserve">2.548</w:t>
            </w:r>
          </w:p>
        </w:tc>
        <w:tc>
          <w:tcPr/>
          <w:p>
            <w:pPr>
              <w:pStyle w:val="Compact"/>
            </w:pPr>
            <w:r>
              <w:t xml:space="preserve">1.050†</w:t>
            </w:r>
          </w:p>
        </w:tc>
        <w:tc>
          <w:tcPr/>
          <w:p>
            <w:pPr>
              <w:pStyle w:val="Compact"/>
            </w:pPr>
            <w:r>
              <w:t xml:space="preserve">1.865</w:t>
            </w:r>
          </w:p>
        </w:tc>
        <w:tc>
          <w:tcPr/>
          <w:p>
            <w:pPr>
              <w:pStyle w:val="Compact"/>
            </w:pPr>
            <w:r>
              <w:t xml:space="preserve">0.429†</w:t>
            </w:r>
          </w:p>
        </w:tc>
      </w:tr>
      <w:tr>
        <w:tc>
          <w:tcPr/>
          <w:p>
            <w:pPr>
              <w:pStyle w:val="Compact"/>
            </w:pPr>
            <w:r>
              <w:t xml:space="preserve">SHAPEIT5 v5.1.1 (full)</w:t>
            </w:r>
          </w:p>
        </w:tc>
        <w:tc>
          <w:tcPr/>
          <w:p>
            <w:pPr>
              <w:pStyle w:val="Compact"/>
            </w:pPr>
            <w:r>
              <w:t xml:space="preserve">2.607</w:t>
            </w:r>
          </w:p>
        </w:tc>
        <w:tc>
          <w:tcPr/>
          <w:p>
            <w:pPr>
              <w:pStyle w:val="Compact"/>
            </w:pPr>
            <w:r>
              <w:t xml:space="preserve">0.000*†</w:t>
            </w:r>
          </w:p>
        </w:tc>
        <w:tc>
          <w:tcPr/>
          <w:p>
            <w:pPr>
              <w:pStyle w:val="Compact"/>
            </w:pPr>
            <w:r>
              <w:t xml:space="preserve">1.929</w:t>
            </w:r>
          </w:p>
        </w:tc>
        <w:tc>
          <w:tcPr/>
          <w:p>
            <w:pPr>
              <w:pStyle w:val="Compact"/>
            </w:pPr>
            <w:r>
              <w:t xml:space="preserve">0.000*†</w:t>
            </w:r>
          </w:p>
        </w:tc>
      </w:tr>
    </w:tbl>
    <w:p>
      <w:pPr>
        <w:pStyle w:val="BodyText"/>
      </w:pPr>
      <w:r>
        <w:t xml:space="preserve">*0.000% reflects rigid commitment of the child’s phase to the Mendelian configuration, not error-free phasing (see text). †Pedigree-aware arms for Beagle 5.5 and SHAPEIT5 are from the May 2026 measurement on the same inputs and were not re-run; the no-pedigree columns and Selphi 2’s pedigree arm are from the same session as Table 6.</w:t>
      </w:r>
    </w:p>
    <w:p>
      <w:pPr>
        <w:pStyle w:val="BodyText"/>
      </w:pPr>
      <w:r>
        <w:rPr>
          <w:b/>
          <w:bCs/>
        </w:rPr>
        <w:t xml:space="preserve">Table 6c. Pedigree benefit measured by downstream imputation against an independent truth.</w:t>
      </w:r>
      <w:r>
        <w:t xml:space="preserve"> </w:t>
      </w:r>
      <w: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t xml:space="preserve"> </w:t>
      </w:r>
      <m:oMath>
        <m:sSup>
          <m:e>
            <m:r>
              <m:t>R</m:t>
            </m:r>
          </m:e>
          <m:sup>
            <m:r>
              <m:t>2</m:t>
            </m:r>
          </m:sup>
        </m:sSup>
      </m:oMath>
      <w: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Phasing</w:t>
            </w:r>
          </w:p>
        </w:tc>
        <w:tc>
          <w:tcPr/>
          <w:p>
            <w:pPr>
              <w:pStyle w:val="Compact"/>
            </w:pPr>
            <w:r>
              <w:t xml:space="preserve">chr22</w:t>
            </w:r>
            <w:r>
              <w:t xml:space="preserve"> </w:t>
            </w:r>
            <m:oMath>
              <m:sSup>
                <m:e>
                  <m:r>
                    <m:t>R</m:t>
                  </m:r>
                </m:e>
                <m:sup>
                  <m:r>
                    <m:t>2</m:t>
                  </m:r>
                </m:sup>
              </m:sSup>
            </m:oMath>
            <w:r>
              <w:t xml:space="preserve">, no ped</w:t>
            </w:r>
          </w:p>
        </w:tc>
        <w:tc>
          <w:tcPr/>
          <w:p>
            <w:pPr>
              <w:pStyle w:val="Compact"/>
            </w:pPr>
            <w:r>
              <w:t xml:space="preserve">chr22</w:t>
            </w:r>
            <w:r>
              <w:t xml:space="preserve"> </w:t>
            </w:r>
            <m:oMath>
              <m:sSup>
                <m:e>
                  <m:r>
                    <m:t>R</m:t>
                  </m:r>
                </m:e>
                <m:sup>
                  <m:r>
                    <m:t>2</m:t>
                  </m:r>
                </m:sup>
              </m:sSup>
            </m:oMath>
            <w:r>
              <w:t xml:space="preserve">, + ped</w:t>
            </w:r>
          </w:p>
        </w:tc>
        <w:tc>
          <w:tcPr/>
          <w:p>
            <w:pPr>
              <w:pStyle w:val="Compact"/>
            </w:pPr>
            <w:r>
              <w:t xml:space="preserve">chr1</w:t>
            </w:r>
            <w:r>
              <w:t xml:space="preserve"> </w:t>
            </w:r>
            <m:oMath>
              <m:sSup>
                <m:e>
                  <m:r>
                    <m:t>R</m:t>
                  </m:r>
                </m:e>
                <m:sup>
                  <m:r>
                    <m:t>2</m:t>
                  </m:r>
                </m:sup>
              </m:sSup>
            </m:oMath>
            <w:r>
              <w:t xml:space="preserve">, no ped</w:t>
            </w:r>
          </w:p>
        </w:tc>
        <w:tc>
          <w:tcPr/>
          <w:p>
            <w:pPr>
              <w:pStyle w:val="Compact"/>
            </w:pPr>
            <w:r>
              <w:t xml:space="preserve">chr1</w:t>
            </w:r>
            <w:r>
              <w:t xml:space="preserve"> </w:t>
            </w:r>
            <m:oMath>
              <m:sSup>
                <m:e>
                  <m:r>
                    <m:t>R</m:t>
                  </m:r>
                </m:e>
                <m:sup>
                  <m:r>
                    <m:t>2</m:t>
                  </m:r>
                </m:sup>
              </m:sSup>
            </m:oMath>
            <w:r>
              <w:t xml:space="preserve">, + ped</w:t>
            </w:r>
          </w:p>
        </w:tc>
      </w:tr>
      <w:tr>
        <w:tc>
          <w:tcPr/>
          <w:p>
            <w:pPr>
              <w:pStyle w:val="Compact"/>
            </w:pPr>
            <w:r>
              <w:t xml:space="preserve">Selphi 2 (diploid)</w:t>
            </w:r>
          </w:p>
        </w:tc>
        <w:tc>
          <w:tcPr/>
          <w:p>
            <w:pPr>
              <w:pStyle w:val="Compact"/>
            </w:pPr>
            <w:r>
              <w:t xml:space="preserve">0.7495</w:t>
            </w:r>
          </w:p>
        </w:tc>
        <w:tc>
          <w:tcPr/>
          <w:p>
            <w:pPr>
              <w:pStyle w:val="Compact"/>
            </w:pPr>
            <w:r>
              <w:t xml:space="preserve">0.7659</w:t>
            </w:r>
          </w:p>
        </w:tc>
        <w:tc>
          <w:tcPr/>
          <w:p>
            <w:pPr>
              <w:pStyle w:val="Compact"/>
            </w:pPr>
            <w:r>
              <w:t xml:space="preserve">0.8425</w:t>
            </w:r>
          </w:p>
        </w:tc>
        <w:tc>
          <w:tcPr/>
          <w:p>
            <w:pPr>
              <w:pStyle w:val="Compact"/>
            </w:pPr>
            <w:r>
              <w:t xml:space="preserve">0.8570</w:t>
            </w:r>
          </w:p>
        </w:tc>
      </w:tr>
      <w:tr>
        <w:tc>
          <w:tcPr/>
          <w:p>
            <w:pPr>
              <w:pStyle w:val="Compact"/>
            </w:pPr>
            <w:r>
              <w:t xml:space="preserve">Beagle 5.5</w:t>
            </w:r>
          </w:p>
        </w:tc>
        <w:tc>
          <w:tcPr/>
          <w:p>
            <w:pPr>
              <w:pStyle w:val="Compact"/>
            </w:pPr>
            <w:r>
              <w:t xml:space="preserve">0.7508</w:t>
            </w:r>
          </w:p>
        </w:tc>
        <w:tc>
          <w:tcPr/>
          <w:p>
            <w:pPr>
              <w:pStyle w:val="Compact"/>
            </w:pPr>
            <w:r>
              <w:t xml:space="preserve">0.7729</w:t>
            </w:r>
          </w:p>
        </w:tc>
        <w:tc>
          <w:tcPr/>
          <w:p>
            <w:pPr>
              <w:pStyle w:val="Compact"/>
            </w:pPr>
            <w:r>
              <w:t xml:space="preserve">0.8414</w:t>
            </w:r>
          </w:p>
        </w:tc>
        <w:tc>
          <w:tcPr/>
          <w:p>
            <w:pPr>
              <w:pStyle w:val="Compact"/>
            </w:pPr>
            <w:r>
              <w:t xml:space="preserve">0.8592</w:t>
            </w:r>
          </w:p>
        </w:tc>
      </w:tr>
      <w:tr>
        <w:tc>
          <w:tcPr/>
          <w:p>
            <w:pPr>
              <w:pStyle w:val="Compact"/>
            </w:pPr>
            <w:r>
              <w:t xml:space="preserve">SHAPEIT5 v5.1.1</w:t>
            </w:r>
          </w:p>
        </w:tc>
        <w:tc>
          <w:tcPr/>
          <w:p>
            <w:pPr>
              <w:pStyle w:val="Compact"/>
            </w:pPr>
            <w:r>
              <w:t xml:space="preserve">0.7515</w:t>
            </w:r>
          </w:p>
        </w:tc>
        <w:tc>
          <w:tcPr/>
          <w:p>
            <w:pPr>
              <w:pStyle w:val="Compact"/>
            </w:pPr>
            <w:r>
              <w:t xml:space="preserve">0.7680</w:t>
            </w:r>
          </w:p>
        </w:tc>
        <w:tc>
          <w:tcPr/>
          <w:p>
            <w:pPr>
              <w:pStyle w:val="Compact"/>
            </w:pPr>
            <w:r>
              <w:t xml:space="preserve">0.8425</w:t>
            </w:r>
          </w:p>
        </w:tc>
        <w:tc>
          <w:tcPr/>
          <w:p>
            <w:pPr>
              <w:pStyle w:val="Compact"/>
            </w:pPr>
            <w:r>
              <w:t xml:space="preserve">0.8551</w:t>
            </w:r>
          </w:p>
        </w:tc>
      </w:tr>
    </w:tbl>
    <w:bookmarkEnd w:id="45"/>
    <w:bookmarkStart w:id="49" w:name="computational-efficiency"/>
    <w:p>
      <w:pPr>
        <w:pStyle w:val="Heading2"/>
      </w:pPr>
      <w:r>
        <w:rPr>
          <w:b/>
          <w:bCs/>
        </w:rPr>
        <w:t xml:space="preserve">Computational efficiency</w:t>
      </w:r>
    </w:p>
    <w:p>
      <w:pPr>
        <w:pStyle w:val="FirstParagraph"/>
      </w:pPr>
      <w:r>
        <w:t xml:space="preserve">Table 7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pPr>
      <w:r>
        <w:rPr>
          <w:b/>
          <w:bCs/>
        </w:rPr>
        <w:t xml:space="preserve">Table 7. Wall time and peak memory.</w:t>
      </w:r>
      <w:r>
        <w:t xml:space="preserve"> </w:t>
      </w:r>
      <w:r>
        <w:t xml:space="preserve">All numbers measured on a single workstation (16-thread CPU) with /usr/bin/time -v, except the Selphi 1.5.3 GIAB rows, which are the May 2026 measurement on a 16-vCPU EC2 host (r7a.4xlarge) and were not re-run; Selphi 1.5.3 memory measured via docker stats. The Selphi 2 and Beagle 5.5 GIAB rows were re-measured on the workstation on one rebuilt chip input. The MESA 5K</w:t>
      </w:r>
      <w:r>
        <w:t xml:space="preserve"> </w:t>
      </w:r>
      <m:oMath>
        <m:r>
          <m:rPr>
            <m:sty m:val="p"/>
          </m:rPr>
          <m:t>×</m:t>
        </m:r>
      </m:oMath>
      <w:r>
        <w:t xml:space="preserve"> </w:t>
      </w:r>
      <w:r>
        <w:t xml:space="preserve">TOPMed row reflects Selphi 2 at its panel-adaptive default</w:t>
      </w:r>
      <w:r>
        <w:t xml:space="preserve"> </w:t>
      </w:r>
      <m:oMath>
        <m:sSub>
          <m:e>
            <m:r>
              <m:t>m</m:t>
            </m:r>
          </m:e>
          <m:sub>
            <m:r>
              <m:t>c</m:t>
            </m:r>
          </m:sub>
        </m:sSub>
      </m:oMath>
      <w:r>
        <w:t xml:space="preserve"> </w:t>
      </w:r>
      <w:r>
        <w:t xml:space="preserve">(132,676), run unbatched so that the default two-member intra-run phase ensemble applies,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t xml:space="preserve"> </w:t>
      </w:r>
      <w:r>
        <w:t xml:space="preserve">(chr22) to 41</w:t>
      </w:r>
      <m:oMath>
        <m:r>
          <m:rPr>
            <m:sty m:val="p"/>
          </m:rPr>
          <m:t>×</m:t>
        </m:r>
      </m:oMath>
      <w:r>
        <w:t xml:space="preserve"> </w:t>
      </w:r>
      <w:r>
        <w:t xml:space="preserve">(chr1) slower than Selphi 2 at comparable peak memory. Selphi 1.5.3 requires a pre-phased target and does not perform phasing, so on the MESA 5K</w:t>
      </w:r>
      <w:r>
        <w:t xml:space="preserve"> </w:t>
      </w:r>
      <m:oMath>
        <m:r>
          <m:rPr>
            <m:sty m:val="p"/>
          </m:rPr>
          <m:t>×</m:t>
        </m:r>
      </m:oMath>
      <w:r>
        <w:t xml:space="preserve"> </w:t>
      </w:r>
      <w: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Benchmark</w:t>
            </w:r>
          </w:p>
        </w:tc>
        <w:tc>
          <w:tcPr/>
          <w:p>
            <w:pPr>
              <w:pStyle w:val="Compact"/>
            </w:pPr>
            <w:r>
              <w:t xml:space="preserve">Selphi 2</w:t>
            </w:r>
          </w:p>
        </w:tc>
        <w:tc>
          <w:tcPr/>
          <w:p>
            <w:pPr>
              <w:pStyle w:val="Compact"/>
            </w:pPr>
            <w:r>
              <w:t xml:space="preserve">Selphi 1.5.3</w:t>
            </w:r>
          </w:p>
        </w:tc>
        <w:tc>
          <w:tcPr/>
          <w:p>
            <w:pPr>
              <w:pStyle w:val="Compact"/>
            </w:pPr>
            <w:r>
              <w:t xml:space="preserve">Beagle</w:t>
            </w:r>
          </w:p>
        </w:tc>
      </w:tr>
      <w:tr>
        <w:tc>
          <w:tcPr/>
          <w:p>
            <w:pPr>
              <w:pStyle w:val="Compact"/>
            </w:pPr>
            <w:r>
              <w:t xml:space="preserve">chr22 1KG 801s (impute-only, phased input)</w:t>
            </w:r>
          </w:p>
        </w:tc>
        <w:tc>
          <w:tcPr/>
          <w:p>
            <w:pPr>
              <w:pStyle w:val="Compact"/>
            </w:pPr>
            <w:r>
              <w:t xml:space="preserve">59 s / 9.9 GB</w:t>
            </w:r>
          </w:p>
        </w:tc>
        <w:tc>
          <w:tcPr/>
          <w:p>
            <w:pPr>
              <w:pStyle w:val="Compact"/>
            </w:pPr>
            <w:r>
              <w:t xml:space="preserve">1,532 s / 15.6 GB</w:t>
            </w:r>
          </w:p>
        </w:tc>
        <w:tc>
          <w:tcPr/>
          <w:p>
            <w:pPr>
              <w:pStyle w:val="Compact"/>
            </w:pPr>
            <w:r>
              <w:t xml:space="preserve">58 s / 21.7 GB</w:t>
            </w:r>
          </w:p>
        </w:tc>
      </w:tr>
      <w:tr>
        <w:tc>
          <w:tcPr/>
          <w:p>
            <w:pPr>
              <w:pStyle w:val="Compact"/>
            </w:pPr>
            <w:r>
              <w:t xml:space="preserve">chr1 1KG 801s (impute-only, phased input)</w:t>
            </w:r>
          </w:p>
        </w:tc>
        <w:tc>
          <w:tcPr/>
          <w:p>
            <w:pPr>
              <w:pStyle w:val="Compact"/>
            </w:pPr>
            <w:r>
              <w:t xml:space="preserve">315 s / 15.8 GB</w:t>
            </w:r>
          </w:p>
        </w:tc>
        <w:tc>
          <w:tcPr/>
          <w:p>
            <w:pPr>
              <w:pStyle w:val="Compact"/>
            </w:pPr>
            <w:r>
              <w:t xml:space="preserve">15,338 s / 32.6 GB</w:t>
            </w:r>
          </w:p>
        </w:tc>
        <w:tc>
          <w:tcPr/>
          <w:p>
            <w:pPr>
              <w:pStyle w:val="Compact"/>
            </w:pPr>
            <w:r>
              <w:t xml:space="preserve">207 s / 20.2 GB</w:t>
            </w:r>
          </w:p>
        </w:tc>
      </w:tr>
      <w:tr>
        <w:tc>
          <w:tcPr/>
          <w:p>
            <w:pPr>
              <w:pStyle w:val="Compact"/>
            </w:pPr>
            <w:r>
              <w:t xml:space="preserve">chr21 GIAB 6 samples (impute-only)</w:t>
            </w:r>
          </w:p>
        </w:tc>
        <w:tc>
          <w:tcPr/>
          <w:p>
            <w:pPr>
              <w:pStyle w:val="Compact"/>
            </w:pPr>
            <w:r>
              <w:t xml:space="preserve">6.9 s / 3.2 GB</w:t>
            </w:r>
          </w:p>
        </w:tc>
        <w:tc>
          <w:tcPr/>
          <w:p>
            <w:pPr>
              <w:pStyle w:val="Compact"/>
            </w:pPr>
            <w:r>
              <w:t xml:space="preserve">112.8 s / 7.1 GB</w:t>
            </w:r>
          </w:p>
        </w:tc>
        <w:tc>
          <w:tcPr/>
          <w:p>
            <w:pPr>
              <w:pStyle w:val="Compact"/>
            </w:pPr>
            <w:r>
              <w:t xml:space="preserve">6.7 s / 7.0 GB</w:t>
            </w:r>
          </w:p>
        </w:tc>
      </w:tr>
      <w:tr>
        <w:tc>
          <w:tcPr/>
          <w:p>
            <w:pPr>
              <w:pStyle w:val="Compact"/>
            </w:pPr>
            <w:r>
              <w:t xml:space="preserve">chr1 GIAB 6 samples (impute-only)</w:t>
            </w:r>
          </w:p>
        </w:tc>
        <w:tc>
          <w:tcPr/>
          <w:p>
            <w:pPr>
              <w:pStyle w:val="Compact"/>
            </w:pPr>
            <w:r>
              <w:t xml:space="preserve">40.1 s / 7.2 GB</w:t>
            </w:r>
          </w:p>
        </w:tc>
        <w:tc>
          <w:tcPr/>
          <w:p>
            <w:pPr>
              <w:pStyle w:val="Compact"/>
            </w:pPr>
            <w:r>
              <w:t xml:space="preserve">1923 s / 22.1 GB</w:t>
            </w:r>
          </w:p>
        </w:tc>
        <w:tc>
          <w:tcPr/>
          <w:p>
            <w:pPr>
              <w:pStyle w:val="Compact"/>
            </w:pPr>
            <w:r>
              <w:t xml:space="preserve">24.9 s / 16.8 GB</w:t>
            </w:r>
          </w:p>
        </w:tc>
      </w:tr>
      <w:tr>
        <w:tc>
          <w:tcPr/>
          <w:p>
            <w:pPr>
              <w:pStyle w:val="Compact"/>
            </w:pPr>
            <w:r>
              <w:t xml:space="preserve">MESA 5K</w:t>
            </w:r>
            <w:r>
              <w:t xml:space="preserve"> </w:t>
            </w:r>
            <m:oMath>
              <m:r>
                <m:rPr>
                  <m:sty m:val="p"/>
                </m:rPr>
                <m:t>×</m:t>
              </m:r>
            </m:oMath>
            <w:r>
              <w:t xml:space="preserve"> </w:t>
            </w:r>
            <w:r>
              <w:t xml:space="preserve">TOPMed chr20 (full pipeline)</w:t>
            </w:r>
          </w:p>
        </w:tc>
        <w:tc>
          <w:tcPr/>
          <w:p>
            <w:pPr>
              <w:pStyle w:val="Compact"/>
            </w:pPr>
            <w:r>
              <w:t xml:space="preserve">10787 s / 79.4 GB</w:t>
            </w:r>
          </w:p>
        </w:tc>
        <w:tc>
          <w:tcPr/>
          <w:p>
            <w:pPr>
              <w:pStyle w:val="Compact"/>
            </w:pPr>
            <w:r>
              <w:t xml:space="preserve">~15,480 s / ~98 GB (impute-only)</w:t>
            </w:r>
          </w:p>
        </w:tc>
        <w:tc>
          <w:tcPr/>
          <w:p>
            <w:pPr>
              <w:pStyle w:val="Compact"/>
            </w:pPr>
            <w:r>
              <w:t xml:space="preserve">4148 s / 96.5 GB</w:t>
            </w:r>
          </w:p>
        </w:tc>
      </w:tr>
    </w:tbl>
    <w:p>
      <w:pPr>
        <w:pStyle w:val="CaptionedFigure"/>
      </w:pPr>
      <w:r>
        <w:drawing>
          <wp:inline>
            <wp:extent cx="5334000" cy="1610558"/>
            <wp:effectExtent b="0" l="0" r="0" t="0"/>
            <wp:docPr descr="Figure 4" title="" id="47" name="Picture"/>
            <a:graphic>
              <a:graphicData uri="http://schemas.openxmlformats.org/drawingml/2006/picture">
                <pic:pic>
                  <pic:nvPicPr>
                    <pic:cNvPr descr="figures/figure4_efficiency.png" id="48" name="Picture"/>
                    <pic:cNvPicPr>
                      <a:picLocks noChangeArrowheads="1" noChangeAspect="1"/>
                    </pic:cNvPicPr>
                  </pic:nvPicPr>
                  <pic:blipFill>
                    <a:blip r:embed="rId46"/>
                    <a:stretch>
                      <a:fillRect/>
                    </a:stretch>
                  </pic:blipFill>
                  <pic:spPr bwMode="auto">
                    <a:xfrm>
                      <a:off x="0" y="0"/>
                      <a:ext cx="5334000" cy="161055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Computational efficiency.</w:t>
      </w:r>
      <w:r>
        <w:t xml:space="preserve"> </w:t>
      </w:r>
      <w:r>
        <w:t xml:space="preserve">(a) Per-sample low-coverage wall time for the whole of chromosome 22 (16 threads, same host, log scale) in two clusters that are not comparable with each other. Left, the capture libraries against the 4,796-haplotype panel, BAM in to imputed VCF out: one sample takes 104 s for Selphi 2 (native pileup with base alignment quality) against 327 s for GLIMPSE2 (chunking, phasing and ligation), 3.1</w:t>
      </w:r>
      <m:oMath>
        <m:r>
          <m:rPr>
            <m:sty m:val="p"/>
          </m:rPr>
          <m:t>×</m:t>
        </m:r>
      </m:oMath>
      <w:r>
        <w:t xml:space="preserve">, and six samples in one run 170 s against 389 s, 2.3</w:t>
      </w:r>
      <m:oMath>
        <m:r>
          <m:rPr>
            <m:sty m:val="p"/>
          </m:rPr>
          <m:t>×</m:t>
        </m:r>
      </m:oMath>
      <w:r>
        <w:t xml:space="preserve"> </w:t>
      </w:r>
      <w:r>
        <w:t xml:space="preserve">(Table 1b). Right, one sample uniformly downsampled to 1</w:t>
      </w:r>
      <m:oMath>
        <m:r>
          <m:rPr>
            <m:sty m:val="p"/>
          </m:rPr>
          <m:t>×</m:t>
        </m:r>
      </m:oMath>
      <w:r>
        <w:t xml:space="preserve"> </w:t>
      </w:r>
      <w:r>
        <w:t xml:space="preserve">against the 6,332-haplotype panel: 115 s for Selphi 2 against 287 s for GLIMPSE2 (its 15 native chunks plus ligation) and 1,729 s for QUILT2 (tiled across the chromosome), roughly 2.5</w:t>
      </w:r>
      <m:oMath>
        <m:r>
          <m:rPr>
            <m:sty m:val="p"/>
          </m:rPr>
          <m:t>×</m:t>
        </m:r>
      </m:oMath>
      <w:r>
        <w:t xml:space="preserve"> </w:t>
      </w:r>
      <w:r>
        <w:t xml:space="preserve">and 15</w:t>
      </w:r>
      <m:oMath>
        <m:r>
          <m:rPr>
            <m:sty m:val="p"/>
          </m:rPr>
          <m:t>×</m:t>
        </m:r>
      </m:oMath>
      <w:r>
        <w:t xml:space="preserve"> </w:t>
      </w:r>
      <w:r>
        <w:t xml:space="preserve">(Table 2b). (b) Whole-genome wall time and (c) peak memory on the consumer-array benchmark (six samples against the 75,552-haplotype panel, all 22 autosomes, 16 threads, one chromosome at a time): Selphi 2’s default diploid engine completes the genome in 19.0 min versus Beagle 5.5’s 36.4 min (1.9</w:t>
      </w:r>
      <m:oMath>
        <m:r>
          <m:rPr>
            <m:sty m:val="p"/>
          </m:rPr>
          <m:t>×</m:t>
        </m:r>
      </m:oMath>
      <w:r>
        <w:t xml:space="preserve"> </w:t>
      </w:r>
      <w:r>
        <w:t xml:space="preserve">faster) at 8.5 GB versus about 40 GB peak memory (~4.7</w:t>
      </w:r>
      <m:oMath>
        <m:r>
          <m:rPr>
            <m:sty m:val="p"/>
          </m:rPr>
          <m:t>×</m:t>
        </m:r>
      </m:oMath>
      <w:r>
        <w:t xml:space="preserve"> </w:t>
      </w:r>
      <w:r>
        <w:t xml:space="preserve">leaner; Table 5b).</w:t>
      </w:r>
    </w:p>
    <w:p>
      <w:pPr>
        <w:pStyle w:val="BodyText"/>
      </w:pPr>
      <w:r>
        <w:t xml:space="preserve">The per-sample Selphi 2 to GLIMPSE2 wall-time ratios in this paper each hold under their own conditions and are not interchangeable: 3.1</w:t>
      </w:r>
      <m:oMath>
        <m:r>
          <m:rPr>
            <m:sty m:val="p"/>
          </m:rPr>
          <m:t>×</m:t>
        </m:r>
      </m:oMath>
      <w:r>
        <w:t xml:space="preserve"> </w:t>
      </w:r>
      <w:r>
        <w:t xml:space="preserve">end-to-end from the BAM on the capture libraries (104 s against 327 s for one sample; 4,796-haplotype panel of 1.07 M sites; Table 1b), 2.3</w:t>
      </w:r>
      <m:oMath>
        <m:r>
          <m:rPr>
            <m:sty m:val="p"/>
          </m:rPr>
          <m:t>×</m:t>
        </m:r>
      </m:oMath>
      <w:r>
        <w:t xml:space="preserve"> </w:t>
      </w:r>
      <w:r>
        <w:t xml:space="preserve">on the same libraries with six samples per run (170 s against 389 s) and 1.5</w:t>
      </w:r>
      <m:oMath>
        <m:r>
          <m:rPr>
            <m:sty m:val="p"/>
          </m:rPr>
          <m:t>×</m:t>
        </m:r>
      </m:oMath>
      <w:r>
        <w:t xml:space="preserve"> </w:t>
      </w:r>
      <w:r>
        <w:t xml:space="preserve">with twelve (313 s against 460 s), 2.7</w:t>
      </w:r>
      <m:oMath>
        <m:r>
          <m:rPr>
            <m:sty m:val="p"/>
          </m:rPr>
          <m:t>×</m:t>
        </m:r>
      </m:oMath>
      <w:r>
        <w:t xml:space="preserve"> </w:t>
      </w:r>
      <w:r>
        <w:t xml:space="preserve">at ~1.8</w:t>
      </w:r>
      <m:oMath>
        <m:r>
          <m:rPr>
            <m:sty m:val="p"/>
          </m:rPr>
          <m:t>×</m:t>
        </m:r>
      </m:oMath>
      <w:r>
        <w:t xml:space="preserve"> </w:t>
      </w:r>
      <w:r>
        <w:t xml:space="preserve">uniformly downsampled coverage (Table 2; 4,478-haplotype SNP panel) and 2.5</w:t>
      </w:r>
      <m:oMath>
        <m:r>
          <m:rPr>
            <m:sty m:val="p"/>
          </m:rPr>
          <m:t>×</m:t>
        </m:r>
      </m:oMath>
      <w:r>
        <w:t xml:space="preserve"> </w:t>
      </w:r>
      <w:r>
        <w:t xml:space="preserve">at 1</w:t>
      </w:r>
      <m:oMath>
        <m:r>
          <m:rPr>
            <m:sty m:val="p"/>
          </m:rPr>
          <m:t>×</m:t>
        </m:r>
      </m:oMath>
      <w:r>
        <w:t xml:space="preserve"> </w:t>
      </w:r>
      <w:r>
        <w:t xml:space="preserve">on a 6,332-haplotype panel (Figure 4a). At GLIMPSE2’s own iteration count the six-sample capture run takes 79 s with unchanged accuracy (Head-to-head with GLIMPSE2 on the capture libraries).</w:t>
      </w:r>
    </w:p>
    <w:p>
      <w:pPr>
        <w:pStyle w:val="BodyText"/>
      </w:pPr>
      <w:r>
        <w:t xml:space="preserve">Selphi 2’s wall time is 16</w:t>
      </w:r>
      <m:oMath>
        <m:r>
          <m:rPr>
            <m:sty m:val="p"/>
          </m:rPr>
          <m:t>×</m:t>
        </m:r>
      </m:oMath>
      <w:r>
        <w:t xml:space="preserve"> </w:t>
      </w:r>
      <w:r>
        <w:t xml:space="preserve">to 48</w:t>
      </w:r>
      <m:oMath>
        <m:r>
          <m:rPr>
            <m:sty m:val="p"/>
          </m:rPr>
          <m:t>×</m:t>
        </m:r>
      </m:oMath>
      <w:r>
        <w:t xml:space="preserve"> </w:t>
      </w:r>
      <w:r>
        <w:t xml:space="preserve">lower than Selphi 1.5.3 on the imputation-only GIAB workloads, and the same gap holds at genome scale: on the multi-sample 1000 Genomes benchmark underlying Figure 3a (801 held-out samples, 20 autosomes, imputation-only, 16 threads), Selphi 2 imputes the full set in ≈1.3 h versus ≈36 h for Selphi 1.5.3 (≈27</w:t>
      </w:r>
      <m:oMath>
        <m:r>
          <m:rPr>
            <m:sty m:val="p"/>
          </m:rPr>
          <m:t>×</m:t>
        </m:r>
      </m:oMath>
      <w: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t xml:space="preserve">) but its peak memory is 32% lower (65.5 GB versus 96.5 GB). The runtime cost on the biobank-scale panel is the price paid for the larger candidate-set retained per target (</w:t>
      </w:r>
      <m:oMath>
        <m:sSub>
          <m:e>
            <m:r>
              <m:t>m</m:t>
            </m:r>
          </m:e>
          <m:sub>
            <m:r>
              <m:t>c</m:t>
            </m:r>
          </m:sub>
        </m:sSub>
      </m:oMath>
      <w:r>
        <w:t xml:space="preserve"> </w:t>
      </w:r>
      <w:r>
        <w:t xml:space="preserve">= 132,676 versus Beagle’s window-local composite haplotypes); the corresponding accuracy gain is +0.0227 overall</w:t>
      </w:r>
      <w:r>
        <w:t xml:space="preserve"> </w:t>
      </w:r>
      <m:oMath>
        <m:sSup>
          <m:e>
            <m:r>
              <m:t>R</m:t>
            </m:r>
          </m:e>
          <m:sup>
            <m:r>
              <m:t>2</m:t>
            </m:r>
          </m:sup>
        </m:sSup>
      </m:oMath>
      <w:r>
        <w:t xml:space="preserve">, with Selphi 2 leading Beagle across the MAF spectrum.</w:t>
      </w:r>
    </w:p>
    <w:p>
      <w:pPr>
        <w:pStyle w:val="BodyText"/>
      </w:pPr>
      <w: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9 min 34 s at 8.8 GB peak memory on the 16-thread node with the default two-member phase ensemble (6 min 35 s at 8.0 GB with a single member), with no per-chromosome file splitting, reference-format conversion, or output concatenation, and no intermediate files between phasing and imputation.</w:t>
      </w:r>
    </w:p>
    <w:bookmarkEnd w:id="49"/>
    <w:bookmarkStart w:id="50" w:name="X29a61a2dc7ccc36192c39ae264354c7efa08240"/>
    <w:p>
      <w:pPr>
        <w:pStyle w:val="Heading2"/>
      </w:pPr>
      <w:r>
        <w:rPr>
          <w:b/>
          <w:bCs/>
        </w:rPr>
        <w:t xml:space="preserve">Output-format equivalence and reproducibility</w:t>
      </w:r>
    </w:p>
    <w:p>
      <w:pPr>
        <w:pStyle w:val="FirstParagraph"/>
      </w:pPr>
      <w:r>
        <w:t xml:space="preserve">Selphi 2 emits every output format from a single interpolation pass (Methods), so the format choice does not change the imputed values. We verified this on the 1000 Genomes chromosome-22 benchmark (801 samples, 1,070,401 variants). Across</w:t>
      </w:r>
      <w:r>
        <w:t xml:space="preserve"> </w:t>
      </w:r>
      <m:oMath>
        <m:r>
          <m:t>2.7</m:t>
        </m:r>
        <m:r>
          <m:rPr>
            <m:sty m:val="p"/>
          </m:rPr>
          <m:t>×</m:t>
        </m:r>
        <m:sSup>
          <m:e>
            <m:r>
              <m:t>10</m:t>
            </m:r>
          </m:e>
          <m:sup>
            <m:r>
              <m:t>7</m:t>
            </m:r>
          </m:sup>
        </m:sSup>
      </m:oMath>
      <w:r>
        <w:t xml:space="preserve"> </w:t>
      </w:r>
      <w: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t xml:space="preserve"> </w:t>
      </w:r>
      <m:oMath>
        <m:r>
          <m:rPr>
            <m:sty m:val="p"/>
          </m:rPr>
          <m:t>|</m:t>
        </m:r>
        <m:r>
          <m:rPr>
            <m:sty m:val="p"/>
          </m:rPr>
          <m:t>Δ</m:t>
        </m:r>
        <m:r>
          <m:rPr>
            <m:sty m:val="p"/>
          </m:rPr>
          <m:t>|</m:t>
        </m:r>
      </m:oMath>
      <w:r>
        <w:t xml:space="preserve"> </w:t>
      </w:r>
      <w:r>
        <w:t xml:space="preserve">=</w:t>
      </w:r>
      <w:r>
        <w:t xml:space="preserve"> </w:t>
      </w:r>
      <m:oMath>
        <m:r>
          <m:t>6.1</m:t>
        </m:r>
        <m:r>
          <m:rPr>
            <m:sty m:val="p"/>
          </m:rPr>
          <m:t>×</m:t>
        </m:r>
        <m:sSup>
          <m:e>
            <m:r>
              <m:t>10</m:t>
            </m:r>
          </m:e>
          <m:sup>
            <m:r>
              <m:rPr>
                <m:sty m:val="p"/>
              </m:rPr>
              <m:t>−</m:t>
            </m:r>
            <m:r>
              <m:t>5</m:t>
            </m:r>
          </m:sup>
        </m:sSup>
      </m:oMath>
      <w:r>
        <w:t xml:space="preserve">, exactly PGEN’s 16-bit dosage step), while VCF text-rounds to three decimals (maximum</w:t>
      </w:r>
      <w: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t xml:space="preserve"> </w:t>
      </w:r>
      <w: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t xml:space="preserve"> </w:t>
      </w:r>
      <m:oMath>
        <m:r>
          <m:rPr>
            <m:sty m:val="p"/>
          </m:rPr>
          <m:t>×</m:t>
        </m:r>
      </m:oMath>
      <w:r>
        <w:t xml:space="preserve"> </w:t>
      </w:r>
      <w:r>
        <w:t xml:space="preserve">2,239 samples), so the in-binary converters replace the external bref3/xcf/msav round-trips without information loss. The capture-library results are deterministic as well: re-running the six chromosome-22 samples with a later build from the same likelihood files reproduced every concordance statistic to four decimals.</w:t>
      </w:r>
    </w:p>
    <w:bookmarkEnd w:id="50"/>
    <w:bookmarkEnd w:id="51"/>
    <w:bookmarkStart w:id="52" w:name="discussion"/>
    <w:p>
      <w:pPr>
        <w:pStyle w:val="Heading1"/>
      </w:pPr>
      <w:r>
        <w:rPr>
          <w:b/>
          <w:bCs/>
        </w:rPr>
        <w:t xml:space="preserve">Discussion</w:t>
      </w:r>
    </w:p>
    <w:p>
      <w:pPr>
        <w:pStyle w:val="FirstParagraph"/>
      </w:pPr>
      <w:r>
        <w:t xml:space="preserve">We presented Selphi 2, a Rust tool built around a genotype-likelihood-aware Li-Stephens engine for sequencing at low or uneven depth, integrated with array phasing and imputation in one whole-genome binary. On real capture-plus-low-pass libraries of six GIAB samples, imputing from genotype likelihoods rather than from the array-equivalent hard calls raises non-reference concordance at untyped chromosome-22 sites by +25.09 pp and heterozygote recall by +39.17 pp (six of six samples), a regime change rather than a tuning gain. Against GLIMPSE2 on identical site lists the engine leads non-reference concordance in six of six samples with its native pileup (+0.19 pp) and from bcftools likelihoods (+0.20 pp), replicates on chromosomes 20, 10 and 1 (six of six on each; pooled +0.22 pp) with the margin growing toward rare variants on the larger chromosomes, and imputes a sample end-to-end from the BAM 3.1</w:t>
      </w:r>
      <m:oMath>
        <m:r>
          <m:rPr>
            <m:sty m:val="p"/>
          </m:rPr>
          <m:t>×</m:t>
        </m:r>
      </m:oMath>
      <w:r>
        <w:t xml:space="preserve"> </w:t>
      </w:r>
      <w:r>
        <w:t xml:space="preserve">faster. On uniformly downsampled ~1.8</w:t>
      </w:r>
      <m:oMath>
        <m:r>
          <m:rPr>
            <m:sty m:val="p"/>
          </m:rPr>
          <m:t>×</m:t>
        </m:r>
      </m:oMath>
      <w:r>
        <w:t xml:space="preserve"> </w:t>
      </w:r>
      <w:r>
        <w:t xml:space="preserve">genomes it leads GLIMPSE2 in per-sample</w:t>
      </w:r>
      <w:r>
        <w:t xml:space="preserve"> </w:t>
      </w:r>
      <m:oMath>
        <m:sSup>
          <m:e>
            <m:r>
              <m:t>R</m:t>
            </m:r>
          </m:e>
          <m:sup>
            <m:r>
              <m:t>2</m:t>
            </m:r>
          </m:sup>
        </m:sSup>
      </m:oMath>
      <w:r>
        <w:t xml:space="preserve"> </w:t>
      </w:r>
      <w:r>
        <w:t xml:space="preserve">in five of six samples (0.9493 versus 0.9455) and leads GLIMPSE2 and QUILT2 in overall</w:t>
      </w:r>
      <w:r>
        <w:t xml:space="preserve"> </w:t>
      </w:r>
      <m:oMath>
        <m:sSup>
          <m:e>
            <m:r>
              <m:t>R</m:t>
            </m:r>
          </m:e>
          <m:sup>
            <m:r>
              <m:t>2</m:t>
            </m:r>
          </m:sup>
        </m:sSup>
      </m:oMath>
      <w:r>
        <w:t xml:space="preserve"> </w:t>
      </w:r>
      <w:r>
        <w:t xml:space="preserve">at every depth of a 0.5-4</w:t>
      </w:r>
      <m:oMath>
        <m:r>
          <m:rPr>
            <m:sty m:val="p"/>
          </m:rPr>
          <m:t>×</m:t>
        </m:r>
      </m:oMath>
      <w:r>
        <w:t xml:space="preserve"> </w:t>
      </w:r>
      <w:r>
        <w:t xml:space="preserve">sweep.</w:t>
      </w:r>
    </w:p>
    <w:p>
      <w:pPr>
        <w:pStyle w:val="BodyText"/>
      </w:pPr>
      <w:r>
        <w:t xml:space="preserve">The same binary reimplements the Selphi array pipeline</w:t>
      </w:r>
      <w:r>
        <w:rPr>
          <w:vertAlign w:val="superscript"/>
        </w:rPr>
        <w:t xml:space="preserve">12</w:t>
      </w:r>
      <w:r>
        <w:t xml:space="preserve"> </w:t>
      </w:r>
      <w:r>
        <w:t xml:space="preserve">in Rust: it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t xml:space="preserve"> </w:t>
      </w:r>
      <m:oMath>
        <m:sSup>
          <m:e>
            <m:r>
              <m:t>R</m:t>
            </m:r>
          </m:e>
          <m:sup>
            <m:r>
              <m:t>2</m:t>
            </m:r>
          </m:sup>
        </m:sSup>
      </m:oMath>
      <w:r>
        <w:t xml:space="preserve"> </w:t>
      </w:r>
      <w:r>
        <w:t xml:space="preserve">by 0.0105 (chr22) and 0.0099 (chr1) while reducing peak memory by ~39% on chromosome 22 (comparable on chromosome 1). On the TOPMed panel, Selphi 2 exceeds Beagle 5.5 in overall</w:t>
      </w:r>
      <w:r>
        <w:t xml:space="preserve"> </w:t>
      </w:r>
      <m:oMath>
        <m:sSup>
          <m:e>
            <m:r>
              <m:t>R</m:t>
            </m:r>
          </m:e>
          <m:sup>
            <m:r>
              <m:t>2</m:t>
            </m:r>
          </m:sup>
        </m:sSup>
      </m:oMath>
      <w:r>
        <w:t xml:space="preserve"> </w:t>
      </w:r>
      <w:r>
        <w:t xml:space="preserve">by 0.0227 on the MESA admixed cohort, leading Beagle across all four ancestry groups (Figure 3b); this advantage over Beagle reflects the larger panel-adaptive candidate set retained per target versus Beagle’s window-local composite haplotypes. The same panel-adaptive sizing recovers +0.0536 overall</w:t>
      </w:r>
      <w:r>
        <w:t xml:space="preserve"> </w:t>
      </w:r>
      <m:oMath>
        <m:sSup>
          <m:e>
            <m:r>
              <m:t>R</m:t>
            </m:r>
          </m:e>
          <m:sup>
            <m:r>
              <m:t>2</m:t>
            </m:r>
          </m:sup>
        </m:sSup>
      </m:oMath>
      <w:r>
        <w:t xml:space="preserve"> </w:t>
      </w:r>
      <w:r>
        <w:t xml:space="preserve">over a fixed candidate-set size (</w:t>
      </w:r>
      <m:oMath>
        <m:sSub>
          <m:e>
            <m:r>
              <m:t>m</m:t>
            </m:r>
          </m:e>
          <m:sub>
            <m:r>
              <m:t>c</m:t>
            </m:r>
          </m:sub>
        </m:sSub>
      </m:oMath>
      <w:r>
        <w:t xml:space="preserve"> </w:t>
      </w:r>
      <w:r>
        <w:t xml:space="preserve">= 2,500), a recovery that is monotonically larger at rarer bins and largest for the most admixed groups (Table 4, Table 4b). On an independent leak-free truth (GIAB HG002-HG007 against a reference panel that contains the full 1000 Genomes cohort), Selphi 2 matches the accuracy of Selphi 1.5.3 and exceeds Beagle 5.5 by 0.0028</w:t>
      </w:r>
      <w:r>
        <w:t xml:space="preserve"> </w:t>
      </w:r>
      <m:oMath>
        <m:sSup>
          <m:e>
            <m:r>
              <m:t>R</m:t>
            </m:r>
          </m:e>
          <m:sup>
            <m:r>
              <m:t>2</m:t>
            </m:r>
          </m:sup>
        </m:sSup>
      </m:oMath>
      <w:r>
        <w:t xml:space="preserve"> </w:t>
      </w:r>
      <w:r>
        <w:t xml:space="preserve">on chr21, while running 16-50</w:t>
      </w:r>
      <m:oMath>
        <m:r>
          <m:rPr>
            <m:sty m:val="p"/>
          </m:rPr>
          <m:t>×</m:t>
        </m:r>
      </m:oMath>
      <w:r>
        <w:t xml:space="preserve"> </w:t>
      </w:r>
      <w:r>
        <w:t xml:space="preserve">faster than Selphi 1.5.3 and up to 1.7</w:t>
      </w:r>
      <m:oMath>
        <m:r>
          <m:rPr>
            <m:sty m:val="p"/>
          </m:rPr>
          <m:t>×</m:t>
        </m:r>
      </m:oMath>
      <w:r>
        <w:t xml:space="preserve"> </w:t>
      </w:r>
      <w:r>
        <w:t xml:space="preserve">faster than Beagle 5.5.</w:t>
      </w:r>
    </w:p>
    <w:p>
      <w:pPr>
        <w:pStyle w:val="BodyText"/>
      </w:pPr>
      <w:r>
        <w:t xml:space="preserve">Selphi 2 occupies a different position in the imputation landscape from the four main existing tools. Beagle 5.5</w:t>
      </w:r>
      <w:r>
        <w:rPr>
          <w:vertAlign w:val="superscript"/>
        </w:rPr>
        <w:t xml:space="preserve">5,6</w:t>
      </w:r>
      <w:r>
        <w:t xml:space="preserve"> </w:t>
      </w:r>
      <w: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t xml:space="preserve"> </w:t>
      </w:r>
      <m:oMath>
        <m:sSup>
          <m:e>
            <m:r>
              <m:t>R</m:t>
            </m:r>
          </m:e>
          <m:sup>
            <m:r>
              <m:t>2</m:t>
            </m:r>
          </m:sup>
        </m:sSup>
      </m:oMath>
      <w:r>
        <w:t xml:space="preserve">, and on biobank-scale admixed cohorts its window-local composite-haplotype construction places it 0.023 below Selphi 2 in overall</w:t>
      </w:r>
      <w:r>
        <w:t xml:space="preserve"> </w:t>
      </w:r>
      <m:oMath>
        <m:sSup>
          <m:e>
            <m:r>
              <m:t>R</m:t>
            </m:r>
          </m:e>
          <m:sup>
            <m:r>
              <m:t>2</m:t>
            </m:r>
          </m:sup>
        </m:sSup>
      </m:oMath>
      <w:r>
        <w:t xml:space="preserve">. IMPUTE5</w:t>
      </w:r>
      <w:r>
        <w:rPr>
          <w:vertAlign w:val="superscript"/>
        </w:rPr>
        <w:t xml:space="preserve">4</w:t>
      </w:r>
      <w:r>
        <w:t xml:space="preserve"> </w:t>
      </w:r>
      <w:r>
        <w:t xml:space="preserve">uses PBWT-based haplotype selection with sub-linear scaling but requires pre-phased input from an external phaser and processes per chromosome. Minimac4</w:t>
      </w:r>
      <w:r>
        <w:rPr>
          <w:vertAlign w:val="superscript"/>
        </w:rPr>
        <w:t xml:space="preserve">7</w:t>
      </w:r>
      <w:r>
        <w:t xml:space="preserve"> </w:t>
      </w:r>
      <w: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t xml:space="preserve"> </w:t>
      </w:r>
      <m:oMath>
        <m:sSup>
          <m:e>
            <m:r>
              <m:t>R</m:t>
            </m:r>
          </m:e>
          <m:sup>
            <m:r>
              <m:t>2</m:t>
            </m:r>
          </m:sup>
        </m:sSup>
      </m:oMath>
      <w:r>
        <w:t xml:space="preserve"> </w:t>
      </w:r>
      <w:r>
        <w:t xml:space="preserve">(Minimac4 0.4688, IMPUTE5 0.4594, versus 0.4884; Table 3), reproducing for Selphi 2 the accuracy ordering that Selphi 1 reported against the same three tools. SHAPEIT5</w:t>
      </w:r>
      <w:r>
        <w:rPr>
          <w:vertAlign w:val="superscript"/>
        </w:rPr>
        <w:t xml:space="preserve">9</w:t>
      </w:r>
      <w:r>
        <w:t xml:space="preserve"> </w:t>
      </w:r>
      <w: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(2.528% versus 2.607%) and chromosome 1 (1.879% versus 1.929%), in 0.57</w:t>
      </w:r>
      <m:oMath>
        <m:r>
          <m:rPr>
            <m:sty m:val="p"/>
          </m:rPr>
          <m:t>×</m:t>
        </m:r>
      </m:oMath>
      <w:r>
        <w:t xml:space="preserve"> </w:t>
      </w:r>
      <w:r>
        <w:t xml:space="preserve">SHAPEIT5’s wall time on chromosome 22 and 0.56</w:t>
      </w:r>
      <m:oMath>
        <m:r>
          <m:rPr>
            <m:sty m:val="p"/>
          </m:rPr>
          <m:t>×</m:t>
        </m:r>
      </m:oMath>
      <w:r>
        <w:t xml:space="preserve"> </w:t>
      </w:r>
      <w:r>
        <w:t xml:space="preserve">on chromosome 1 (343 s versus 611 s). Beagle 5.5’s built-in phasing is competitive with Selphi 2 diploid on both chromosomes (chr22: 2.548% versus 2.528%, +0.020 in favor of Selphi 2; chr1: 1.865% versus 1.879%, +0.014 in favor of Beagle); no method dominates the other in mean SER, but Selphi 2 diploid uses 4-6</w:t>
      </w:r>
      <m:oMath>
        <m:r>
          <m:rPr>
            <m:sty m:val="p"/>
          </m:rPr>
          <m:t>×</m:t>
        </m:r>
      </m:oMath>
      <w:r>
        <w:t xml:space="preserve"> </w:t>
      </w:r>
      <w:r>
        <w:t xml:space="preserve">less memory and runs at 0.40</w:t>
      </w:r>
      <m:oMath>
        <m:r>
          <m:rPr>
            <m:sty m:val="p"/>
          </m:rPr>
          <m:t>×</m:t>
        </m:r>
      </m:oMath>
      <w:r>
        <w:t xml:space="preserve"> </w:t>
      </w:r>
      <w:r>
        <w:t xml:space="preserve">Beagle’s wall time on these benchmarks. Handling both kinds of input in one tool is not itself unprecedented: Beagle 4.1</w:t>
      </w:r>
      <w:r>
        <w:rPr>
          <w:vertAlign w:val="superscript"/>
        </w:rPr>
        <w:t xml:space="preserve">31</w:t>
      </w:r>
      <w:r>
        <w:t xml:space="preserve"> </w:t>
      </w:r>
      <w:r>
        <w:t xml:space="preserve">accepted genotype likelihoods alongside called genotypes, a mode dropped in Beagle 5, and today no array imputer reads likelihoods while GLIMPSE2 and QUILT2 have no pathway for called genotypes. What is new is that a single binary routes each input to a dedicated engine and matches or exceeds the specialist tool in both regimes. The remaining architectural difference is the integration with the downstream imputation HMM: phased haplotypes are passed in memory to the Li-Stephens forward-backward pass with no intermediate VCF emission. Of Selphi 1’s</w:t>
      </w:r>
      <w:r>
        <w:rPr>
          <w:vertAlign w:val="superscript"/>
        </w:rPr>
        <w:t xml:space="preserve">12</w:t>
      </w:r>
      <w:r>
        <w:t xml:space="preserve"> </w:t>
      </w:r>
      <w: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t xml:space="preserve"> </w:t>
      </w:r>
      <m:oMath>
        <m:sSup>
          <m:e>
            <m:r>
              <m:t>R</m:t>
            </m:r>
          </m:e>
          <m:sup>
            <m:r>
              <m:t>2</m:t>
            </m:r>
          </m:sup>
        </m:sSup>
      </m:oMath>
      <w:r>
        <w:t xml:space="preserve"> </w:t>
      </w:r>
      <w: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t xml:space="preserve"> </w:t>
      </w:r>
      <w:r>
        <w:t xml:space="preserve">= 36.4</w:t>
      </w:r>
      <w:r>
        <w:t xml:space="preserve"> </w:t>
      </w:r>
      <m:oMath>
        <m:r>
          <m:rPr>
            <m:sty m:val="p"/>
          </m:rPr>
          <m:t>×</m:t>
        </m:r>
      </m:oMath>
      <w:r>
        <w:t xml:space="preserve"> </w:t>
      </w:r>
      <m:oMath>
        <m:sSub>
          <m:e>
            <m:r>
              <m:t>n</m:t>
            </m:r>
          </m:e>
          <m:sub>
            <m:r>
              <m:rPr>
                <m:nor/>
                <m:sty m:val="p"/>
              </m:rPr>
              <m:t>ref</m:t>
            </m:r>
          </m:sub>
        </m:sSub>
      </m:oMath>
      <w:r>
        <w:t xml:space="preserve">) contributes a further 0.008 over a fixed</w:t>
      </w:r>
      <w:r>
        <w:t xml:space="preserve"> </w:t>
      </w:r>
      <m:oMath>
        <m:sSub>
          <m:e>
            <m:r>
              <m:t>N</m:t>
            </m:r>
          </m:e>
          <m:sub>
            <m:r>
              <m:t>e</m:t>
            </m:r>
          </m:sub>
        </m:sSub>
      </m:oMath>
      <w:r>
        <w:t xml:space="preserve"> </w:t>
      </w:r>
      <w:r>
        <w:t xml:space="preserve">= 20,000. The principal extensions are the integrated phasing engines, the panel-adaptive candidate-set sizing, the multi-chromosome single-pass workflow, and the panel-format-agnostic input (BCF, VCF, BREF3) with multi-format output. GLIMPSE2</w:t>
      </w:r>
      <w:r>
        <w:rPr>
          <w:vertAlign w:val="superscript"/>
        </w:rPr>
        <w:t xml:space="preserve">15</w:t>
      </w:r>
      <w:r>
        <w:t xml:space="preserve"> </w:t>
      </w:r>
      <w:r>
        <w:t xml:space="preserve">and QUILT2</w:t>
      </w:r>
      <w:r>
        <w:rPr>
          <w:vertAlign w:val="superscript"/>
        </w:rPr>
        <w:t xml:space="preserve">16</w:t>
      </w:r>
      <w:r>
        <w:t xml:space="preserve"> </w:t>
      </w:r>
      <w:r>
        <w:t xml:space="preserve">target imputation from low-coverage sequencing. Selphi 2 is directly comparable on that input: on real capture-plus-low-pass libraries it leads GLIMPSE2 in non-reference concordance in six of six samples with its native pileup (+0.19 pp) and six of six from bcftools likelihoods (+0.20 pp) on chromosome 22, and six of six on each of chromosomes 20, 10 and 1; on downsampled ~1.8</w:t>
      </w:r>
      <m:oMath>
        <m:r>
          <m:rPr>
            <m:sty m:val="p"/>
          </m:rPr>
          <m:t>×</m:t>
        </m:r>
      </m:oMath>
      <w:r>
        <w:t xml:space="preserve"> </w:t>
      </w:r>
      <w:r>
        <w:t xml:space="preserve">genomes it leads in per-sample</w:t>
      </w:r>
      <w:r>
        <w:t xml:space="preserve"> </w:t>
      </w:r>
      <m:oMath>
        <m:sSup>
          <m:e>
            <m:r>
              <m:t>R</m:t>
            </m:r>
          </m:e>
          <m:sup>
            <m:r>
              <m:t>2</m:t>
            </m:r>
          </m:sup>
        </m:sSup>
      </m:oMath>
      <w:r>
        <w:t xml:space="preserve"> </w:t>
      </w:r>
      <w:r>
        <w:t xml:space="preserve">in five of six (0.9493 versus 0.9455); and it is 3.1</w:t>
      </w:r>
      <m:oMath>
        <m:r>
          <m:rPr>
            <m:sty m:val="p"/>
          </m:rPr>
          <m:t>×</m:t>
        </m:r>
      </m:oMath>
      <w:r>
        <w:t xml:space="preserve"> </w:t>
      </w:r>
      <w:r>
        <w:t xml:space="preserve">faster per sample end-to-end from the BAM. At minor allele frequencies below 0.5% the per-sample ordering on chromosome 22 is not consistent under either metric (Table 1c; Table 2b at 1</w:t>
      </w:r>
      <m:oMath>
        <m:r>
          <m:rPr>
            <m:sty m:val="p"/>
          </m:rPr>
          <m:t>×</m:t>
        </m:r>
      </m:oMath>
      <w:r>
        <w:t xml:space="preserve">), whereas on chromosomes 10 and 1 the rare stratum is where Selphi 2’s lead is largest and unanimous (Table 1d), and in the coverage sweep Selphi 2 is ahead from 2</w:t>
      </w:r>
      <m:oMath>
        <m:r>
          <m:rPr>
            <m:sty m:val="p"/>
          </m:rPr>
          <m:t>×</m:t>
        </m:r>
      </m:oMath>
      <w:r>
        <w:t xml:space="preserve"> </w:t>
      </w:r>
      <w:r>
        <w:t xml:space="preserve">upward. GLIMPSE2 read the panel restricted to polymorphic sites (Limitations).</w:t>
      </w:r>
    </w:p>
    <w:p>
      <w:pPr>
        <w:pStyle w:val="BodyText"/>
      </w:pPr>
      <w:r>
        <w:t xml:space="preserve">The phasing experiments also separate the contribution of the phaser from that of the imputer. Imputing a 1000 Genomes array target (801 held-out samples) under a full phasing</w:t>
      </w:r>
      <w:r>
        <w:t xml:space="preserve"> </w:t>
      </w:r>
      <m:oMath>
        <m:r>
          <m:rPr>
            <m:sty m:val="p"/>
          </m:rPr>
          <m:t>×</m:t>
        </m:r>
      </m:oMath>
      <w:r>
        <w:t xml:space="preserve"> </w:t>
      </w:r>
      <w:r>
        <w:t xml:space="preserve">imputer matrix, the three phasings (Selphi 2, Beagle 5.5, SHAPEIT5) were practically interchangeable as imputation input: all pairwise overall-</w:t>
      </w:r>
      <m:oMath>
        <m:sSup>
          <m:e>
            <m:r>
              <m:t>R</m:t>
            </m:r>
          </m:e>
          <m:sup>
            <m:r>
              <m:t>2</m:t>
            </m:r>
          </m:sup>
        </m:sSup>
      </m:oMath>
      <w:r>
        <w:t xml:space="preserve"> </w:t>
      </w:r>
      <w:r>
        <w:t xml:space="preserve">differences were</w:t>
      </w:r>
      <w:r>
        <w:t xml:space="preserve"> </w:t>
      </w:r>
      <m:oMath>
        <m:r>
          <m:rPr>
            <m:sty m:val="p"/>
          </m:rPr>
          <m:t>≤</m:t>
        </m:r>
        <m:r>
          <m:t>0.002</m:t>
        </m:r>
      </m:oMath>
      <w:r>
        <w:t xml:space="preserve"> </w:t>
      </w:r>
      <w:r>
        <w:t xml:space="preserve">for a fixed imputer (an order of magnitude below the imputer effect, though formally distinguishable at this sample size), whereas the choice of imputer moved overall</w:t>
      </w:r>
      <w:r>
        <w:t xml:space="preserve"> </w:t>
      </w:r>
      <m:oMath>
        <m:sSup>
          <m:e>
            <m:r>
              <m:t>R</m:t>
            </m:r>
          </m:e>
          <m:sup>
            <m:r>
              <m:t>2</m:t>
            </m:r>
          </m:sup>
        </m:sSup>
      </m:oMath>
      <w:r>
        <w:t xml:space="preserve"> </w:t>
      </w:r>
      <w:r>
        <w:t xml:space="preserve">by +0.007 to +0.011 in favour of Selphi 2 regardless of which tool produced the phasing (Supplementary Table S7). This is consistent with the near-tied switch-error rates on common variants (Table 6):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6c) is the informative exception: where phasing draws on genuinely new information (parental genotypes), it improves downstream imputation against an independent truth (+0.016 to +0.022</w:t>
      </w:r>
      <w:r>
        <w:t xml:space="preserve"> </w:t>
      </w:r>
      <m:oMath>
        <m:sSup>
          <m:e>
            <m:r>
              <m:t>R</m:t>
            </m:r>
          </m:e>
          <m:sup>
            <m:r>
              <m:t>2</m:t>
            </m:r>
          </m:sup>
        </m:sSup>
      </m:oMath>
      <w:r>
        <w:t xml:space="preserve">), confirming that the value of phasing for imputation lies in the information it adds, not in the choice of phasing algorithm among comparable tools.</w:t>
      </w:r>
    </w:p>
    <w:p>
      <w:pPr>
        <w:pStyle w:val="BodyText"/>
      </w:pPr>
      <w:r>
        <w:t xml:space="preserve">The low-coverage experiments make the complementary point about the input representation. The +25.09 pp gap between the array-equivalent route and the likelihood engine on the same libraries is information, the off-target backbone and the deep flanking coverage that a hard-called array VCF cannot carry, not imputer tuning: the two routes share the binary, the panel and the truth, and differ only in what the target file is allowed to say. It is the counterpart, on the target side, of the phaser-versus-imputer separation above: what an imputer can recover is bounded first by what its input retains. The same experiments impose a reporting rule that we apply throughout. Aggregate statistics dominated by homozygous-reference sites (94.4-94.8% of the evaluated sites here; the monomorphic sites of per-sample</w:t>
      </w:r>
      <w:r>
        <w:t xml:space="preserve"> </w:t>
      </w:r>
      <m:oMath>
        <m:sSup>
          <m:e>
            <m:r>
              <m:t>R</m:t>
            </m:r>
          </m:e>
          <m:sup>
            <m:r>
              <m:t>2</m:t>
            </m:r>
          </m:sup>
        </m:sSup>
      </m:oMath>
      <w:r>
        <w:t xml:space="preserve"> </w:t>
      </w:r>
      <w:r>
        <w:t xml:space="preserve">in the downsampled benchmark) move by hundredths of a point when rare-variant behaviour changes by whole points, so every aggregate is reported with its below-0.5%, 0.5-5% and 5%-or-more strata, and the like-for-like arm, not the more favourable of two pipelines, is taken as the engine’s result.</w:t>
      </w:r>
    </w:p>
    <w:p>
      <w:pPr>
        <w:pStyle w:val="BodyText"/>
      </w:pPr>
      <w:r>
        <w:t xml:space="preserve">Several limitations of the present work bear discussion. First, at the rarest MAF bin (0.05-0.1%) on the 1000 Genomes panel, Beagle 5.5 narrowly outperforms Selphi 2 in the imputation-only arm, where both tools are handed the same external phasing (</w:t>
      </w:r>
      <m:oMath>
        <m:r>
          <m:rPr>
            <m:sty m:val="p"/>
          </m:rPr>
          <m:t>Δ</m:t>
        </m:r>
      </m:oMath>
      <w:r>
        <w:t xml:space="preserve"> </w:t>
      </w:r>
      <w:r>
        <w:t xml:space="preserve">≈ -0.001 to -0.004</w:t>
      </w:r>
      <w:r>
        <w:t xml:space="preserve"> </w:t>
      </w:r>
      <m:oMath>
        <m:sSup>
          <m:e>
            <m:r>
              <m:t>R</m:t>
            </m:r>
          </m:e>
          <m:sup>
            <m:r>
              <m:t>2</m:t>
            </m:r>
          </m:sup>
        </m:sSup>
      </m:oMath>
      <w:r>
        <w:t xml:space="preserve">; Supplementary Tables S1 and S9); the chromosome-wide PBWT statistic underlying Selphi’s candidate selection is, by construction, biased toward longer-range matches and may underweight single-carrier haplotypes whose informative segment is short. In full-pipeline mode, the mode in which Selphi 2 is actually run, it leads at this bin as well (Table 3). Second, the diploid engine, Selphi 2’s default, dominates the haploid engine across the benchmarks: it matches or exceeds it on SNP</w:t>
      </w:r>
      <w:r>
        <w:t xml:space="preserve"> </w:t>
      </w:r>
      <m:oMath>
        <m:sSup>
          <m:e>
            <m:r>
              <m:t>R</m:t>
            </m:r>
          </m:e>
          <m:sup>
            <m:r>
              <m:t>2</m:t>
            </m:r>
          </m:sup>
        </m:sSup>
      </m:oMath>
      <w:r>
        <w:t xml:space="preserve"> </w:t>
      </w:r>
      <w:r>
        <w:t xml:space="preserve">at every density (e.g. +0.0013</w:t>
      </w:r>
      <w:r>
        <w:t xml:space="preserve"> </w:t>
      </w:r>
      <m:oMath>
        <m:sSup>
          <m:e>
            <m:r>
              <m:t>R</m:t>
            </m:r>
          </m:e>
          <m:sup>
            <m:r>
              <m:t>2</m:t>
            </m:r>
          </m:sup>
        </m:sSup>
      </m:oMath>
      <w:r>
        <w:t xml:space="preserve"> </w:t>
      </w:r>
      <w:r>
        <w:t xml:space="preserve">on chr22 1000 Genomes; +0.0018</w:t>
      </w:r>
      <w:r>
        <w:t xml:space="preserve"> </w:t>
      </w:r>
      <m:oMath>
        <m:sSup>
          <m:e>
            <m:r>
              <m:t>R</m:t>
            </m:r>
          </m:e>
          <m:sup>
            <m:r>
              <m:t>2</m:t>
            </m:r>
          </m:sup>
        </m:sSup>
      </m:oMath>
      <w:r>
        <w:t xml:space="preserve"> </w:t>
      </w:r>
      <w:r>
        <w:t xml:space="preserve">genome-wide on the consumer-array set), wins phasing switch-error, and runs roughly 2.5</w:t>
      </w:r>
      <m:oMath>
        <m:r>
          <m:rPr>
            <m:sty m:val="p"/>
          </m:rPr>
          <m:t>×</m:t>
        </m:r>
      </m:oMath>
      <w:r>
        <w:t xml:space="preserve"> </w:t>
      </w:r>
      <w: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t xml:space="preserve"> </w:t>
      </w:r>
      <m:oMath>
        <m:sSup>
          <m:e>
            <m:r>
              <m:t>R</m:t>
            </m:r>
          </m:e>
          <m:sup>
            <m:r>
              <m:t>2</m:t>
            </m:r>
          </m:sup>
        </m:sSup>
      </m:oMath>
      <w:r>
        <w:t xml:space="preserve"> </w:t>
      </w:r>
      <w:r>
        <w:t xml:space="preserve">0.7939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t xml:space="preserve">,</w:t>
      </w:r>
      <w:r>
        <w:t xml:space="preserve"> </w:t>
      </w:r>
      <m:oMath>
        <m:r>
          <m:t>α</m:t>
        </m:r>
      </m:oMath>
      <w: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t xml:space="preserve"> </w:t>
      </w:r>
      <w:r>
        <w:t xml:space="preserve">Beagle on MESA 5K</w:t>
      </w:r>
      <w:r>
        <w:t xml:space="preserve"> </w:t>
      </w:r>
      <m:oMath>
        <m:r>
          <m:rPr>
            <m:sty m:val="p"/>
          </m:rPr>
          <m:t>×</m:t>
        </m:r>
      </m:oMath>
      <w:r>
        <w:t xml:space="preserve"> </w:t>
      </w:r>
      <w:r>
        <w:t xml:space="preserve">TOPMed chr20); for use cases where rare-variant accuracy is not the priority, users may set a smaller fixed</w:t>
      </w:r>
      <w:r>
        <w:t xml:space="preserve"> </w:t>
      </w:r>
      <m:oMath>
        <m:sSub>
          <m:e>
            <m:r>
              <m:t>m</m:t>
            </m:r>
          </m:e>
          <m:sub>
            <m:r>
              <m:t>c</m:t>
            </m:r>
          </m:sub>
        </m:sSub>
      </m:oMath>
      <w:r>
        <w:t xml:space="preserve"> </w:t>
      </w:r>
      <w:r>
        <w:t xml:space="preserve">to recover faster runtime. Relatedly, on the consumer-array benchmark against high-coverage WGS truth (Results, Table 5), Selphi 2’s imputer exceeds Beagle 5.5 when both are given identical phasing (SNP</w:t>
      </w:r>
      <w:r>
        <w:t xml:space="preserve"> </w:t>
      </w:r>
      <m:oMath>
        <m:sSup>
          <m:e>
            <m:r>
              <m:t>R</m:t>
            </m:r>
          </m:e>
          <m:sup>
            <m:r>
              <m:t>2</m:t>
            </m:r>
          </m:sup>
        </m:sSup>
      </m:oMath>
      <w:r>
        <w:t xml:space="preserve"> </w:t>
      </w:r>
      <w:r>
        <w:t xml:space="preserve">0.9601 versus 0.9584; indel 0.7911 versus 0.7840). Earlier versions of Selphi 2’s own internal phasing trailed Beagle by ≈0.003</w:t>
      </w:r>
      <w:r>
        <w:t xml:space="preserve"> </w:t>
      </w:r>
      <m:oMath>
        <m:sSup>
          <m:e>
            <m:r>
              <m:t>R</m:t>
            </m:r>
          </m:e>
          <m:sup>
            <m:r>
              <m:t>2</m:t>
            </m:r>
          </m:sup>
        </m:sSup>
      </m:oMath>
      <w:r>
        <w:t xml:space="preserve"> </w:t>
      </w:r>
      <w: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5): with its own internal phasing Selphi 2’s default diploid engine now exceeds Beagle on both SNPs and indels (the haploid engine matches Beagle on SNPs and exceeds it on indels), and the diploid engine (SNP 0.9609, indel 0.7939)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(0.9609 in the current release), at roughly 2.5</w:t>
      </w:r>
      <m:oMath>
        <m:r>
          <m:rPr>
            <m:sty m:val="p"/>
          </m:rPr>
          <m:t>×</m:t>
        </m:r>
      </m:oMath>
      <w:r>
        <w:t xml:space="preserve"> </w:t>
      </w:r>
      <w: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t xml:space="preserve"> </w:t>
      </w:r>
      <m:oMath>
        <m:r>
          <m:rPr>
            <m:sty m:val="p"/>
          </m:rPr>
          <m:t>×</m:t>
        </m:r>
      </m:oMath>
      <w:r>
        <w:t xml:space="preserve"> </w:t>
      </w:r>
      <w:r>
        <w:t xml:space="preserve">TOPMed benchmark is restricted to chromosome 20 and the per-MAF panel breakdowns to chromosomes 1, 21 and 22, though the 1000 Genomes and out-of-panel HGDP aggregates (Figure 3a; Table 4c) are genome-wide; the panel-adaptive rule’s behavior on the X chromosome under sex-aware phasing remains to be characterized in a dedicated whole-genome study.</w:t>
      </w:r>
    </w:p>
    <w:p>
      <w:pPr>
        <w:pStyle w:val="BodyText"/>
      </w:pPr>
      <w:r>
        <w:t xml:space="preserve">The low-coverage benchmarks have their own limitations. First, they rest on six samples from two trios, on chromosome 22 with replication on chromosomes 20, 10 and 1, and all six libraries come from one capture design, one instrument and one provider. Second, genotype concordance (capture libraries) and dosage</w:t>
      </w:r>
      <w:r>
        <w:t xml:space="preserve"> </w:t>
      </w:r>
      <m:oMath>
        <m:sSup>
          <m:e>
            <m:r>
              <m:t>R</m:t>
            </m:r>
          </m:e>
          <m:sup>
            <m:r>
              <m:t>2</m:t>
            </m:r>
          </m:sup>
        </m:sSup>
      </m:oMath>
      <w:r>
        <w:t xml:space="preserve"> </w:t>
      </w:r>
      <w:r>
        <w:t xml:space="preserve">(downsampled genomes) are complementary, not interchangeable: they use different panels (4,796 against 4,478 and 6,332 haplotypes), different site lists and different denominators, and we do not combine them. Third, the capture libraries are capture-plus-background, not uniform low-pass sequencing: 54.5-61.6% of the chromosome-22 panel SNP sites carry no read, and the absolute values of the array-equivalent route are specific to the 4,796-haplotype panel. Fourth, with default settings GLIMPSE2 v2.0.0’s</w:t>
      </w:r>
      <w:r>
        <w:t xml:space="preserve"> </w:t>
      </w:r>
      <w:r>
        <w:rPr>
          <w:rStyle w:val="VerbatimChar"/>
        </w:rPr>
        <w:t xml:space="preserve">--bam-file</w:t>
      </w:r>
      <w:r>
        <w:t xml:space="preserve"> </w:t>
      </w:r>
      <w:r>
        <w:t xml:space="preserve">path skips panel sites that are monomorphic in the panel during its scan pass but not during parsing, and aborts every chunk with</w:t>
      </w:r>
      <w:r>
        <w:t xml:space="preserve"> </w:t>
      </w:r>
      <w:r>
        <w:t xml:space="preserve">“AC/AN INFO fields in VCF are inconsistent with GT field”</w:t>
      </w:r>
      <w:r>
        <w:t xml:space="preserve"> </w:t>
      </w:r>
      <w:r>
        <w:t xml:space="preserve">(54,406 such sites on chromosome 22); the documented workaround is</w:t>
      </w:r>
      <w:r>
        <w:t xml:space="preserve"> </w:t>
      </w:r>
      <w:r>
        <w:rPr>
          <w:rStyle w:val="VerbatimChar"/>
        </w:rPr>
        <w:t xml:space="preserve">--keep-monomorphic-ref-sites</w:t>
      </w:r>
      <w:r>
        <w:t xml:space="preserve">, which we did not test, or pre-filtering the panel, which we applied for GLIMPSE2 on chromosome 22 and for both tools on chromosomes 20, 10 and 1. Selphi 2 accepts the unfiltered panel, and GLIMPSE2’s VCF-likelihood input path is unaffected. Fifth, Selphi 2’s likelihood-file reader treats records without a</w:t>
      </w:r>
      <w:r>
        <w:t xml:space="preserve"> </w:t>
      </w:r>
      <w:r>
        <w:rPr>
          <w:rStyle w:val="VerbatimChar"/>
        </w:rPr>
        <w:t xml:space="preserve">PL</w:t>
      </w:r>
      <w:r>
        <w:t xml:space="preserve"> </w:t>
      </w:r>
      <w:r>
        <w:t xml:space="preserve">field as flat-likelihood target sites, so a</w:t>
      </w:r>
      <w:r>
        <w:t xml:space="preserve"> </w:t>
      </w:r>
      <w:r>
        <w:rPr>
          <w:rStyle w:val="VerbatimChar"/>
        </w:rPr>
        <w:t xml:space="preserve">PL</w:t>
      </w:r>
      <w:r>
        <w:t xml:space="preserve"> </w:t>
      </w:r>
      <w:r>
        <w:t xml:space="preserve">VCF that carries genotype-only indel records loses accuracy (chromosome 20, HG004: 92.49% against 98.07% non-reference concordance with those records removed); likelihood files should be restricted to records carrying likelihoods, as here, or the BAM path used. Sixth, heterozygote precision on chromosome 10 is lower than GLIMPSE2’s in both Selphi 2 arms (native -0.48 pp, three of six samples), the one metric on one chromosome in Table 1d where Selphi 2 does not lead. Seventh, QUILT2 was not run on the capture libraries. Finally, a seventh capture library (NA12878) was excluded for the reason given in Methods.</w:t>
      </w:r>
    </w:p>
    <w:p>
      <w:pPr>
        <w:pStyle w:val="BodyText"/>
      </w:pPr>
      <w:r>
        <w:rPr>
          <w:b/>
          <w:bCs/>
        </w:rPr>
        <w:t xml:space="preserve">Privacy considerations.</w:t>
      </w:r>
      <w:r>
        <w:t xml:space="preserve"> </w:t>
      </w:r>
      <w: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r>
        <w:rPr>
          <w:vertAlign w:val="superscript"/>
        </w:rPr>
        <w:t xml:space="preserve">29</w:t>
      </w:r>
      <w: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bookmarkEnd w:id="52"/>
    <w:bookmarkStart w:id="53" w:name="data-availability"/>
    <w:p>
      <w:pPr>
        <w:pStyle w:val="Heading1"/>
      </w:pPr>
      <w:r>
        <w:rPr>
          <w:b/>
          <w:bCs/>
        </w:rPr>
        <w:t xml:space="preserve">Data availability</w:t>
      </w:r>
    </w:p>
    <w:p>
      <w:pPr>
        <w:pStyle w:val="FirstParagraph"/>
      </w:pPr>
      <w:r>
        <w:t xml:space="preserve">The 1000 Genomes Project Phase 3 reference panel</w:t>
      </w:r>
      <w:r>
        <w:rPr>
          <w:vertAlign w:val="superscript"/>
        </w:rPr>
        <w:t xml:space="preserve">13</w:t>
      </w:r>
      <w:r>
        <w:t xml:space="preserve"> </w:t>
      </w:r>
      <w:r>
        <w:t xml:space="preserve">and the Genome in a Bottle (GIAB) reference-sample sequencing and v4.2.1 high-confidence truth genotypes are publicly available. The TOPMed Freeze 8 reference panel</w:t>
      </w:r>
      <w:r>
        <w:rPr>
          <w:vertAlign w:val="superscript"/>
        </w:rPr>
        <w:t xml:space="preserve">14</w:t>
      </w:r>
      <w:r>
        <w:t xml:space="preserve"> </w:t>
      </w:r>
      <w: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Ltd.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t xml:space="preserve"> </w:t>
      </w:r>
      <w:r>
        <w:t xml:space="preserve">GRCh38 call set (public) is the source of the 2,398-sample panel used for the capture-library benchmark; the brain-genomics-public 30</w:t>
      </w:r>
      <m:oMath>
        <m:r>
          <m:rPr>
            <m:sty m:val="p"/>
          </m:rPr>
          <m:t>×</m:t>
        </m:r>
      </m:oMath>
      <w:r>
        <w:t xml:space="preserve"> </w:t>
      </w:r>
      <w:r>
        <w:t xml:space="preserve">GIAB alignments (public) underlie Tables 2 and 2b; the gnomAD HGDP and 1000 Genomes harmonized callset</w:t>
      </w:r>
      <w:r>
        <w:rPr>
          <w:vertAlign w:val="superscript"/>
        </w:rPr>
        <w:t xml:space="preserve">28</w:t>
      </w:r>
      <w:r>
        <w:t xml:space="preserve"> </w:t>
      </w:r>
      <w: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bookmarkEnd w:id="53"/>
    <w:bookmarkStart w:id="54" w:name="code-availability"/>
    <w:p>
      <w:pPr>
        <w:pStyle w:val="Heading1"/>
      </w:pPr>
      <w:r>
        <w:rPr>
          <w:b/>
          <w:bCs/>
        </w:rPr>
        <w:t xml:space="preserve">Code availability</w:t>
      </w:r>
    </w:p>
    <w:p>
      <w:pPr>
        <w:pStyle w:val="FirstParagraph"/>
      </w:pPr>
      <w:r>
        <w:t xml:space="preserve">The Selphi 2 source code is openly available for academic and non-commercial use under a non-commercial license, consistent with the terms under which Selphi 1 was released, at https://github.com/omicsedge/selphi (branch</w:t>
      </w:r>
      <w:r>
        <w:t xml:space="preserve"> </w:t>
      </w:r>
      <w:r>
        <w:rPr>
          <w:rStyle w:val="VerbatimChar"/>
        </w:rPr>
        <w:t xml:space="preserve">new_version/selphi2_cluster</w:t>
      </w:r>
      <w: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Style w:val="VerbatimChar"/>
        </w:rPr>
        <w:t xml:space="preserve">concordance.py</w:t>
      </w:r>
      <w:r>
        <w:t xml:space="preserve">) and the driver scripts of the capture-library benchmark are provided under</w:t>
      </w:r>
      <w:r>
        <w:t xml:space="preserve"> </w:t>
      </w:r>
      <w:r>
        <w:rPr>
          <w:rStyle w:val="VerbatimChar"/>
        </w:rPr>
        <w:t xml:space="preserve">paper/benchmarks/lcwgs_capture/</w:t>
      </w:r>
      <w:r>
        <w:t xml:space="preserve">.</w:t>
      </w:r>
    </w:p>
    <w:bookmarkEnd w:id="54"/>
    <w:bookmarkStart w:id="55" w:name="author-contributions"/>
    <w:p>
      <w:pPr>
        <w:pStyle w:val="Heading1"/>
      </w:pPr>
      <w:r>
        <w:rPr>
          <w:b/>
          <w:bCs/>
        </w:rPr>
        <w:t xml:space="preserve">Author contributions</w:t>
      </w:r>
    </w:p>
    <w:p>
      <w:pPr>
        <w:pStyle w:val="FirstParagraph"/>
      </w:pPr>
      <w: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bookmarkEnd w:id="55"/>
    <w:bookmarkStart w:id="56" w:name="competing-interests"/>
    <w:p>
      <w:pPr>
        <w:pStyle w:val="Heading1"/>
      </w:pPr>
      <w:r>
        <w:rPr>
          <w:b/>
          <w:bCs/>
        </w:rPr>
        <w:t xml:space="preserve">Competing interests</w:t>
      </w:r>
    </w:p>
    <w:p>
      <w:pPr>
        <w:pStyle w:val="FirstParagraph"/>
      </w:pPr>
      <w: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bookmarkEnd w:id="56"/>
    <w:bookmarkStart w:id="57" w:name="references"/>
    <w:p>
      <w:pPr>
        <w:pStyle w:val="Heading1"/>
      </w:pPr>
      <w:r>
        <w:rPr>
          <w:b/>
          <w:bCs/>
        </w:rPr>
        <w:t xml:space="preserve">References</w:t>
      </w:r>
    </w:p>
    <w:p>
      <w:pPr>
        <w:pStyle w:val="Compact"/>
        <w:numPr>
          <w:ilvl w:val="0"/>
          <w:numId w:val="1001"/>
        </w:numPr>
      </w:pPr>
      <w:r>
        <w:t xml:space="preserve">McCarthy S, Das S, Kretzschmar W, et al. A reference panel of 64,976 haplotypes for genotype imputation.</w:t>
      </w:r>
      <w:r>
        <w:t xml:space="preserve"> </w:t>
      </w:r>
      <w:r>
        <w:rPr>
          <w:i/>
          <w:iCs/>
        </w:rPr>
        <w:t xml:space="preserve">Nat Genet</w:t>
      </w:r>
      <w:r>
        <w:t xml:space="preserve">. 2016;48(10):1279-1283.</w:t>
      </w:r>
    </w:p>
    <w:p>
      <w:pPr>
        <w:pStyle w:val="Compact"/>
        <w:numPr>
          <w:ilvl w:val="0"/>
          <w:numId w:val="1001"/>
        </w:numPr>
      </w:pPr>
      <w:r>
        <w:t xml:space="preserve">Li N, Stephens M. Modeling linkage disequilibrium and identifying recombination hotspots using single-nucleotide polymorphism data.</w:t>
      </w:r>
      <w:r>
        <w:t xml:space="preserve"> </w:t>
      </w:r>
      <w:r>
        <w:rPr>
          <w:i/>
          <w:iCs/>
        </w:rPr>
        <w:t xml:space="preserve">Genetics</w:t>
      </w:r>
      <w:r>
        <w:t xml:space="preserve">. 2003;165(4):2213-2233.</w:t>
      </w:r>
    </w:p>
    <w:p>
      <w:pPr>
        <w:pStyle w:val="Compact"/>
        <w:numPr>
          <w:ilvl w:val="0"/>
          <w:numId w:val="1001"/>
        </w:numPr>
      </w:pPr>
      <w:r>
        <w:t xml:space="preserve">Durbin R. Efficient haplotype matching and storage using the positional Burrows-Wheeler transform (PBWT).</w:t>
      </w:r>
      <w:r>
        <w:t xml:space="preserve"> </w:t>
      </w:r>
      <w:r>
        <w:rPr>
          <w:i/>
          <w:iCs/>
        </w:rPr>
        <w:t xml:space="preserve">Bioinformatics</w:t>
      </w:r>
      <w:r>
        <w:t xml:space="preserve">. 2014;30(9):1266-1272.</w:t>
      </w:r>
    </w:p>
    <w:p>
      <w:pPr>
        <w:pStyle w:val="Compact"/>
        <w:numPr>
          <w:ilvl w:val="0"/>
          <w:numId w:val="1001"/>
        </w:numPr>
      </w:pPr>
      <w:r>
        <w:t xml:space="preserve">Rubinacci S, Delaneau O, Marchini J. Genotype imputation using the Positional Burrows Wheeler Transform.</w:t>
      </w:r>
      <w:r>
        <w:t xml:space="preserve"> </w:t>
      </w:r>
      <w:r>
        <w:rPr>
          <w:i/>
          <w:iCs/>
        </w:rPr>
        <w:t xml:space="preserve">PLoS Genet</w:t>
      </w:r>
      <w:r>
        <w:t xml:space="preserve">. 2020;16(11):e1009049.</w:t>
      </w:r>
    </w:p>
    <w:p>
      <w:pPr>
        <w:pStyle w:val="Compact"/>
        <w:numPr>
          <w:ilvl w:val="0"/>
          <w:numId w:val="1001"/>
        </w:numPr>
      </w:pPr>
      <w:r>
        <w:t xml:space="preserve">Browning BL, Zhou Y, Browning SR. A one-penny imputed genome from next-generation reference panels.</w:t>
      </w:r>
      <w:r>
        <w:t xml:space="preserve"> </w:t>
      </w:r>
      <w:r>
        <w:rPr>
          <w:i/>
          <w:iCs/>
        </w:rPr>
        <w:t xml:space="preserve">Am J Hum Genet</w:t>
      </w:r>
      <w:r>
        <w:t xml:space="preserve">. 2018;103(3):338-348.</w:t>
      </w:r>
    </w:p>
    <w:p>
      <w:pPr>
        <w:pStyle w:val="Compact"/>
        <w:numPr>
          <w:ilvl w:val="0"/>
          <w:numId w:val="1001"/>
        </w:numPr>
      </w:pPr>
      <w:r>
        <w:t xml:space="preserve">Browning BL, Browning SR. Statistical phasing of 150,119 sequenced genomes in the UK Biobank.</w:t>
      </w:r>
      <w:r>
        <w:t xml:space="preserve"> </w:t>
      </w:r>
      <w:r>
        <w:rPr>
          <w:i/>
          <w:iCs/>
        </w:rPr>
        <w:t xml:space="preserve">Am J Hum Genet</w:t>
      </w:r>
      <w:r>
        <w:t xml:space="preserve">. 2023;110(1):161-165.</w:t>
      </w:r>
    </w:p>
    <w:p>
      <w:pPr>
        <w:pStyle w:val="Compact"/>
        <w:numPr>
          <w:ilvl w:val="0"/>
          <w:numId w:val="1001"/>
        </w:numPr>
      </w:pPr>
      <w:r>
        <w:t xml:space="preserve">Das S, Forer L, Schönherr S, et al. Next-generation genotype imputation service and methods.</w:t>
      </w:r>
      <w:r>
        <w:t xml:space="preserve"> </w:t>
      </w:r>
      <w:r>
        <w:rPr>
          <w:i/>
          <w:iCs/>
        </w:rPr>
        <w:t xml:space="preserve">Nat Genet</w:t>
      </w:r>
      <w:r>
        <w:t xml:space="preserve">. 2016;48(10):1284-1287.</w:t>
      </w:r>
    </w:p>
    <w:p>
      <w:pPr>
        <w:pStyle w:val="Compact"/>
        <w:numPr>
          <w:ilvl w:val="0"/>
          <w:numId w:val="1001"/>
        </w:numPr>
      </w:pPr>
      <w:r>
        <w:t xml:space="preserve">Loh PR, Danecek P, Palamara PF, et al. Reference-based phasing using the Haplotype Reference Consortium panel.</w:t>
      </w:r>
      <w:r>
        <w:t xml:space="preserve"> </w:t>
      </w:r>
      <w:r>
        <w:rPr>
          <w:i/>
          <w:iCs/>
        </w:rPr>
        <w:t xml:space="preserve">Nat Genet</w:t>
      </w:r>
      <w:r>
        <w:t xml:space="preserve">. 2016;48(11):1443-1448.</w:t>
      </w:r>
    </w:p>
    <w:p>
      <w:pPr>
        <w:pStyle w:val="Compact"/>
        <w:numPr>
          <w:ilvl w:val="0"/>
          <w:numId w:val="1001"/>
        </w:numPr>
      </w:pPr>
      <w:r>
        <w:t xml:space="preserve">Hofmeister RJ, Ribeiro DM, Rubinacci S, Delaneau O. Accurate rare variant phasing of whole-genome and whole-exome sequencing data in the UK Biobank.</w:t>
      </w:r>
      <w:r>
        <w:t xml:space="preserve"> </w:t>
      </w:r>
      <w:r>
        <w:rPr>
          <w:i/>
          <w:iCs/>
        </w:rPr>
        <w:t xml:space="preserve">Nat Genet</w:t>
      </w:r>
      <w:r>
        <w:t xml:space="preserve">. 2023;55(7):1243-1249.</w:t>
      </w:r>
    </w:p>
    <w:p>
      <w:pPr>
        <w:pStyle w:val="Compact"/>
        <w:numPr>
          <w:ilvl w:val="0"/>
          <w:numId w:val="1001"/>
        </w:numPr>
      </w:pPr>
      <w:r>
        <w:t xml:space="preserve">O’Connell J, Sharp K, Shrine N, et al. Haplotype estimation for biobank-scale data sets.</w:t>
      </w:r>
      <w:r>
        <w:t xml:space="preserve"> </w:t>
      </w:r>
      <w:r>
        <w:rPr>
          <w:i/>
          <w:iCs/>
        </w:rPr>
        <w:t xml:space="preserve">Nat Genet</w:t>
      </w:r>
      <w:r>
        <w:t xml:space="preserve">. 2016;48(7):817-820.</w:t>
      </w:r>
    </w:p>
    <w:p>
      <w:pPr>
        <w:pStyle w:val="Compact"/>
        <w:numPr>
          <w:ilvl w:val="0"/>
          <w:numId w:val="1001"/>
        </w:numPr>
      </w:pPr>
      <w:r>
        <w:t xml:space="preserve">Chang CC, Chow CC, Tellier LC, Vattikuti S, Purcell SM, Lee JJ. Second-generation PLINK: rising to the challenge of larger and richer datasets.</w:t>
      </w:r>
      <w:r>
        <w:t xml:space="preserve"> </w:t>
      </w:r>
      <w:r>
        <w:rPr>
          <w:i/>
          <w:iCs/>
        </w:rPr>
        <w:t xml:space="preserve">GigaScience</w:t>
      </w:r>
      <w:r>
        <w:t xml:space="preserve">. 2015;4(1):7.</w:t>
      </w:r>
    </w:p>
    <w:p>
      <w:pPr>
        <w:pStyle w:val="Compact"/>
        <w:numPr>
          <w:ilvl w:val="0"/>
          <w:numId w:val="1001"/>
        </w:numPr>
      </w:pPr>
      <w:r>
        <w:t xml:space="preserve">De Marino A, Mahmoud AA, Bohn S, Lerga-Jaso J, Novković B, Manson C, Loguercio S, Terpolovsky A, Matushyn M, Torkamani A, Yazdi PG. Selphi, a tool for improving genotype imputation accuracy.</w:t>
      </w:r>
      <w:r>
        <w:t xml:space="preserve"> </w:t>
      </w:r>
      <w:r>
        <w:rPr>
          <w:i/>
          <w:iCs/>
        </w:rPr>
        <w:t xml:space="preserve">Sci Rep</w:t>
      </w:r>
      <w:r>
        <w:t xml:space="preserve">. 2026;16:58420. doi:10.1038/s41598-026-58420-2.</w:t>
      </w:r>
    </w:p>
    <w:p>
      <w:pPr>
        <w:pStyle w:val="Compact"/>
        <w:numPr>
          <w:ilvl w:val="0"/>
          <w:numId w:val="1001"/>
        </w:numPr>
      </w:pPr>
      <w:r>
        <w:t xml:space="preserve">1000 Genomes Project Consortium. A global reference for human genetic variation.</w:t>
      </w:r>
      <w:r>
        <w:t xml:space="preserve"> </w:t>
      </w:r>
      <w:r>
        <w:rPr>
          <w:i/>
          <w:iCs/>
        </w:rPr>
        <w:t xml:space="preserve">Nature</w:t>
      </w:r>
      <w:r>
        <w:t xml:space="preserve">. 2015;526(7571):68-74.</w:t>
      </w:r>
    </w:p>
    <w:p>
      <w:pPr>
        <w:pStyle w:val="Compact"/>
        <w:numPr>
          <w:ilvl w:val="0"/>
          <w:numId w:val="1001"/>
        </w:numPr>
      </w:pPr>
      <w:r>
        <w:t xml:space="preserve">Taliun D, Harris DN, Kessler MD, et al. Sequencing of 53,831 diverse genomes from the NHLBI TOPMed Program.</w:t>
      </w:r>
      <w:r>
        <w:t xml:space="preserve"> </w:t>
      </w:r>
      <w:r>
        <w:rPr>
          <w:i/>
          <w:iCs/>
        </w:rPr>
        <w:t xml:space="preserve">Nature</w:t>
      </w:r>
      <w:r>
        <w:t xml:space="preserve">. 2021;590(7845):290-299. doi:10.1038/s41586-021-03205-y.</w:t>
      </w:r>
    </w:p>
    <w:p>
      <w:pPr>
        <w:pStyle w:val="Compact"/>
        <w:numPr>
          <w:ilvl w:val="0"/>
          <w:numId w:val="1001"/>
        </w:numPr>
      </w:pPr>
      <w:r>
        <w:t xml:space="preserve">Rubinacci S, Hofmeister RJ, Sousa da Mota B, Delaneau O. Imputation of low-coverage sequencing data from 150,119 UK Biobank genomes.</w:t>
      </w:r>
      <w:r>
        <w:t xml:space="preserve"> </w:t>
      </w:r>
      <w:r>
        <w:rPr>
          <w:i/>
          <w:iCs/>
        </w:rPr>
        <w:t xml:space="preserve">Nat Genet</w:t>
      </w:r>
      <w:r>
        <w:t xml:space="preserve">. 2023;55(7):1088-1090.</w:t>
      </w:r>
    </w:p>
    <w:p>
      <w:pPr>
        <w:pStyle w:val="Compact"/>
        <w:numPr>
          <w:ilvl w:val="0"/>
          <w:numId w:val="1001"/>
        </w:numPr>
      </w:pPr>
      <w:r>
        <w:t xml:space="preserve">Li Z, Albrechtsen A, Davies RW. Flexible read-aware genotype imputation from sequence using biobank sized reference panels.</w:t>
      </w:r>
      <w:r>
        <w:t xml:space="preserve"> </w:t>
      </w:r>
      <w:r>
        <w:rPr>
          <w:i/>
          <w:iCs/>
        </w:rPr>
        <w:t xml:space="preserve">Nat Commun</w:t>
      </w:r>
      <w:r>
        <w:t xml:space="preserve">. 2025;17(1):524.</w:t>
      </w:r>
    </w:p>
    <w:p>
      <w:pPr>
        <w:pStyle w:val="Compact"/>
        <w:numPr>
          <w:ilvl w:val="0"/>
          <w:numId w:val="1001"/>
        </w:numPr>
      </w:pPr>
      <w:r>
        <w:t xml:space="preserve">Zook JM, McDaniel J, Olson ND, et al. An open resource for accurately benchmarking small variant and reference calls.</w:t>
      </w:r>
      <w:r>
        <w:t xml:space="preserve"> </w:t>
      </w:r>
      <w:r>
        <w:rPr>
          <w:i/>
          <w:iCs/>
        </w:rPr>
        <w:t xml:space="preserve">Nat Biotechnol</w:t>
      </w:r>
      <w:r>
        <w:t xml:space="preserve">. 2019;37(5):561-566.</w:t>
      </w:r>
    </w:p>
    <w:p>
      <w:pPr>
        <w:pStyle w:val="Compact"/>
        <w:numPr>
          <w:ilvl w:val="0"/>
          <w:numId w:val="1001"/>
        </w:numPr>
      </w:pPr>
      <w:r>
        <w:t xml:space="preserve">Stone N, Matsakis N. Rayon: a data parallelism library for Rust. https://github.com/rayon-rs/rayon (accessed 2026).</w:t>
      </w:r>
    </w:p>
    <w:p>
      <w:pPr>
        <w:pStyle w:val="Compact"/>
        <w:numPr>
          <w:ilvl w:val="0"/>
          <w:numId w:val="1001"/>
        </w:numPr>
      </w:pPr>
      <w:r>
        <w:t xml:space="preserve">Browning SR, Browning BL. Rapid and accurate haplotype phasing and missing-data inference for whole-genome association studies by use of localized haplotype clustering.</w:t>
      </w:r>
      <w:r>
        <w:t xml:space="preserve"> </w:t>
      </w:r>
      <w:r>
        <w:rPr>
          <w:i/>
          <w:iCs/>
        </w:rPr>
        <w:t xml:space="preserve">Am J Hum Genet</w:t>
      </w:r>
      <w:r>
        <w:t xml:space="preserve">. 2007;81(5):1084-1097.</w:t>
      </w:r>
    </w:p>
    <w:p>
      <w:pPr>
        <w:pStyle w:val="Compact"/>
        <w:numPr>
          <w:ilvl w:val="0"/>
          <w:numId w:val="1001"/>
        </w:numPr>
      </w:pPr>
      <w:r>
        <w:t xml:space="preserve">Dempster AP, Laird NM, Rubin DB. Maximum likelihood from incomplete data via the EM algorithm.</w:t>
      </w:r>
      <w:r>
        <w:t xml:space="preserve"> </w:t>
      </w:r>
      <w:r>
        <w:rPr>
          <w:i/>
          <w:iCs/>
        </w:rPr>
        <w:t xml:space="preserve">J R Stat Soc Ser B</w:t>
      </w:r>
      <w:r>
        <w:t xml:space="preserve">. 1977;39(1):1-38.</w:t>
      </w:r>
    </w:p>
    <w:p>
      <w:pPr>
        <w:pStyle w:val="Compact"/>
        <w:numPr>
          <w:ilvl w:val="0"/>
          <w:numId w:val="1001"/>
        </w:numPr>
      </w:pPr>
      <w:r>
        <w:t xml:space="preserve">Delaneau O, Zagury JF, Robinson MR, Marchini JL, Dermitzakis ET. Accurate, scalable and integrative haplotype estimation.</w:t>
      </w:r>
      <w:r>
        <w:t xml:space="preserve"> </w:t>
      </w:r>
      <w:r>
        <w:rPr>
          <w:i/>
          <w:iCs/>
        </w:rPr>
        <w:t xml:space="preserve">Nat Commun</w:t>
      </w:r>
      <w:r>
        <w:t xml:space="preserve">. 2019;10(1):5436.</w:t>
      </w:r>
    </w:p>
    <w:p>
      <w:pPr>
        <w:pStyle w:val="Compact"/>
        <w:numPr>
          <w:ilvl w:val="0"/>
          <w:numId w:val="1001"/>
        </w:numPr>
      </w:pPr>
      <w:r>
        <w:t xml:space="preserve">Browning SR, Browning BL. Identity by descent between distant relatives: detection and applications.</w:t>
      </w:r>
      <w:r>
        <w:t xml:space="preserve"> </w:t>
      </w:r>
      <w:r>
        <w:rPr>
          <w:i/>
          <w:iCs/>
        </w:rPr>
        <w:t xml:space="preserve">Annu Rev Genet</w:t>
      </w:r>
      <w:r>
        <w:t xml:space="preserve">. 2012;46:617-633.</w:t>
      </w:r>
    </w:p>
    <w:p>
      <w:pPr>
        <w:pStyle w:val="Compact"/>
        <w:numPr>
          <w:ilvl w:val="0"/>
          <w:numId w:val="1001"/>
        </w:numPr>
      </w:pPr>
      <w:r>
        <w:t xml:space="preserve">Bycroft C, Freeman C, Petkova D, et al. The UK Biobank resource with deep phenotyping and genomic data.</w:t>
      </w:r>
      <w:r>
        <w:t xml:space="preserve"> </w:t>
      </w:r>
      <w:r>
        <w:rPr>
          <w:i/>
          <w:iCs/>
        </w:rPr>
        <w:t xml:space="preserve">Nature</w:t>
      </w:r>
      <w:r>
        <w:t xml:space="preserve">. 2018;562(7726):203-209.</w:t>
      </w:r>
    </w:p>
    <w:p>
      <w:pPr>
        <w:pStyle w:val="Compact"/>
        <w:numPr>
          <w:ilvl w:val="0"/>
          <w:numId w:val="1001"/>
        </w:numPr>
      </w:pPr>
      <w:r>
        <w:t xml:space="preserve">Browning BL, Browning SR. A unified approach to genotype imputation and haplotype-phase inference for large data sets of trios and unrelated individuals.</w:t>
      </w:r>
      <w:r>
        <w:t xml:space="preserve"> </w:t>
      </w:r>
      <w:r>
        <w:rPr>
          <w:i/>
          <w:iCs/>
        </w:rPr>
        <w:t xml:space="preserve">Am J Hum Genet</w:t>
      </w:r>
      <w:r>
        <w:t xml:space="preserve">. 2009;84(2):210-223.</w:t>
      </w:r>
    </w:p>
    <w:p>
      <w:pPr>
        <w:pStyle w:val="Compact"/>
        <w:numPr>
          <w:ilvl w:val="0"/>
          <w:numId w:val="1001"/>
        </w:numPr>
      </w:pPr>
      <w:r>
        <w:t xml:space="preserve">Danecek P, Bonfield JK, Liddle J, et al. Twelve years of SAMtools and BCFtools.</w:t>
      </w:r>
      <w:r>
        <w:t xml:space="preserve"> </w:t>
      </w:r>
      <w:r>
        <w:rPr>
          <w:i/>
          <w:iCs/>
        </w:rPr>
        <w:t xml:space="preserve">GigaScience</w:t>
      </w:r>
      <w:r>
        <w:t xml:space="preserve">. 2021;10(2):giab008.</w:t>
      </w:r>
    </w:p>
    <w:p>
      <w:pPr>
        <w:pStyle w:val="Compact"/>
        <w:numPr>
          <w:ilvl w:val="0"/>
          <w:numId w:val="1001"/>
        </w:numPr>
      </w:pPr>
      <w:r>
        <w:t xml:space="preserve">Myers S, Bottolo L, Freeman C, McVean G, Donnelly P. A fine-scale map of recombination rates and hotspots across the human genome.</w:t>
      </w:r>
      <w:r>
        <w:t xml:space="preserve"> </w:t>
      </w:r>
      <w:r>
        <w:rPr>
          <w:i/>
          <w:iCs/>
        </w:rPr>
        <w:t xml:space="preserve">Science</w:t>
      </w:r>
      <w:r>
        <w:t xml:space="preserve">. 2005;310(5746):321-324.</w:t>
      </w:r>
    </w:p>
    <w:p>
      <w:pPr>
        <w:pStyle w:val="Compact"/>
        <w:numPr>
          <w:ilvl w:val="0"/>
          <w:numId w:val="1001"/>
        </w:numPr>
      </w:pPr>
      <w:r>
        <w:t xml:space="preserve">Bild DE, Bluemke DA, Burke GL, et al. Multi-Ethnic Study of Atherosclerosis: objectives and design.</w:t>
      </w:r>
      <w:r>
        <w:t xml:space="preserve"> </w:t>
      </w:r>
      <w:r>
        <w:rPr>
          <w:i/>
          <w:iCs/>
        </w:rPr>
        <w:t xml:space="preserve">Am J Epidemiol</w:t>
      </w:r>
      <w:r>
        <w:t xml:space="preserve">. 2002;156(9):871-881.</w:t>
      </w:r>
    </w:p>
    <w:p>
      <w:pPr>
        <w:pStyle w:val="Compact"/>
        <w:numPr>
          <w:ilvl w:val="0"/>
          <w:numId w:val="1001"/>
        </w:numPr>
      </w:pPr>
      <w:r>
        <w:t xml:space="preserve">Koenig Z, Yohannes MT, Nkambule LL, et al. A harmonized public resource of deeply sequenced diverse human genomes.</w:t>
      </w:r>
      <w:r>
        <w:t xml:space="preserve"> </w:t>
      </w:r>
      <w:r>
        <w:rPr>
          <w:i/>
          <w:iCs/>
        </w:rPr>
        <w:t xml:space="preserve">Genome Res</w:t>
      </w:r>
      <w:r>
        <w:t xml:space="preserve">. 2024;34(5):796-809. doi:10.1101/gr.278378.123.</w:t>
      </w:r>
    </w:p>
    <w:p>
      <w:pPr>
        <w:pStyle w:val="Compact"/>
        <w:numPr>
          <w:ilvl w:val="0"/>
          <w:numId w:val="1001"/>
        </w:numPr>
      </w:pPr>
      <w:r>
        <w:t xml:space="preserve">Mosca MJ, Cho H. Reconstruction of private genomes through reference-based genotype imputation.</w:t>
      </w:r>
      <w:r>
        <w:t xml:space="preserve"> </w:t>
      </w:r>
      <w:r>
        <w:rPr>
          <w:i/>
          <w:iCs/>
        </w:rPr>
        <w:t xml:space="preserve">Genome Biol</w:t>
      </w:r>
      <w:r>
        <w:t xml:space="preserve">. 2023;24(1):271. doi:10.1186/s13059-023-03105-6.</w:t>
      </w:r>
    </w:p>
    <w:p>
      <w:pPr>
        <w:pStyle w:val="Compact"/>
        <w:numPr>
          <w:ilvl w:val="0"/>
          <w:numId w:val="1001"/>
        </w:numPr>
      </w:pPr>
      <w:r>
        <w:t xml:space="preserve">Li H. Improving SNP discovery by base alignment quality.</w:t>
      </w:r>
      <w:r>
        <w:t xml:space="preserve"> </w:t>
      </w:r>
      <w:r>
        <w:rPr>
          <w:i/>
          <w:iCs/>
        </w:rPr>
        <w:t xml:space="preserve">Bioinformatics</w:t>
      </w:r>
      <w:r>
        <w:t xml:space="preserve">. 2011;27(8):1157-1158.</w:t>
      </w:r>
    </w:p>
    <w:p>
      <w:pPr>
        <w:pStyle w:val="Compact"/>
        <w:numPr>
          <w:ilvl w:val="0"/>
          <w:numId w:val="1001"/>
        </w:numPr>
      </w:pPr>
      <w:r>
        <w:t xml:space="preserve">Browning BL, Browning SR. Genotype imputation with millions of reference samples.</w:t>
      </w:r>
      <w:r>
        <w:t xml:space="preserve"> </w:t>
      </w:r>
      <w:r>
        <w:rPr>
          <w:i/>
          <w:iCs/>
        </w:rPr>
        <w:t xml:space="preserve">Am J Hum Genet</w:t>
      </w:r>
      <w:r>
        <w:t xml:space="preserve">. 2016;98(1):116-126.</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2026-09-17T05:58:53Z</dcterms:created>
  <dcterms:modified xsi:type="dcterms:W3CDTF">2026-09-17T05:58:53Z</dcterms:modified>
</cp:coreProperties>
</file>

<file path=docProps/custom.xml><?xml version="1.0" encoding="utf-8"?>
<Properties xmlns="http://schemas.openxmlformats.org/officeDocument/2006/custom-properties" xmlns:vt="http://schemas.openxmlformats.org/officeDocument/2006/docPropsVTypes"/>
</file>