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integrated phasing and whole-genome genotype imputation in a single Rust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39–58% relative to Beagle 5.5, while matching or exceeding Selphi 1’s accuracy: on homogeneous reference panels accuracy is preserved, and on admixed cohorts imputed against biobank-scale panels Selphi 2 recovers rare-variant accuracy that Selphi 1’s fixed per-target candidate-set cap forfeited by systematically truncating rare-variant carriers from minority ancestries. The fixed cap is replaced by a panel-adaptive sizing formula derived from reference panel size and haplotype-pattern diversity. On six held-out individuals, each with a consumer genotyping array and a matched high-coverage genome (imputed against a 75,552-haplotype reference panel), Selphi 2’s imputer matches or exceeds Beagle 5.5 at equal phasing on both SNPs and indels, and with its own default diploid phasing — which averages a small intra-run phase ensemble for one extra imputation pass and no extra phasing — exceeds Beagle’s full pipeline on both SNPs and indels. The same binary additionally provides a low-coverage sequencing (lcWGS) imputation engine: a genotype-likelihood-aware Li-Stephens model that imputes directly from soft-called sequencing data. Benchmarked against GLIMPSE2</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2</w:t>
      </w:r>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3</w:t>
      </w:r>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4</w:t>
      </w:r>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5</w:t>
      </w:r>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6</w:t>
      </w:r>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7</w:t>
      </w:r>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8</w:t>
      </w:r>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9</w:t>
      </w:r>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10</w:t>
      </w:r>
      <w:r>
        <w:rPr>
          <w:rFonts w:ascii="Times New Roman" w:hAnsi="Times New Roman" w:cs="Times New Roman" w:eastAsia="Times New Roman"/>
        </w:rPr>
        <w:t xml:space="preserve">, SHAPEIT5</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11</w:t>
      </w:r>
      <w:r>
        <w:rPr>
          <w:rFonts w:ascii="Times New Roman" w:hAnsi="Times New Roman" w:cs="Times New Roman" w:eastAsia="Times New Roman"/>
        </w:rPr>
        <w:t xml:space="preserve">, or an earlier biobank-scale haplotype estimator</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12</w:t>
      </w:r>
      <w:r>
        <w:rPr>
          <w:rFonts w:ascii="Times New Roman" w:hAnsi="Times New Roman" w:cs="Times New Roman" w:eastAsia="Times New Roman"/>
        </w:rPr>
        <w:t xml:space="preserve">, imputes the phased target with Beagle 5.5</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7</w:t>
      </w:r>
      <w:r>
        <w:rPr>
          <w:rFonts w:ascii="Times New Roman" w:hAnsi="Times New Roman" w:cs="Times New Roman" w:eastAsia="Times New Roman"/>
        </w:rPr>
        <w:t xml:space="preserve">, IMPUTE5</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6</w:t>
      </w:r>
      <w:r>
        <w:rPr>
          <w:rFonts w:ascii="Times New Roman" w:hAnsi="Times New Roman" w:cs="Times New Roman" w:eastAsia="Times New Roman"/>
        </w:rPr>
        <w:t xml:space="preserve">, or Minimac4</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9</w:t>
      </w:r>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13</w:t>
      </w:r>
      <w:r>
        <w:rPr>
          <w:rFonts w:ascii="Times New Roman" w:hAnsi="Times New Roman" w:cs="Times New Roman" w:eastAsia="Times New Roman"/>
        </w:rPr>
        <w:t xml:space="preserve">) with external writers. Each handoff requires intermediate files, shell glue, and per-chromosome bookkeeping. Beagle 5.5</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7</w:t>
      </w:r>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14</w:t>
      </w:r>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15</w:t>
      </w:r>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capped the per-target retained haplotype set at</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a cap calibrated on the 1000 Genomes Phase 3 panel (4,802 haplotypes; 1.2% retained) that, when applied to biobank-scale panels such as TOPMed (171,054 haplotypes; 0.04% retained), systematically excluded rare-variant carriers from minority sub-populations, eroding accuracy on admixed cohorts.</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11</w:t>
      </w:r>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2</w:t>
      </w:r>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16</w:t>
      </w:r>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fixed per-target candidate-set cap of Selphi 1 is replaced by a panel-adaptive sizing formula derived from the reference panel size and the haplotype-pattern diversity of the panel, recovering the rare-variant accuracy that the fixed cap forfeited on admixed cohorts against biobank-scale panels.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7</w:t>
      </w:r>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14</w:t>
      </w:r>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15</w:t>
      </w:r>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11</w:t>
      </w:r>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2</w:t>
      </w:r>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17</w:t>
      </w:r>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CaptionedFigure"/>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eastAsia="Times New Roman"/>
        </w:rPr>
        <w:t xml:space="preserve">Figure 1</w:t>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validated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statically compiled binary. All compression libraries, file format encoders (VCF, BCF, Parquet, PGEN), and index builders (TBI, CSI) are integrated into the binary; no external tools are invoked at runtime. Parallelism is provided by the rayon library</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18</w:t>
      </w:r>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19</w:t>
      </w:r>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6</w:t>
      </w:r>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11</w:t>
      </w:r>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20</w:t>
      </w:r>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21</w:t>
      </w:r>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11</w:t>
      </w:r>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4</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11</w:t>
      </w:r>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22</w:t>
      </w:r>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11</w:t>
      </w:r>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11,12,21</w:t>
      </w:r>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7</w:t>
      </w:r>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6</w:t>
      </w:r>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4</w:t>
      </w:r>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fixed constant typically calibrated on a single reference panel (e.g.,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 in Beagle</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7</w:t>
      </w:r>
      <w:r>
        <w:rPr>
          <w:rFonts w:ascii="Times New Roman" w:hAnsi="Times New Roman" w:cs="Times New Roman" w:eastAsia="Times New Roman"/>
        </w:rPr>
        <w:t xml:space="preserve">, or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in IMPUTE5</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6</w:t>
      </w:r>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23</w:t>
      </w:r>
      <w:r>
        <w:rPr>
          <w:rFonts w:ascii="Times New Roman" w:hAnsi="Times New Roman" w:cs="Times New Roman" w:eastAsia="Times New Roman"/>
        </w:rPr>
        <w:t xml:space="preserve"> </w:t>
      </w:r>
      <w:r>
        <w:rPr>
          <w:rFonts w:ascii="Times New Roman" w:hAnsi="Times New Roman" w:cs="Times New Roman" w:eastAsia="Times New Roman"/>
        </w:rPr>
        <w:t xml:space="preserve">subset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(multi-ethnic global panel, European-only cohort, and multi-ethnic clinical cohort, respectively).</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as used in earlier Selphi releases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6,9</w:t>
      </w:r>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24</w:t>
      </w:r>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25</w:t>
      </w:r>
      <w:r>
        <w:rPr>
          <w:rFonts w:ascii="Times New Roman" w:hAnsi="Times New Roman" w:cs="Times New Roman" w:eastAsia="Times New Roman"/>
        </w:rPr>
        <w:t xml:space="preserve">, Apache Parquet (zstd-compressed, variant-major columnar layout), PLINK2 PGEN</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13</w:t>
      </w:r>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2</w:t>
      </w:r>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25</w:t>
      </w:r>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7</w:t>
      </w:r>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25</w:t>
      </w:r>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decoded genotypes are byte-identical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26</w:t>
      </w:r>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14% of raw calls (e.g. 5.09M → 4.66M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w:t>
      </w:r>
      <w:r>
        <w:rPr>
          <w:rFonts w:ascii="Times New Roman" w:hAnsi="Times New Roman" w:cs="Times New Roman" w:eastAsia="Times New Roman"/>
        </w:rPr>
        <w:t xml:space="preserve"> </w:t>
      </w:r>
      <w:r>
        <w:rPr>
          <w:rFonts w:ascii="Times New Roman" w:hAnsi="Times New Roman" w:cs="Times New Roman" w:eastAsia="Times New Roman"/>
        </w:rPr>
        <w:t xml:space="preserve">“Beagle-phased”</w:t>
      </w:r>
      <w:r>
        <w:rPr>
          <w:rFonts w:ascii="Times New Roman" w:hAnsi="Times New Roman" w:cs="Times New Roman" w:eastAsia="Times New Roman"/>
        </w:rPr>
        <w:t xml:space="preserve"> </w:t>
      </w:r>
      <w:r>
        <w:rPr>
          <w:rFonts w:ascii="Times New Roman" w:hAnsi="Times New Roman" w:cs="Times New Roman" w:eastAsia="Times New Roman"/>
        </w:rPr>
        <w:t xml:space="preserve">rows, both Selphi 2 and Selphi 1.5.3 were given Beagle’s phase-only output as their phased input, isolating the imputation step from phasing quality; the</w:t>
      </w:r>
      <w:r>
        <w:rPr>
          <w:rFonts w:ascii="Times New Roman" w:hAnsi="Times New Roman" w:cs="Times New Roman" w:eastAsia="Times New Roman"/>
        </w:rPr>
        <w:t xml:space="preserve"> </w:t>
      </w:r>
      <w:r>
        <w:rPr>
          <w:rFonts w:ascii="Times New Roman" w:hAnsi="Times New Roman" w:cs="Times New Roman" w:eastAsia="Times New Roman"/>
        </w:rPr>
        <w:t xml:space="preserve">“haploid”</w:t>
      </w:r>
      <w:r>
        <w:rPr>
          <w:rFonts w:ascii="Times New Roman" w:hAnsi="Times New Roman" w:cs="Times New Roman" w:eastAsia="Times New Roman"/>
        </w:rPr>
        <w:t xml:space="preserve">/</w:t>
      </w:r>
      <w:r>
        <w:rPr>
          <w:rFonts w:ascii="Times New Roman" w:hAnsi="Times New Roman" w:cs="Times New Roman" w:eastAsia="Times New Roman"/>
        </w:rPr>
        <w:t xml:space="preserve">“diploid”</w:t>
      </w:r>
      <w:r>
        <w:rPr>
          <w:rFonts w:ascii="Times New Roman" w:hAnsi="Times New Roman" w:cs="Times New Roman" w:eastAsia="Times New Roman"/>
        </w:rPr>
        <w:t xml:space="preserve"> </w:t>
      </w:r>
      <w:r>
        <w:rPr>
          <w:rFonts w:ascii="Times New Roman" w:hAnsi="Times New Roman" w:cs="Times New Roman" w:eastAsia="Times New Roman"/>
        </w:rPr>
        <w:t xml:space="preserve">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14</w:t>
      </w:r>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15</w:t>
      </w:r>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reference panel containing the full 1000 Genomes cohort.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with all four tools imputing the identical phased target against the identical 1000 Genomes reference panel.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four tools span the identical chromosome set), the same ordering holds: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0.5838 versus 0.5764 (Beagle 5.5), 0.5668 (Minimac4) and 0.5635 (IMPUTE5), and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0.9548 versus 0.9503, 0.9481 and 0.9471 respectively, leading every MAF bin above the rarest (Figure 2a). Minimac4 and IMPUTE5 were imputed on all 22 autosomes against the identical phased target and 1000 Genomes panel; their call sets were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(the genome-wide aggregate above and in Figure 2a spans the 20-autosome set; Table 1 reports their per-MAF detail on chromosome 22). Selphi 2 and Beagle 5.5 were additionally re-run genome-wide with the current release.</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and Minimac4 were each given the identical phased target and the identical 1000 Genomes reference panel and were evaluated on chromosome 22; Beagle 5.5 and Selphi 2 were additionally evaluated on chromosome 1. Bold marks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each chromosome group.</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131"/>
        <w:gridCol w:w="1131"/>
        <w:gridCol w:w="1131"/>
        <w:gridCol w:w="1131"/>
        <w:gridCol w:w="1131"/>
        <w:gridCol w:w="1131"/>
        <w:gridCol w:w="1131"/>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1–2%</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2–5%</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The Selphi 1 candidate-set cap of</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was calibrated on the 1000 Genomes Phase 3 panel (retaining 1.2% of the panel). When the panel grows to TOPMed-scale (171,054 haplotypes), the same cap retains 0.04% of the panel and systematically excludes haplotypes that carry rare alleles in minority sub-populations. We tested this hypothesis on the MESA cohort</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27</w:t>
      </w:r>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0.6157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+0.0236).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a marginal additional gain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0.6162, +0.0005 over the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and confirms the diminishing-returns regime captured by the formula.</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(the configuration that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cap on a panel of this size in retained-fraction terms).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cap on a panel of this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Pr>
          <w:p>
            <w:pPr>
              <w:pStyle w:val="Compact"/>
              <w:jc w:val="center"/>
            </w:pPr>
            <m:oMath>
              <m:r>
                <m:rPr>
                  <m:sty m:val="p"/>
                </m:rPr>
                <m:t>Δ</m:t>
              </m:r>
            </m:oMath>
          </w:p>
        </w:tc>
      </w:tr>
      <w:tr>
        <w:tc>
          <w:tcPr>
            <w:shd w:val="clear" w:color="auto" w:fill="FFFFFF"/>
            <w:vAlign w:val="center"/>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1–2%</w:t>
            </w:r>
          </w:p>
        </w:tc>
        <w:tc>
          <w:tcPr>
            <w:shd w:val="clear" w:color="auto" w:fill="E7E6E6"/>
            <w:vAlign w:val="center"/>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cap in Selphi 1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calibrated on a European-majority panel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84"/>
        <w:gridCol w:w="1584"/>
        <w:gridCol w:w="1584"/>
        <w:gridCol w:w="1584"/>
        <w:gridCol w:w="1584"/>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1–2%</w:t>
            </w:r>
          </w:p>
        </w:tc>
        <w:tc>
          <w:tcPr>
            <w:shd w:val="clear" w:color="auto" w:fill="FFFFFF"/>
            <w:vAlign w:val="center"/>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2–5%</w:t>
            </w:r>
          </w:p>
        </w:tc>
        <w:tc>
          <w:tcPr>
            <w:shd w:val="clear" w:color="auto" w:fill="E7E6E6"/>
            <w:vAlign w:val="center"/>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28</w:t>
      </w:r>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Pr>
          <w:p>
            <w:pPr>
              <w:pStyle w:val="Compact"/>
              <w:jc w:val="center"/>
            </w:pPr>
            <m:oMath>
              <m:r>
                <m:rPr>
                  <m:sty m:val="p"/>
                </m:rPr>
                <m:t>Δ</m:t>
              </m:r>
            </m:oMath>
          </w:p>
        </w:tc>
      </w:tr>
      <w:tr>
        <w:tc>
          <w:tcPr>
            <w:shd w:val="clear" w:color="auto" w:fill="FFFFFF"/>
            <w:vAlign w:val="center"/>
          </w:tcPr>
          <w:p>
            <w:pPr>
              <w:pStyle w:val="Compact"/>
              <w:jc w:val="center"/>
            </w:pPr>
            <w:r>
              <w:rPr>
                <w:rFonts w:ascii="Times New Roman" w:hAnsi="Times New Roman" w:cs="Times New Roman" w:eastAsia="Times New Roman"/>
                <w:sz w:val="20"/>
              </w:rPr>
              <w:t xml:space="preserve">Oceanian, not in panel (30)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Middle-Eastern, not in panel (157)</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African (107)</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East-Asian (233)</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Central/South-Asian (183)</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European (153)</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Admixed-American (62)</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All (925)</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Pr>
          <w:p>
            <w:pPr>
              <w:pStyle w:val="Compact"/>
              <w:jc w:val="center"/>
            </w:pPr>
            <w:r>
              <w:rPr>
                <w:rFonts w:ascii="Times New Roman" w:hAnsi="Times New Roman" w:cs="Times New Roman" w:eastAsia="Times New Roman"/>
                <w:sz w:val="20"/>
              </w:rPr>
              <w:t xml:space="preserve">+0.0066</w:t>
            </w:r>
          </w:p>
        </w:tc>
      </w:tr>
    </w:tbl>
    <w:p>
      <w:pPr>
        <w:pStyle w:val="CaptionedFigure"/>
        <w:jc w:val="center"/>
      </w:pPr>
      <w:r>
        <w:rPr>
          <w:rFonts w:ascii="Times New Roman" w:hAnsi="Times New Roman" w:cs="Times New Roman" w:eastAsia="Times New Roman"/>
        </w:rPr>
        <w:drawing>
          <wp:inline>
            <wp:extent cx="5334000" cy="4049708"/>
            <wp:effectExtent b="0" l="0" r="0" t="0"/>
            <wp:docPr descr="Figure 2" title="" id="30" name="Picture"/>
            <a:graphic>
              <a:graphicData uri="http://schemas.openxmlformats.org/drawingml/2006/picture">
                <pic:pic>
                  <pic:nvPicPr>
                    <pic:cNvPr descr="figures/figure2_accuracy.png" id="31" name="Picture"/>
                    <pic:cNvPicPr>
                      <a:picLocks noChangeArrowheads="1" noChangeAspect="1"/>
                    </pic:cNvPicPr>
                  </pic:nvPicPr>
                  <pic:blipFill>
                    <a:blip r:embed="rId29"/>
                    <a:stretch>
                      <a:fillRect/>
                    </a:stretch>
                  </pic:blipFill>
                  <pic:spPr bwMode="auto">
                    <a:xfrm>
                      <a:off x="0" y="0"/>
                      <a:ext cx="5334000" cy="4049708"/>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eastAsia="Times New Roman"/>
        </w:rPr>
        <w:t xml:space="preserve">Figure 2</w:t>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four tools use the identical chromosome set):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versus Beagle 5.5, Minimac4 and IMPUTE5; Selphi 2 leads at every bin above the rarest.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internal candidate-sizing ablation behind this gain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w:t>
      </w:r>
      <w:r>
        <w:rPr>
          <w:rFonts w:ascii="Times New Roman" w:hAnsi="Times New Roman" w:cs="Times New Roman" w:eastAsia="Times New Roman"/>
        </w:rPr>
        <w:t xml:space="preserve"> </w:t>
      </w:r>
      <w:r>
        <w:rPr>
          <w:rFonts w:ascii="Times New Roman" w:hAnsi="Times New Roman" w:cs="Times New Roman" w:eastAsia="Times New Roman"/>
        </w:rPr>
        <w:t xml:space="preserve">“Beagle-phased”</w:t>
      </w:r>
      <w:r>
        <w:rPr>
          <w:rFonts w:ascii="Times New Roman" w:hAnsi="Times New Roman" w:cs="Times New Roman" w:eastAsia="Times New Roman"/>
        </w:rPr>
        <w:t xml:space="preserve"> </w:t>
      </w:r>
      <w:r>
        <w:rPr>
          <w:rFonts w:ascii="Times New Roman" w:hAnsi="Times New Roman" w:cs="Times New Roman" w:eastAsia="Times New Roman"/>
        </w:rPr>
        <w:t xml:space="preserve">rows feed both imputers the identical Beagle phase-only output (isolating the imputation step);</w:t>
      </w:r>
      <w:r>
        <w:rPr>
          <w:rFonts w:ascii="Times New Roman" w:hAnsi="Times New Roman" w:cs="Times New Roman" w:eastAsia="Times New Roman"/>
        </w:rPr>
        <w:t xml:space="preserve"> </w:t>
      </w:r>
      <w:r>
        <w:rPr>
          <w:rFonts w:ascii="Times New Roman" w:hAnsi="Times New Roman" w:cs="Times New Roman" w:eastAsia="Times New Roman"/>
        </w:rPr>
        <w:t xml:space="preserve">“haploid/diploid”</w:t>
      </w:r>
      <w:r>
        <w:rPr>
          <w:rFonts w:ascii="Times New Roman" w:hAnsi="Times New Roman" w:cs="Times New Roman" w:eastAsia="Times New Roman"/>
        </w:rPr>
        <w:t xml:space="preserve"> </w:t>
      </w:r>
      <w:r>
        <w:rPr>
          <w:rFonts w:ascii="Times New Roman" w:hAnsi="Times New Roman" w:cs="Times New Roman" w:eastAsia="Times New Roman"/>
        </w:rPr>
        <w:t xml:space="preserve">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40"/>
        <w:gridCol w:w="2640"/>
        <w:gridCol w:w="264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Pipeline (phasing → imputation)</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(Beagle-phased)</w:t>
            </w:r>
          </w:p>
        </w:tc>
        <w:tc>
          <w:tcPr>
            <w:shd w:val="clear" w:color="auto" w:fill="FFFFFF"/>
            <w:vAlign w:val="center"/>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Selphi 1.5.3 (Beagle-phased)</w:t>
            </w:r>
          </w:p>
        </w:tc>
        <w:tc>
          <w:tcPr>
            <w:shd w:val="clear" w:color="auto" w:fill="E7E6E6"/>
            <w:vAlign w:val="center"/>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Beagle 5.5 (phase + impute)</w:t>
            </w:r>
          </w:p>
        </w:tc>
        <w:tc>
          <w:tcPr>
            <w:shd w:val="clear" w:color="auto" w:fill="FFFFFF"/>
            <w:vAlign w:val="center"/>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Selphi 2 (haploid engine, internal phasing)</w:t>
            </w:r>
          </w:p>
        </w:tc>
        <w:tc>
          <w:tcPr>
            <w:shd w:val="clear" w:color="auto" w:fill="E7E6E6"/>
            <w:vAlign w:val="center"/>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(diploid engine, internal phasing)</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40"/>
        <w:gridCol w:w="2640"/>
        <w:gridCol w:w="264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(default diploid)</w:t>
            </w:r>
          </w:p>
        </w:tc>
        <w:tc>
          <w:tcPr>
            <w:shd w:val="clear" w:color="auto" w:fill="FFFFFF"/>
            <w:vAlign w:val="center"/>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 (phase + impute)</w:t>
            </w:r>
          </w:p>
        </w:tc>
        <w:tc>
          <w:tcPr>
            <w:shd w:val="clear" w:color="auto" w:fill="E7E6E6"/>
            <w:vAlign w:val="center"/>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w:t>
      </w:r>
      <w:r>
        <w:rPr>
          <w:rFonts w:ascii="Times New Roman" w:hAnsi="Times New Roman" w:cs="Times New Roman" w:eastAsia="Times New Roman"/>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131"/>
        <w:gridCol w:w="1131"/>
        <w:gridCol w:w="1131"/>
        <w:gridCol w:w="1131"/>
        <w:gridCol w:w="1131"/>
        <w:gridCol w:w="1131"/>
        <w:gridCol w:w="1131"/>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Pr>
          <w:p>
            <w:pPr>
              <w:pStyle w:val="Compact"/>
              <w:jc w:val="center"/>
            </w:pPr>
            <w:r>
              <w:rPr>
                <w:rFonts w:ascii="Times New Roman" w:hAnsi="Times New Roman" w:cs="Times New Roman" w:eastAsia="Times New Roman"/>
                <w:b/>
                <w:bCs/>
                <w:sz w:val="20"/>
              </w:rPr>
              <w:t xml:space="preserve">Selphi 2 diploid</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haploid</w:t>
            </w:r>
          </w:p>
        </w:tc>
        <w:tc>
          <w:tcPr>
            <w:shd w:val="clear" w:color="auto" w:fill="FFFFFF"/>
            <w:vAlign w:val="center"/>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SHAPEIT5 v5.1.1 (full)</w:t>
            </w:r>
          </w:p>
        </w:tc>
        <w:tc>
          <w:tcPr>
            <w:shd w:val="clear" w:color="auto" w:fill="E7E6E6"/>
            <w:vAlign w:val="center"/>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Pr>
          <w:p>
            <w:pPr>
              <w:pStyle w:val="Compact"/>
              <w:jc w:val="center"/>
            </w:pPr>
            <w:r>
              <w:rPr>
                <w:rFonts w:ascii="Times New Roman" w:hAnsi="Times New Roman" w:cs="Times New Roman" w:eastAsia="Times New Roman"/>
                <w:sz w:val="20"/>
              </w:rPr>
              <w:t xml:space="preserve">not measured</w:t>
            </w:r>
          </w:p>
        </w:tc>
        <w:tc>
          <w:tcPr>
            <w:shd w:val="clear" w:color="auto" w:fill="E7E6E6"/>
            <w:vAlign w:val="center"/>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 a 66% reduction —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1.879%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[−0.104, −0.053], 44 of 54 trios), while on chromosome 1 Beagle 5.5 is marginally lowest but again not significantly different from Selphi 2 (Δ = +0.013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84"/>
        <w:gridCol w:w="1584"/>
        <w:gridCol w:w="1584"/>
        <w:gridCol w:w="1584"/>
        <w:gridCol w:w="1584"/>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Pr>
          <w:p>
            <w:pPr>
              <w:pStyle w:val="Compact"/>
              <w:jc w:val="center"/>
            </w:pPr>
            <w:r>
              <w:rPr>
                <w:rFonts w:ascii="Times New Roman" w:hAnsi="Times New Roman" w:cs="Times New Roman" w:eastAsia="Times New Roman"/>
                <w:sz w:val="20"/>
              </w:rPr>
              <w:t xml:space="preserve">1.879</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SHAPEIT5 v5.1.1 (full)</w:t>
            </w:r>
          </w:p>
        </w:tc>
        <w:tc>
          <w:tcPr>
            <w:shd w:val="clear" w:color="auto" w:fill="FFFFFF"/>
            <w:vAlign w:val="center"/>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84"/>
        <w:gridCol w:w="1584"/>
        <w:gridCol w:w="1584"/>
        <w:gridCol w:w="1584"/>
        <w:gridCol w:w="1584"/>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Selphi 1.5.3 did not complete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run within a reasonable wall-time budget. The Beagle column is Beagle 5.5 (build 03 Oct 2025) throughout.</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chr22 1KG 801s (impute-only, phased input)</w:t>
            </w:r>
          </w:p>
        </w:tc>
        <w:tc>
          <w:tcPr>
            <w:shd w:val="clear" w:color="auto" w:fill="FFFFFF"/>
            <w:vAlign w:val="center"/>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Pr>
          <w:p>
            <w:pPr>
              <w:pStyle w:val="Compact"/>
              <w:jc w:val="center"/>
            </w:pPr>
            <w:r>
              <w:rPr>
                <w:rFonts w:ascii="Times New Roman" w:hAnsi="Times New Roman" w:cs="Times New Roman" w:eastAsia="Times New Roman"/>
                <w:sz w:val="20"/>
              </w:rPr>
              <w:t xml:space="preserve">n/a</w:t>
            </w:r>
          </w:p>
        </w:tc>
        <w:tc>
          <w:tcPr>
            <w:shd w:val="clear" w:color="auto" w:fill="FFFFFF"/>
            <w:vAlign w:val="center"/>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chr1 1KG 801s (impute-only, phased input)</w:t>
            </w:r>
          </w:p>
        </w:tc>
        <w:tc>
          <w:tcPr>
            <w:shd w:val="clear" w:color="auto" w:fill="E7E6E6"/>
            <w:vAlign w:val="center"/>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Pr>
          <w:p>
            <w:pPr>
              <w:pStyle w:val="Compact"/>
              <w:jc w:val="center"/>
            </w:pPr>
            <w:r>
              <w:rPr>
                <w:rFonts w:ascii="Times New Roman" w:hAnsi="Times New Roman" w:cs="Times New Roman" w:eastAsia="Times New Roman"/>
                <w:sz w:val="20"/>
              </w:rPr>
              <w:t xml:space="preserve">n/a</w:t>
            </w:r>
          </w:p>
        </w:tc>
        <w:tc>
          <w:tcPr>
            <w:shd w:val="clear" w:color="auto" w:fill="E7E6E6"/>
            <w:vAlign w:val="center"/>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chr21 GIAB 6 samples (impute-only)</w:t>
            </w:r>
          </w:p>
        </w:tc>
        <w:tc>
          <w:tcPr>
            <w:shd w:val="clear" w:color="auto" w:fill="FFFFFF"/>
            <w:vAlign w:val="center"/>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Pr>
          <w:p>
            <w:pPr>
              <w:pStyle w:val="Compact"/>
              <w:jc w:val="center"/>
            </w:pPr>
            <w:r>
              <w:rPr>
                <w:rFonts w:ascii="Times New Roman" w:hAnsi="Times New Roman" w:cs="Times New Roman" w:eastAsia="Times New Roman"/>
                <w:sz w:val="20"/>
              </w:rPr>
              <w:t xml:space="preserve">112.8 s / 7.1 GB</w:t>
            </w:r>
          </w:p>
        </w:tc>
        <w:tc>
          <w:tcPr>
            <w:shd w:val="clear" w:color="auto" w:fill="FFFFFF"/>
            <w:vAlign w:val="center"/>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chr1 GIAB 6 samples (impute-only)</w:t>
            </w:r>
          </w:p>
        </w:tc>
        <w:tc>
          <w:tcPr>
            <w:shd w:val="clear" w:color="auto" w:fill="E7E6E6"/>
            <w:vAlign w:val="center"/>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Pr>
          <w:p>
            <w:pPr>
              <w:pStyle w:val="Compact"/>
              <w:jc w:val="center"/>
            </w:pPr>
            <w:r>
              <w:rPr>
                <w:rFonts w:ascii="Times New Roman" w:hAnsi="Times New Roman" w:cs="Times New Roman" w:eastAsia="Times New Roman"/>
                <w:sz w:val="20"/>
              </w:rPr>
              <w:t xml:space="preserve">1923 s / 22.1 GB</w:t>
            </w:r>
          </w:p>
        </w:tc>
        <w:tc>
          <w:tcPr>
            <w:shd w:val="clear" w:color="auto" w:fill="E7E6E6"/>
            <w:vAlign w:val="center"/>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Pr>
          <w:p>
            <w:pPr>
              <w:pStyle w:val="Compact"/>
              <w:jc w:val="center"/>
            </w:pPr>
            <w:r>
              <w:rPr>
                <w:rFonts w:ascii="Times New Roman" w:hAnsi="Times New Roman" w:cs="Times New Roman" w:eastAsia="Times New Roman"/>
                <w:sz w:val="20"/>
              </w:rPr>
              <w:t xml:space="preserve">did not finish</w:t>
            </w:r>
          </w:p>
        </w:tc>
        <w:tc>
          <w:tcPr>
            <w:shd w:val="clear" w:color="auto" w:fill="FFFFFF"/>
            <w:vAlign w:val="center"/>
          </w:tcPr>
          <w:p>
            <w:pPr>
              <w:pStyle w:val="Compact"/>
              <w:jc w:val="center"/>
            </w:pPr>
            <w:r>
              <w:rPr>
                <w:rFonts w:ascii="Times New Roman" w:hAnsi="Times New Roman" w:cs="Times New Roman" w:eastAsia="Times New Roman"/>
                <w:sz w:val="20"/>
              </w:rPr>
              <w:t xml:space="preserve">4148 s / 96.5 GB</w:t>
            </w:r>
          </w:p>
        </w:tc>
      </w:tr>
    </w:tbl>
    <w:p>
      <w:pPr>
        <w:pStyle w:val="CaptionedFigure"/>
        <w:jc w:val="center"/>
      </w:pPr>
      <w:r>
        <w:rPr>
          <w:rFonts w:ascii="Times New Roman" w:hAnsi="Times New Roman" w:cs="Times New Roman" w:eastAsia="Times New Roman"/>
        </w:rPr>
        <w:drawing>
          <wp:inline>
            <wp:extent cx="5334000" cy="1643263"/>
            <wp:effectExtent b="0" l="0" r="0" t="0"/>
            <wp:docPr descr="Figure 3" title="" id="37" name="Picture"/>
            <a:graphic>
              <a:graphicData uri="http://schemas.openxmlformats.org/drawingml/2006/picture">
                <pic:pic>
                  <pic:nvPicPr>
                    <pic:cNvPr descr="figures/figure3_efficiency.png" id="38" name="Picture"/>
                    <pic:cNvPicPr>
                      <a:picLocks noChangeArrowheads="1" noChangeAspect="1"/>
                    </pic:cNvPicPr>
                  </pic:nvPicPr>
                  <pic:blipFill>
                    <a:blip r:embed="rId36"/>
                    <a:stretch>
                      <a:fillRect/>
                    </a:stretch>
                  </pic:blipFill>
                  <pic:spPr bwMode="auto">
                    <a:xfrm>
                      <a:off x="0" y="0"/>
                      <a:ext cx="5334000" cy="1643263"/>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eastAsia="Times New Roman"/>
        </w:rPr>
        <w:t xml:space="preserve">Figure 3</w:t>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its peak memory is 39–58% lower than Beagle’s on the 1000 Genomes chromosome 22 and both GIAB benchmarks, and comparable to Beagle on 1000 Genomes chromosome 1 (21.9 GB versus 20.2 GB). On the TOPMed biobank-scale run, Selphi 2 is slower than Beagle 5.5 (3.0</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+0.0236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is concentrated on the rare-variant bins.</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2</w:t>
      </w:r>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16</w:t>
      </w:r>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Pr>
          <w:p>
            <w:pPr>
              <w:pStyle w:val="Compact"/>
              <w:jc w:val="center"/>
            </w:pPr>
            <m:oMath>
              <m:r>
                <m:rPr>
                  <m:sty m:val="p"/>
                </m:rPr>
                <m:t>Δ</m:t>
              </m:r>
            </m:oMath>
          </w:p>
        </w:tc>
      </w:tr>
      <w:tr>
        <w:tc>
          <w:tcPr>
            <w:shd w:val="clear" w:color="auto" w:fill="FFFFFF"/>
            <w:vAlign w:val="center"/>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Pr>
          <w:p>
            <w:pPr>
              <w:pStyle w:val="Compact"/>
              <w:jc w:val="center"/>
            </w:pPr>
            <w:r>
              <w:rPr>
                <w:rFonts w:ascii="Times New Roman" w:hAnsi="Times New Roman" w:cs="Times New Roman" w:eastAsia="Times New Roman"/>
                <w:sz w:val="20"/>
              </w:rPr>
              <w:t xml:space="preserve">−0.0001</w:t>
            </w:r>
          </w:p>
        </w:tc>
      </w:tr>
      <w:tr>
        <w:tc>
          <w:tcPr>
            <w:shd w:val="clear" w:color="auto" w:fill="FFFFFF"/>
            <w:vAlign w:val="center"/>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2</w:t>
      </w:r>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16</w:t>
      </w:r>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 which raises the Li-Stephens recombination rate to GLIMPSE2’s reference value at rare sites only, letting a copied haplotype recombine onto a true rare-allele carrier —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confers an advantage only below approximately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outside the range evaluated here, where all three tools converge.</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replaces Selphi 1’s fixed candidate-set cap with a panel-adaptive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0.0236 on the MESA admixed cohort, with the gain concentrated on rare variants where Selphi 1’s fixed cap had previously discarded informative haplotypes.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(where rare variants are accessible),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7,8</w:t>
      </w:r>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0.024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6</w:t>
      </w:r>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9</w:t>
      </w:r>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11</w:t>
      </w:r>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(chromosome 1 SHAPEIT5 timing not measured).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the principal extensions are the integrated phasing engines, the panel-adaptive candidate-set sizing, the multi-chromosome single-pass workflow, and the panel-format-agnostic input (BCF, VCF, BREF3) with multi-format output. GLIMPSE2</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2</w:t>
      </w:r>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16</w:t>
      </w:r>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in favour of Selphi 2 regardless of which tool produced the phasing.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 a small gain on common variants offset by a loss at the rarest bin — so a panel’s published phasing is best retained.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-0.006 to -0.009</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 0.9588 from the no-call fix, then →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main panel benchmarks are restricted to chromosomes 1, 21, and 22 (the largest, the smallest, and a representative mid-sized chromosome); the panel-adaptive rule’s behavior on shorter chromosomes and on the X chromosome under sex-aware phasing remains to be characterized in a dedicated whole-genome study.</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14</w:t>
      </w:r>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r>
        <w:rPr>
          <w:rFonts w:ascii="Times New Roman" w:hAnsi="Times New Roman" w:cs="Times New Roman" w:eastAsia="Times New Roman"/>
        </w:rPr>
        <w:t xml:space="preserve"> </w:t>
      </w:r>
      <w:r>
        <w:rPr>
          <w:rFonts w:ascii="Times New Roman" w:hAnsi="Times New Roman" w:cs="Times New Roman" w:eastAsia="Times New Roman"/>
          <w:vertAlign w:val="superscript"/>
        </w:rPr>
        <w:t xml:space="preserve">15</w:t>
      </w:r>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The repository provides the source, a self-contained statically compiled binary, documentation, and the reference-panel preparation utilities required to reproduce the analyses in this work. [Repository URL and archival DOI to be finalized at acceptance.]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p>
    <w:p>
      <w:pPr>
        <w:pStyle w:val="Compact"/>
        <w:numPr>
          <w:ilvl w:val="0"/>
          <w:numId w:val="1001"/>
        </w:numPr>
        <w:jc w:val="both"/>
      </w:pPr>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2023;55(7):1088-1096.</w:t>
      </w:r>
    </w:p>
    <w:p>
      <w:pPr>
        <w:pStyle w:val="Compact"/>
        <w:numPr>
          <w:ilvl w:val="0"/>
          <w:numId w:val="1001"/>
        </w:numPr>
        <w:jc w:val="both"/>
      </w:pPr>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p>
    <w:p>
      <w:pPr>
        <w:pStyle w:val="Compact"/>
        <w:numPr>
          <w:ilvl w:val="0"/>
          <w:numId w:val="1001"/>
        </w:numPr>
        <w:jc w:val="both"/>
      </w:pPr>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p>
    <w:p>
      <w:pPr>
        <w:pStyle w:val="Compact"/>
        <w:numPr>
          <w:ilvl w:val="0"/>
          <w:numId w:val="1001"/>
        </w:numPr>
        <w:jc w:val="both"/>
      </w:pPr>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p>
    <w:p>
      <w:pPr>
        <w:pStyle w:val="Compact"/>
        <w:numPr>
          <w:ilvl w:val="0"/>
          <w:numId w:val="1001"/>
        </w:numPr>
        <w:jc w:val="both"/>
      </w:pPr>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p>
    <w:p>
      <w:pPr>
        <w:pStyle w:val="Compact"/>
        <w:numPr>
          <w:ilvl w:val="0"/>
          <w:numId w:val="1001"/>
        </w:numPr>
        <w:jc w:val="both"/>
      </w:pPr>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p>
    <w:p>
      <w:pPr>
        <w:pStyle w:val="Compact"/>
        <w:numPr>
          <w:ilvl w:val="0"/>
          <w:numId w:val="1001"/>
        </w:numPr>
        <w:jc w:val="both"/>
      </w:pPr>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p>
    <w:p>
      <w:pPr>
        <w:pStyle w:val="Compact"/>
        <w:numPr>
          <w:ilvl w:val="0"/>
          <w:numId w:val="1001"/>
        </w:numPr>
        <w:jc w:val="both"/>
      </w:pPr>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p>
    <w:p>
      <w:pPr>
        <w:pStyle w:val="Compact"/>
        <w:numPr>
          <w:ilvl w:val="0"/>
          <w:numId w:val="1001"/>
        </w:numPr>
        <w:jc w:val="both"/>
      </w:pPr>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p>
    <w:p>
      <w:pPr>
        <w:pStyle w:val="Compact"/>
        <w:numPr>
          <w:ilvl w:val="0"/>
          <w:numId w:val="1001"/>
        </w:numPr>
        <w:jc w:val="both"/>
      </w:pPr>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p>
    <w:p>
      <w:pPr>
        <w:pStyle w:val="Compact"/>
        <w:numPr>
          <w:ilvl w:val="0"/>
          <w:numId w:val="1001"/>
        </w:numPr>
        <w:jc w:val="both"/>
      </w:pPr>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p>
    <w:p>
      <w:pPr>
        <w:pStyle w:val="Compact"/>
        <w:numPr>
          <w:ilvl w:val="0"/>
          <w:numId w:val="1001"/>
        </w:numPr>
        <w:jc w:val="both"/>
      </w:pPr>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p>
    <w:p>
      <w:pPr>
        <w:pStyle w:val="Compact"/>
        <w:numPr>
          <w:ilvl w:val="0"/>
          <w:numId w:val="1001"/>
        </w:numPr>
        <w:jc w:val="both"/>
      </w:pPr>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p>
    <w:p>
      <w:pPr>
        <w:pStyle w:val="Compact"/>
        <w:numPr>
          <w:ilvl w:val="0"/>
          <w:numId w:val="1001"/>
        </w:numPr>
        <w:jc w:val="both"/>
      </w:pPr>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p>
    <w:p>
      <w:pPr>
        <w:pStyle w:val="Compact"/>
        <w:numPr>
          <w:ilvl w:val="0"/>
          <w:numId w:val="1001"/>
        </w:numPr>
        <w:jc w:val="both"/>
      </w:pPr>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2026;17:524.</w:t>
      </w:r>
    </w:p>
    <w:p>
      <w:pPr>
        <w:pStyle w:val="Compact"/>
        <w:numPr>
          <w:ilvl w:val="0"/>
          <w:numId w:val="1001"/>
        </w:numPr>
        <w:jc w:val="both"/>
      </w:pPr>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p>
    <w:p>
      <w:pPr>
        <w:pStyle w:val="Compact"/>
        <w:numPr>
          <w:ilvl w:val="0"/>
          <w:numId w:val="1001"/>
        </w:numPr>
        <w:jc w:val="both"/>
      </w:pPr>
      <w:r>
        <w:rPr>
          <w:rFonts w:ascii="Times New Roman" w:hAnsi="Times New Roman" w:cs="Times New Roman" w:eastAsia="Times New Roman"/>
        </w:rPr>
        <w:t xml:space="preserve">Stone N, Matsakis N. Rayon: a data parallelism library for Rust. https://github.com/rayon-rs/rayon (accessed 2026).</w:t>
      </w:r>
    </w:p>
    <w:p>
      <w:pPr>
        <w:pStyle w:val="Compact"/>
        <w:numPr>
          <w:ilvl w:val="0"/>
          <w:numId w:val="1001"/>
        </w:numPr>
        <w:jc w:val="both"/>
      </w:pPr>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p>
    <w:p>
      <w:pPr>
        <w:pStyle w:val="Compact"/>
        <w:numPr>
          <w:ilvl w:val="0"/>
          <w:numId w:val="1001"/>
        </w:numPr>
        <w:jc w:val="both"/>
      </w:pPr>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p>
    <w:p>
      <w:pPr>
        <w:pStyle w:val="Compact"/>
        <w:numPr>
          <w:ilvl w:val="0"/>
          <w:numId w:val="1001"/>
        </w:numPr>
        <w:jc w:val="both"/>
      </w:pPr>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p>
    <w:p>
      <w:pPr>
        <w:pStyle w:val="Compact"/>
        <w:numPr>
          <w:ilvl w:val="0"/>
          <w:numId w:val="1001"/>
        </w:numPr>
        <w:jc w:val="both"/>
      </w:pPr>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p>
    <w:p>
      <w:pPr>
        <w:pStyle w:val="Compact"/>
        <w:numPr>
          <w:ilvl w:val="0"/>
          <w:numId w:val="1001"/>
        </w:numPr>
        <w:jc w:val="both"/>
      </w:pPr>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p>
    <w:p>
      <w:pPr>
        <w:pStyle w:val="Compact"/>
        <w:numPr>
          <w:ilvl w:val="0"/>
          <w:numId w:val="1001"/>
        </w:numPr>
        <w:jc w:val="both"/>
      </w:pPr>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p>
    <w:p>
      <w:pPr>
        <w:pStyle w:val="Compact"/>
        <w:numPr>
          <w:ilvl w:val="0"/>
          <w:numId w:val="1001"/>
        </w:numPr>
        <w:jc w:val="both"/>
      </w:pPr>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p>
    <w:p>
      <w:pPr>
        <w:pStyle w:val="Compact"/>
        <w:numPr>
          <w:ilvl w:val="0"/>
          <w:numId w:val="1001"/>
        </w:numPr>
        <w:jc w:val="both"/>
      </w:pPr>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p>
    <w:p>
      <w:pPr>
        <w:pStyle w:val="Compact"/>
        <w:numPr>
          <w:ilvl w:val="0"/>
          <w:numId w:val="1001"/>
        </w:numPr>
        <w:jc w:val="both"/>
      </w:pPr>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p>
    <w:p>
      <w:pPr>
        <w:pStyle w:val="Compact"/>
        <w:numPr>
          <w:ilvl w:val="0"/>
          <w:numId w:val="1001"/>
        </w:numPr>
        <w:jc w:val="both"/>
      </w:pPr>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9" Type="http://schemas.openxmlformats.org/officeDocument/2006/relationships/image" Target="media/rId29.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2026-07-01T05:08:41Z</dcterms:created>
  <dcterms:modified xsi:type="dcterms:W3CDTF">2026-07-01T05:08:41Z</dcterms:modified>
</cp:coreProperties>
</file>

<file path=docProps/custom.xml><?xml version="1.0" encoding="utf-8"?>
<Properties xmlns="http://schemas.openxmlformats.org/officeDocument/2006/custom-properties" xmlns:vt="http://schemas.openxmlformats.org/officeDocument/2006/docPropsVTypes"/>
</file>