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(101 versus 334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six of six samples (0.9501 versus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61% of Beagle's wall time at under a sixth of its peak memory.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infers ungenotyped variants from reference panels of sequenced haplotypes. It extends the variant coverage of array-genotyped and low-coverage sequenced cohorts at a fraction of the cost of deep whole-genome sequencing (WGS), and so underpins genome-wide association studies (GWAS), polygenic risk scores (PRS) and fine-mapping</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Reference panels have grown from thousands to hundreds of thousands of sequenced individuals, and rare and low-frequency variants have gained clinical weight. Two kinds of input now dominate: genotyping arrays, which give confident calls at a fixed set of typed sites, and low-coverage or targeted sequencing, which gives a thin, uneven layer of reads over every site.</w:t>
      </w:r>
    </w:p>
    <w:p>
      <w:pPr>
        <w:pStyle w:val="BodyText"/>
        <w:jc w:val="both"/>
      </w:pPr>
      <w:r>
        <w:rPr>
          <w:rFonts w:ascii="Times New Roman" w:hAnsi="Times New Roman" w:cs="Times New Roman" w:eastAsia="Times New Roman"/>
        </w:rPr>
        <w:t xml:space="preserve">At one or two reads per site, sequencing yields a genotype likelihood rather than a genotype: the reads fit more than one genotype, and their relative support is all the data contain. Calling genotypes first and imputing them as array calls discards that uncertainty, and discards outright the many sites where no call can be made. A likelihood-aware Li and Stephens model instead combines the read evidence at each site with the haplotype prior from the panel, so a single read shifts the posterior without fixing it. Hybridization-capture libraries, which pair deep coverage at the typed sites with a thin off-target background, raise the same problem at mixed depth. The array-equivalent route calls the typed sites, imputes them as a chip and discards the background; a likelihood-aware model uses both layers through one emission model.</w:t>
      </w:r>
    </w:p>
    <w:p>
      <w:pPr>
        <w:pStyle w:val="BodyText"/>
        <w:jc w:val="both"/>
      </w:pPr>
      <w:r>
        <w:rPr>
          <w:rFonts w:ascii="Times New Roman" w:hAnsi="Times New Roman" w:cs="Times New Roman" w:eastAsia="Times New Roman"/>
        </w:rPr>
        <w:t xml:space="preserve">Most imputation methods build on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mosaic of segments copied from panel haplotypes, with switches between them standing in for historical recombination. To find the informative panel haplotypes among tens of thousands, current tools use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Three tools are in wide use.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selects haplotypes with the PBWT and scales sub-linearly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(here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the Michigan and TOPMed imputation servers with low memory. All three impute common variants accurately; they differ in rare-variant handling, memory use and integration with phasing.</w:t>
      </w:r>
    </w:p>
    <w:p>
      <w:pPr>
        <w:pStyle w:val="BodyText"/>
        <w:jc w:val="both"/>
      </w:pPr>
      <w:r>
        <w:rPr>
          <w:rFonts w:ascii="Times New Roman" w:hAnsi="Times New Roman" w:cs="Times New Roman" w:eastAsia="Times New Roman"/>
        </w:rPr>
        <w:t xml:space="preserve">The array workflow is spread across several tools. A typical pipeline phases the target with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an earlier biobank-scale phaser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and imputes it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panel is converted between tool-specific formats (bref3 for Beagle, xcf for IMPUTE5, msav for Minimac4), the genome is split into per-chromosome files, outputs are indexed with bcftools, and results are re-encoded into BCF, Apache Parquet or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by external writers. Each handoff adds intermediate files, shell scripts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phasing and imputation in one Java process, but still one chromosome at a time and with VCF output only.</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addressed a different limitation: the short matching range of the windowed and chunked PBWT scans used by other tools. Selphi 1 ran the PBWT along the whole chromosome and summed match evidence over the full scan, which raised rare-variant accuracy above Beagle 5.4, IMPUTE5 and Minimac4 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It was, however, written in Python with Numba-compiled inner loops, required pre-phased input, processed one chromosome at a time, and capped candidate haplotypes per variant at fixed values that do not scale with panel size.</w:t>
      </w:r>
    </w:p>
    <w:p>
      <w:pPr>
        <w:pStyle w:val="BodyText"/>
        <w:jc w:val="both"/>
      </w:pPr>
      <w:r>
        <w:rPr>
          <w:rFonts w:ascii="Times New Roman" w:hAnsi="Times New Roman" w:cs="Times New Roman" w:eastAsia="Times New Roman"/>
        </w:rPr>
        <w:t xml:space="preserve">Other recent methods address parts of the problem.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reduced rare-variant switch error in large cohorts by phasing in two passes: a backbone of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with a compact panel representation: dense bitmaps for frequent alleles and carrier lists for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to multi-symbol matching for diverse sequencing technologies. GLIMPSE2 and QUILT2 both target genomes sequenced at uniformly low depth. None of these tools combines phasing, imputation, panel preparation, indexing and multi-format output in one executable, and none imputes a whole genome in one process against one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imputes from Phred-scaled likelihoods or directly from aligned reads with a native pileup. The same binary contains a reimplementation of the Selphi array pipeline. It keeps Selphi 1's long-range, match-accumulating PBWT selection but runs it in large overlapping windows (default 80 cM) rather than one whole-chromosome pass, which removes Selphi 1's main runtime bottleneck. Two phasing engines are built in: a diploid genotype-graph engine with MCMC sampling, the default for all inputs, and a haploid composite-HMM engine for chip arrays; pre-phased input is not required. A whole genome is imputed with one command against one multi-chromosome panel file, and the next chromosome is prefetched while the current one is in the HMM, so no per-chromosome splitting or concatenation is needed. The number of panel haplotypes kept per target follows from panel size and haplotype diversity; on admixed cohorts imputed against biobank-scale panels this retains rare-allele carriers from minority ancestries that a fixed candidate-set size drops. A streaming sparse panel format keeps peak memory below 500 MB during panel construction regardless of panel size, and the Rust code reduces wall time and peak memory relative to Selphi 1 (Results). One interpolation pass writes any of five formats: VCF.gz, BCF 2.2, Apache Parquet, PLINK2 PGEN with dosage, and SelfDecode per-sample Parquet archives. Figure 1 summarises the pipeline.</w:t>
      </w:r>
    </w:p>
    <w:p>
      <w:pPr>
        <w:pStyle w:val="BodyText"/>
        <w:jc w:val="both"/>
      </w:pPr>
      <w:r>
        <w:rPr>
          <w:rFonts w:ascii="Times New Roman" w:hAnsi="Times New Roman" w:cs="Times New Roman" w:eastAsia="Times New Roman"/>
        </w:rPr>
        <w:t xml:space="preserve">We describe the algorithms (Methods) and then benchmark the likelihood engine on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We then compare the array pipeline's accuracy and resource use with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and its phasing accuracy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1000 Genomes trios (Results).</w:t>
      </w:r>
    </w:p>
    <w:p>
      <w:pPr>
        <w:pStyle w:val="BodyText"/>
        <w:jc w:val="center"/>
      </w:pPr>
      <w:r>
        <w:rPr>
          <w:rFonts w:ascii="Times New Roman" w:hAnsi="Times New Roman" w:cs="Times New Roman" w:eastAsia="Times New Roman"/>
        </w:rPr>
        <w:drawing>
          <wp:inline>
            <wp:extent cx="5334000" cy="5826506"/>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50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the second pass weighting neighbours by PBWT match length so that a singleton is placed on the haplotype with the shorter match.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a single self-contained Rust binary. Compression libraries, format encoders (VCF, BCF, Parquet, PGEN) and index builders (TBI, CSI) are built in, and no external tool is called at run time. Parallelism uses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fixed-seed iteration orders, so output is bit-identical across runs on the same hardware. The inner loops of the haploid and diploid HMMs are SIMD-vectorised for x86-64 and ARM, and a run-time CPU check selects the kernel.</w:t>
      </w:r>
    </w:p>
    <w:p>
      <w:pPr>
        <w:pStyle w:val="BodyText"/>
        <w:jc w:val="both"/>
      </w:pPr>
      <w:r>
        <w:rPr>
          <w:rFonts w:ascii="Times New Roman" w:hAnsi="Times New Roman" w:cs="Times New Roman" w:eastAsia="Times New Roman"/>
        </w:rPr>
        <w:t xml:space="preserve">The pipeline accepts unphased or phased VCF/BCF input, phases the target if needed, imputes against the panel and writes one or more output formats at once. Phased haplotypes pass to the imputation engine in memory, with no intermediate files. Memory use is estimated at startup from the panel dimensions and thread count, with a warning if it exceeds available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has two phasing engines. The diploid engine is the default for all inputs: across our benchmarks it matches or exceeds the haploid engine on SNP accuracy, has equal or lower switch error, and phases the trio benchmark several times faster (Discussion). The haploid composite-HMM engine, designed for chip arrays, remains available as an option. Missing target genotypes, typically 1-2% of sites per sample on an array, are carried through both engines as missing and imputed from the surrounding haplotypes by a local copying consensus: the majority allele among the nearest neighbours in a positional-BWT sweep over the target and panel haplotypes. Setting them to the reference allele instead conditions the phasing scaffold on false homozygous-reference calls, which lowers downstream accuracy directly and by biasing the imputer's choice of panel haplotypes toward the reference allele at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engine models each haplotype separately through a composite HMM with a greedy swap criterion, following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It runs 15 iterations: 3 burn-in iterations with fixed phase, then 12 phasing iterations whose likelihood-ratio threshold falls from 100,000 to 1.0.</w:t>
      </w:r>
    </w:p>
    <w:p>
      <w:pPr>
        <w:pStyle w:val="BodyText"/>
        <w:jc w:val="both"/>
      </w:pPr>
      <w:r>
        <w:rPr>
          <w:rFonts w:ascii="Times New Roman" w:hAnsi="Times New Roman" w:cs="Times New Roman" w:eastAsia="Times New Roman"/>
        </w:rPr>
        <w:t xml:space="preserve">Each iteration builds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combined panel and target haplotypes at the shared variants. Steps are fixed genetic-distance intervals on an adaptive scale: fine (scale 1.0, about 10 SNPs per step) in early iterations, when phase is uncertain, and coarse (scale 3.0, about 30 SNPs per step) later, once the scaffold is established. This resembles SHAPEIT5's common-then-rare strategy</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within one iterative scheme rather than separate stages.</w:t>
      </w:r>
    </w:p>
    <w:p>
      <w:pPr>
        <w:pStyle w:val="BodyText"/>
        <w:jc w:val="both"/>
      </w:pPr>
      <w:r>
        <w:rPr>
          <w:rFonts w:ascii="Times New Roman" w:hAnsi="Times New Roman" w:cs="Times New Roman" w:eastAsia="Times New Roman"/>
        </w:rPr>
        <w:t xml:space="preserve">Within each iteration a composite HMM runs three parallel channels for alternative haplotype configurations. At each heterozygous site a greedy swap compares the forward-backward posteriors of the channels and is accepted if the likelihood ratio exceeds the current threshold, which falls across iterations in the manner of simulated annealing.</w:t>
      </w:r>
    </w:p>
    <w:p>
      <w:pPr>
        <w:pStyle w:val="BodyText"/>
        <w:jc w:val="both"/>
      </w:pPr>
      <w:r>
        <w:rPr>
          <w:rFonts w:ascii="Times New Roman" w:hAnsi="Times New Roman" w:cs="Times New Roman" w:eastAsia="Times New Roman"/>
        </w:rPr>
        <w:t xml:space="preserve">For rare variants, carrier injection keeps rare-allele carriers in the matching: when the best identity-by-state (IBS) match at a position lacks the target's rare allele, it is replaced by the carrier that best matches the target by IBS over 30 flanking variants on each side. This prevents rare alleles from being lost at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two haplotypes jointly through a genotype graph, following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local diplotype configurations as 64-bit bitmasks. A segment-based Li-Stephens HMM computes diplotype transitions across conditioning haplotypes chosen by positional PBWT; their number can be capped for speed (default: unlimited).</w:t>
      </w:r>
    </w:p>
    <w:p>
      <w:pPr>
        <w:pStyle w:val="BodyText"/>
        <w:jc w:val="both"/>
      </w:pPr>
      <w:r>
        <w:rPr>
          <w:rFonts w:ascii="Times New Roman" w:hAnsi="Times New Roman" w:cs="Times New Roman" w:eastAsia="Times New Roman"/>
        </w:rPr>
        <w:t xml:space="preserve">Phase is sampled by MCMC on the genotype graph over 15 iterations in the scheme 5b,1p,1b,1p,1b,1p,5m (5 burn-in, 3 interleaved prune and burn-in cycles, 5 main), followed by a final Viterbi solve. The forward pass is SIMD-vectorised. This engine phases common variants only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which integrates over phase uncertainty for one extra imputation pass and no extra phasing. Each main MCMC iteration draws a complete diplotype configuration, a sample from the phase posterior that the chain would otherwise discard in favour of the final Viterbi solve. The Viterbi solve and a thinned subset of these samples are kept as N phase members (default N = 2) from the one chain. Each member is carried through rare-variant phasing and imputation, and the per-haplotype Li-Stephens copying weights are averaged across members before interpolation. Because the dosage is linear in those weights (dosage = Σ w · panel allele, normalised by Σ w), the averaged weights give the members' mean dosage. The identity is exact up to the per-row sparsity threshold on the weights, whose effect we measured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22. The cost is one phasing plus N imputation passes, with the panel read and interpolation shared, rather than the N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0.002. The ensemble is off (N = 1)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because its greedy swap converges to one solution rather than sampling a posterior.</w:t>
      </w:r>
    </w:p>
    <w:p>
      <w:pPr>
        <w:pStyle w:val="BodyText"/>
        <w:jc w:val="both"/>
      </w:pPr>
      <w:r>
        <w:rPr>
          <w:rFonts w:ascii="Times New Roman" w:hAnsi="Times New Roman" w:cs="Times New Roman" w:eastAsia="Times New Roman"/>
        </w:rPr>
        <w:t xml:space="preserve">During burn-in the effective population size (</w:t>
      </w:r>
      <m:oMath>
        <m:sSub>
          <m:e>
            <m:r>
              <m:t>N</m:t>
            </m:r>
          </m:e>
          <m:sub>
            <m:r>
              <m:t>e</m:t>
            </m:r>
          </m:sub>
        </m:sSub>
      </m:oMath>
      <w:r>
        <w:rPr>
          <w:rFonts w:ascii="Times New Roman" w:hAnsi="Times New Roman" w:cs="Times New Roman" w:eastAsia="Times New Roman"/>
        </w:rPr>
        <w:t xml:space="preserve">) is re-estimated from the genotype graphs by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overshoots and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For array targets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constant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for targets at whole-genome density (at least 1,000 scaffold sites per Mb), including the trio benchmark, it is a flat</w:t>
      </w:r>
      <w:r>
        <w:rPr>
          <w:rFonts w:ascii="Times New Roman" w:hAnsi="Times New Roman" w:cs="Times New Roman" w:eastAsia="Times New Roman"/>
        </w:rPr>
        <w:t xml:space="preserve"> </w:t>
      </w:r>
      <m:oMath>
        <m:sSup>
          <m:e>
            <m:r>
              <m:t>10</m:t>
            </m:r>
          </m:e>
          <m:sup>
            <m:r>
              <m:t>6</m:t>
            </m:r>
          </m:sup>
        </m:sSup>
      </m:oMath>
      <w:r>
        <w:rPr>
          <w:rFonts w:ascii="Times New Roman" w:hAnsi="Times New Roman" w:cs="Times New Roman" w:eastAsia="Times New Roman"/>
        </w:rPr>
        <w:t xml:space="preserve">, because the scaled bound raised switch error on dense data. An update is applied only if it changes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outside the common-variant scaffold, are phased in a PBWT-based pass over the target haplotypes and, when supplied, the reference panel; panel phasing, with no external panel, uses the cohort alone. This common-then-rare split follows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uses the cohort only.</w:t>
      </w:r>
    </w:p>
    <w:p>
      <w:pPr>
        <w:pStyle w:val="BodyText"/>
        <w:jc w:val="both"/>
      </w:pPr>
      <w:r>
        <w:rPr>
          <w:rFonts w:ascii="Times New Roman" w:hAnsi="Times New Roman" w:cs="Times New Roman" w:eastAsia="Times New Roman"/>
        </w:rPr>
        <w:t xml:space="preserve">The pass has three steps. First, an IBD2 scan finds sample pairs that share both haplotypes identical by 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using a diploid PBWT on genotype sums (0/1/2) and requiring segments of at least 2.5 cM, 1 Mb and 100 scaffold sites. These pairs are excluded as each other's PBWT neighbours, since their haplotypes cannot resolve phase at heterozygous sites they share.</w:t>
      </w:r>
    </w:p>
    <w:p>
      <w:pPr>
        <w:pStyle w:val="BodyText"/>
        <w:jc w:val="both"/>
      </w:pPr>
      <w:r>
        <w:rPr>
          <w:rFonts w:ascii="Times New Roman" w:hAnsi="Times New Roman" w:cs="Times New Roman" w:eastAsia="Times New Roman"/>
        </w:rPr>
        <w:t xml:space="preserve">Second, a scaffold bitmatrix is built at scaffold sites from the target and, when present, the panel haplotypes, excluding sites with more than 10% missing data. A forward PBWT sweep visits all variants in physical order. At scaffold sites it updates the PBWT arrays (permutation A, divergence C, reverse lookup R); at rare heterozygous sites it phases by a two-pass vote. In the threshold pass the two PBWT neighbours of each target haplotype vote on the phase; if the net vote exceeds a threshold that falls from 2.5 to 1.0, the phase is assigned and the carrier joins later decisions. In the distance pass, sites still unphased are decided by votes weighted by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need no special rule. No PBWT neighbour carries the allele, so the threshold pass casts no vote and the distance pass places the allele on the haplotype with the shorter PBWT match to its neighbours. This is the direction of SHAPEIT5's coalescent argument for singletons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that a recent allele sits on the more recently diverged haplotype, here derived from PBWT divergence rather than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With a pedigree (PLINK PED format), Mendelian logic is applied to the genotypes before phasing. For each trio or duo the algorithm considers the nine combinations of parental genotype sums at each variant. A missing child genotype is filled when both parents are homozygous. When the child is heterozygous and at least one parent homozygous, the Mendelian phase is written to the input; by default the HMM then re-derives the phase at every heterozygous site, so this orientation initialises the sampler rather than constraining it. Fixing those sites as a scaffold, as SHAPEIT5 does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but not the default. On 54 trios genotyped at 9,283 array sites it lowered imputation R², even though the fixed phase agreed with the children's sequenced haplotypes at 99.95% of sites: fixing four heterozygous sites in five lets genotype-graph segments grow to their length limit and removes the segment boundaries where the copying model can switch haplotype. Mendelian inconsistencies (for example a heterozygous child of two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Without an external panel, the same engines can phase a cohort against itself in one command. The cohort haplotypes serve as both target and conditioning set, with the diploid engine unless the haploid one is requested. Output is a phased VCF/BCF and, optionally, an SRP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use as a reference panel. If the cohort does not fit in RAM, the genome is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Imputation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that works directly on the panel bitmatrix (1 bit per allele, packed in 64-bit words). At each step boundary, set from genetic-map positions about 0.05 cM apart, haplotypes are grouped by their allele sequence within the step, 64 haplotypes per word operation. Steps of at most 40 SNPs are coded exactly as a 64-bit shift register over their alleles; longer steps are coded by FNV-1a hashing. The resulting coded-step partitions are the basis for selecting candidate haplotypes.</w:t>
      </w:r>
    </w:p>
    <w:p>
      <w:pPr>
        <w:pStyle w:val="BodyText"/>
        <w:jc w:val="both"/>
      </w:pPr>
      <w:r>
        <w:rPr>
          <w:rFonts w:ascii="Times New Roman" w:hAnsi="Times New Roman" w:cs="Times New Roman" w:eastAsia="Times New Roman"/>
        </w:rPr>
        <w:t xml:space="preserve">For each target haplotype, candidates are chosen by how often they share the target's coded-step partition. The number kept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from panel size and diversity, as described next. Per-thread workspaces (permutation and divergence arrays) are allocated once and reused for every target on that thread. When the panel is large relative to the batch, the panel sort is shared by groups of targets and each target only scans the shared order for its neighbours. A target carrying the majority allele at a site visits only the minority-allele positions of its match block, located through a per-site index and block maxima of the divergence array. The matches found, and hence the output, are unchanged (byte-identical), and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the run time fell from 10,767 to 9,047 s.</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Candidates are filtered twice before the HMM. Those below the 10th percentile of occurrence across step partitions are removed, and those covering more than 95% of positions have their gaps filled, so that otherwise consistent matches are not truncated. Panel haplotypes identical at the shared positions are then merged (haplotype deduplication), which removes 10-50% of HMM states depending on the panel and region.</w:t>
      </w:r>
    </w:p>
    <w:p>
      <w:pPr>
        <w:pStyle w:val="BodyText"/>
        <w:jc w:val="both"/>
      </w:pPr>
      <w:r>
        <w:rPr>
          <w:rFonts w:ascii="Times New Roman" w:hAnsi="Times New Roman" w:cs="Times New Roman" w:eastAsia="Times New Roman"/>
        </w:rPr>
        <w:t xml:space="preserve">A reduced array of the candidates plus the target is built, and a forward-backward pass is run on it. Hidden-state vectors are 32-bit floats, for twice the cache density and SIMD throughput; per-site recombination probabilities and per-row normalisation sums are computed in 64-bit for numerical stability. The backward pass is streamed: each backward row is multiplied into the stored forward row as soon as it is computed, so only two backward rows are held at a time instead of a full site-by-state matrix. The per-site recombination probability follows the standard Li-Stephens form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cM,</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number of candidate haplotypes. Existing tools use one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that does not scale with panel size; Beagle, for example, defaults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in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The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however, grows with the panel. In a larger panel, PBWT-selected candidates match the target more closely and share shorter identity-by-descent segments with it, so the HMM must switch between candidates more often to follow the mosaic, which needs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therefore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as a linear function of the total number of panel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 not the number of candidates. The slope was fitted by maximising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three panels spanning two orders of magnitude: 1000 Genomes Phase 3 (4,802 haplotypes;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≈2,750,000) and TOPMed (171,054 haplotypes; ≈6,200,000). The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held across these panels despite their different composition (a global multi-ethnic panel, a UK Biobank composite and a multi-ethnic clinical cohort). A per-MAF sweep on the current implementation (Supplementary Table S12) confirms the optimum and shows its structure: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peaks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prefer a lower value (≈50,000) and common variants a higher one (≈350,000). The formula balances a real trade-off between rare and common variants.</w:t>
      </w:r>
    </w:p>
    <w:p>
      <w:pPr>
        <w:pStyle w:val="BodyText"/>
        <w:jc w:val="both"/>
      </w:pP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further adjusted per site by MAF: it is</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and ramps linearly in between. With the haploid phasing engine,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during phasing replaces this scheme in the imputation HMM unless disabled; with the default diploid engine the scheme applies as written.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to reproduce earlier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kept conditioning haplotypes with fixed per-variant match caps that did not depend on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sizes the per-target candidate set (</w:t>
      </w:r>
      <m:oMath>
        <m:sSub>
          <m:e>
            <m:r>
              <m:t>m</m:t>
            </m:r>
          </m:e>
          <m:sub>
            <m:r>
              <m:t>c</m:t>
            </m:r>
          </m:sub>
        </m:sSub>
      </m:oMath>
      <w:r>
        <w:rPr>
          <w:rFonts w:ascii="Times New Roman" w:hAnsi="Times New Roman" w:cs="Times New Roman" w:eastAsia="Times New Roman"/>
        </w:rPr>
        <w:t xml:space="preserve">) from panel size and diversity instead.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truncates panels at rates that differ by two orders of magnitude: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keeps 50% of a 5,000-haplotype panel but 1.5% of a 171,054-haplotype panel. In the second case the top candidates are dominated by the panel's majority ancestry, rare-variant carriers from minority sub-populations are excluded, and admixed cohorts lose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low frequencies.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coefficient of variation of compressed tile sizes in the SRP, computed once when the panel is loaded.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stands in for haplotype diversity: panels with several distinct mosaic structures (multiple ancestries, divergent sub-populations) compress less uniformly than homogeneous ones and give a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saves time and memory only on biobank-scale panels. On a small panel it discards rare-allele carriers for no computational gain, and the diversity-coupled fraction can return only part of the panel (on a low-CV panel it falls to the floor). We therefore keep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up to 16,000 haplotypes (≈8,000 samples), and apply</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cap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only above that size. The threshold lies above 1000-Genomes-scale panels, below biobank panels (HRC ≈ 65,000, TOPMed ≈ 171,000 haplotypes), and near the size at which accuracy saturates. It matters most for ancestries absent from the panel. For HGDP individuals imputed against a 1000 Genomes panel, the formula alone gives the 2,500 floor (39% of the 6,332-haplotype panel), which drops rare-allele carriers and inverts the rare-variant ranking against Beagle 5.5; with the full panel Selphi 2 leads at every frequency (Results, Out-of-panel generalization). On the panels evaluated here the rule keeps all 4,802 haplotypes of 1000 Genomes Phase 3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of TOPMed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--max-candidates</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HMM posterior weights are stored as sparse CSR matrices (one row per chip variant, one column per panel 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 (chip) positions, dosages at panel-only positions are computed by linear interpolation of the HMM haplotype weights, as is standard</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panel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allele there. Panel alleles at imputed positions are read from the tiled SRP format (below), with preloaded stripe batches overlapping I/O with the HMM.</w:t>
      </w:r>
    </w:p>
    <w:p>
      <w:pPr>
        <w:pStyle w:val="BodyText"/>
        <w:jc w:val="both"/>
      </w:pPr>
      <w:r>
        <w:rPr>
          <w:rFonts w:ascii="Times New Roman" w:hAnsi="Times New Roman" w:cs="Times New Roman" w:eastAsia="Times New Roman"/>
        </w:rPr>
        <w:t xml:space="preserve">Interpolation works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each core's L2 cache. Each tile's dosages are formatted to all active output formats as soon as they are computed and the tile is then freed, so interpolated dosages never accumulate over a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a numerically stable two-pass computation:</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alternate-allele frequency and var(dosage) the mean squared deviation from the mean, avoiding the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VCF formatting performs no floating-point-to-string conversion. Dosages are quantised to the emitted precision (three decimals for DS, two for AP), and the quantised values index byte-string lookup tables built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writes a whole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with one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Every sample at every variant takes this path, so formatting cost per sample is constant.</w:t>
      </w:r>
    </w:p>
    <w:p>
      <w:pPr>
        <w:pStyle w:val="BodyText"/>
        <w:jc w:val="both"/>
      </w:pPr>
      <w:r>
        <w:rPr>
          <w:rFonts w:ascii="Times New Roman" w:hAnsi="Times New Roman" w:cs="Times New Roman" w:eastAsia="Times New Roman"/>
        </w:rPr>
        <w:t xml:space="preserve">One interpolation pass writes up to five formats: VCF.gz (multi-threaded BGZF),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columns),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fixed-width records with 2-bit hard calls and 16-bit unphased dosage) and SelfDecode format (per-sample chunked Parquet in a ZIP archive). VCF/BCF output goes through a dedicated writer thread on a bounded channel, so interpolation and I/O proceed independently; the channel holds 16 blocks below 1,000 samples and 4 at or above, because one block at biobank scale is hundreds of megabytes of text. All formats use the same two-pass DR2 computation.</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pipeline above is built for arrays, whose input is confident hard calls at chip sites. Low-coverage whole-genome sequencing (lcWGS) poses a different problem. At 0.5-4</w:t>
      </w:r>
      <m:oMath>
        <m:r>
          <m:rPr>
            <m:sty m:val="p"/>
          </m:rPr>
          <m:t>×</m:t>
        </m:r>
      </m:oMath>
      <w:r>
        <w:rPr>
          <w:rFonts w:ascii="Times New Roman" w:hAnsi="Times New Roman" w:cs="Times New Roman" w:eastAsia="Times New Roman"/>
        </w:rPr>
        <w:t xml:space="preserve">, and at the off-target sites of a capture library, most sites carry a soft genotype likelihood (GL) from one or two reads rather than a confident call, while deeply covered sites give near-certain likelihoods through the same model with no special handling. Selphi 2 has a dedicated engine for this,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It reuses the panel format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and replaces the hard-call HMM with a 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showed that this regime is best served by imputing from likelihoods rather than hard calls, and we compare against it in Results.</w:t>
      </w:r>
    </w:p>
    <w:p>
      <w:pPr>
        <w:pStyle w:val="BodyText"/>
        <w:jc w:val="both"/>
      </w:pPr>
      <w:r>
        <w:rPr>
          <w:rFonts w:ascii="Times New Roman" w:hAnsi="Times New Roman" w:cs="Times New Roman" w:eastAsia="Times New Roman"/>
        </w:rPr>
        <w:t xml:space="preserve">The engine reads per-sample Phred-scaled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 sites and converts them to per-haplotype likelihoods through a 256-entry lookup table. Alternatively it computes the likelihoods from aligned reads (BAM or CRAM, one file per sample) in the same process, with no external pileup. For each biallelic panel SNP, the overlapping reads are walked through their CIGAR alignments and each base enters the three genotype likelihoods under the revised MAQ error model of SAMtools/BCFtools</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That model caps base quality by mapping quality and by neighbouring-base quality, and down-weights repeated reads of the same base and strand to account for correlated errors. Reads are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and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The two mates of one fragment sample the same molecule, so overlapping mates are collapsed to one observation per site (agreeing bases keep the higher quality, disagreeing bases are down-weighted). CRAM bases are reconstructed against the supplied reference FASTA, and with a region restriction the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limits decoding to that span.</w:t>
      </w:r>
    </w:p>
    <w:p>
      <w:pPr>
        <w:pStyle w:val="BodyText"/>
        <w:jc w:val="both"/>
      </w:pPr>
      <w:r>
        <w:rPr>
          <w:rFonts w:ascii="Times New Roman" w:hAnsi="Times New Roman" w:cs="Times New Roman" w:eastAsia="Times New Roman"/>
        </w:rPr>
        <w:t xml:space="preserve">Panel sites other than SNPs, where the pileup collects no evidence, are excluded from the native target set and imputed from the haplotype scaffold, as in GLIMPSE2 and on the likelihood-file path restricted to SNPs. Carrying them as flat-likelihood sites instead changes the Table 1b result within noise (+0.184 against +0.190 pp non-reference concordance over GLIMPSE2). At low coverage, per-read indel likelihoods are miscalibrated and degrade nearby SNPs in the joint model. For higher-coverage input, an option builds the local REF and ALT haplotypes of each panel indel and scores every spanning read against both with a pair hidden Markov model (forward algorithm, affine gaps, base-quality emissions, marginalising over alignment), adding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the likelihoods as for a SNP. To check the native pileup against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downsampled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 to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the full-depth calls as truth: the native pileup reached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per allele-frequency bin, against 0.960 from precomputed likelihoods and 0.967 for an equivalent GLIMPSE2 pileup.</w:t>
      </w:r>
    </w:p>
    <w:p>
      <w:pPr>
        <w:pStyle w:val="BodyText"/>
        <w:jc w:val="both"/>
      </w:pPr>
      <w:r>
        <w:rPr>
          <w:rFonts w:ascii="Times New Roman" w:hAnsi="Times New Roman" w:cs="Times New Roman" w:eastAsia="Times New Roman"/>
        </w:rPr>
        <w:t xml:space="preserve">Imputation alternates haplotype selection and a GL-weighted forward-backward in a Gibbs sampler. Each iteration selects a conditioning set of panel haplotypes by sparse PBWT from the currently sampled haplotypes. It then runs a Li-Stephens forward-backward in which each haplotype's emission at a site is conditioned on the partner haplotype's current allele, which splits a diploid sample into two independent copying problems, and samples a new allele per site from the posterior. The selected set is capped at 2,000 haplotypes per sample (</w:t>
      </w:r>
      <w:r>
        <w:rPr>
          <w:rFonts w:ascii="Times New Roman" w:hAnsi="Times New Roman" w:cs="Times New Roman" w:eastAsia="Times New Roman"/>
          <w:rStyle w:val="VerbatimChar"/>
        </w:rPr>
        <w:t xml:space="preserve">LCWGS_KPBWT</w:t>
      </w:r>
      <w:r>
        <w:rPr>
          <w:rFonts w:ascii="Times New Roman" w:hAnsi="Times New Roman" w:cs="Times New Roman" w:eastAsia="Times New Roman"/>
        </w:rPr>
        <w:t xml:space="preserve">). With the default storage-site spacing of 0.002 cM the union of PBWT neighbours over a 16 cM chunk covers nearly the whole panel (5,708 to 6,332 of the 6,332 haplotypes of the coverage-sweep panel; 3,956 to 4,796 of the 4,796 of the capture-library panel). The cap, applied in haplotype-index order, therefore keeps an almost fixed low-index subset, exactly haplotypes 0 to 1,999 in several measured chunks, and the target-specific part of the conditioning set is the per-haplotype rare-carrier augmentation described below. A cap in PBWT match-rank order (</w:t>
      </w:r>
      <w:r>
        <w:rPr>
          <w:rFonts w:ascii="Times New Roman" w:hAnsi="Times New Roman" w:cs="Times New Roman" w:eastAsia="Times New Roman"/>
          <w:rStyle w:val="VerbatimChar"/>
        </w:rPr>
        <w:t xml:space="preserve">LCWGS_QUAL_TRUNC</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g2</w:t>
      </w:r>
      <w:r>
        <w:rPr>
          <w:rFonts w:ascii="Times New Roman" w:hAnsi="Times New Roman" w:cs="Times New Roman" w:eastAsia="Times New Roman"/>
        </w:rPr>
        <w:t xml:space="preserve"> </w:t>
      </w:r>
      <w:r>
        <w:rPr>
          <w:rFonts w:ascii="Times New Roman" w:hAnsi="Times New Roman" w:cs="Times New Roman" w:eastAsia="Times New Roman"/>
        </w:rPr>
        <w:t xml:space="preserve">reproduces GLIMPSE2's order) raised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ultra-rare bin of the coverage sweep from 0.9003 to 0.9059, above GLIMPSE2's 0.9022, on each of three seeds in a separate experiment on the same samples. It lowers the 5-10%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ultra-rare and 1-2% bins at 1</w:t>
      </w:r>
      <m:oMath>
        <m:r>
          <m:rPr>
            <m:sty m:val="p"/>
          </m:rPr>
          <m:t>×</m:t>
        </m:r>
      </m:oMath>
      <w:r>
        <w:rPr>
          <w:rFonts w:ascii="Times New Roman" w:hAnsi="Times New Roman" w:cs="Times New Roman" w:eastAsia="Times New Roman"/>
        </w:rPr>
        <w:t xml:space="preserve">, where the default already leads, so the index-order cap stays the default. Posterior dosages from the post-burn-in iterations are averaged and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The forward-backward uses a leave-one-out emission: the forward emission at each site is divided out of the posterior before the read likelihood and error model are re-applied, so each site's reads count once.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htslib's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(on these libraries all 28,596 tested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It is applied to the reads that bcftools 1.22's partial-realignment heuristic selects: a column triggers realignment on indel or soft-clip evidence, and each read is judged once, at its first triggering column. On the capture libraries 7.6% of reads are realigned. Without BAQ the native pileup trailed the bcftools arm of the head-to-head (Table 1b: +0.125 against +0.197 pp over GLIMPSE2); with BAQ the two are level (+0.190 pp). GLIMPSE2's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Each target sample is imputed independently. Three components run at every Gibbs iteration besides the capped selection above. An eight-founder phasing HMM re-commits phase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t>
      </w:r>
      <w:r>
        <w:rPr>
          <w:rFonts w:ascii="Times New Roman" w:hAnsi="Times New Roman" w:cs="Times New Roman" w:eastAsia="Times New Roman"/>
        </w:rPr>
        <w:t xml:space="preserve">reverts to a heuristic diplotype-mosaic segment commitment). The imputation forward-backward uses a band-mode recombination rate (default; the phasing HMM keeps the conditioning-set-independent rate everywhere). At common sites the rate does not depend on the conditioning-set size, which gives a sticky copying model that carries a panel haplotype across sites with no reads. At rare sites the rate is raised to the per-haplotype panel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switch onto a true rare-allele carrier instead of staying on a flanking non-carrier. This is the change that brings the ultra-rare bin level with or above GLIMPSE2 (Results, Table 2b);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w:t>
      </w:r>
      <w:r>
        <w:rPr>
          <w:rFonts w:ascii="Times New Roman" w:hAnsi="Times New Roman" w:cs="Times New Roman" w:eastAsia="Times New Roman"/>
        </w:rPr>
        <w:t xml:space="preserve">restores the uniform rate. Finally, a rare-carrier augmentation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appends, at each rare site, that site's panel carriers to the conditioning set of every target haplotype currently sampled with the minor allele, so a true carrier becomes copyable once the sampler has tentatively placed the allele. The augmentation is per haplotype, and under the cap the appended carriers rank behind the haplotype's selected states, leaving the common-site copying model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block by block in the backward pass. The number of Gibbs iterations and the cM window size trade accuracy for speed.</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such as the genotype-only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when the alleles file has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read as flat-likelihood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contain only records with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should be used (Limitations).</w:t>
      </w:r>
    </w:p>
    <w:p>
      <w:pPr>
        <w:pStyle w:val="BodyText"/>
        <w:jc w:val="both"/>
      </w:pPr>
      <w:r>
        <w:rPr>
          <w:rFonts w:ascii="Times New Roman" w:hAnsi="Times New Roman" w:cs="Times New Roman" w:eastAsia="Times New Roman"/>
        </w:rPr>
        <w:t xml:space="preserve">To bound memory regardless of chromosome length and panel size, the chromosome is processed in overlapping cM chunks. Each chunk's panel bitmatrix is extracted from the SRP for that chunk's variants and discarded after use, so the full-chromosome bitmatrix never exists. The forward-backward loops over conditioning states use AVX-512, AVX2 or NEON selected at run time, with a scalar fallback; the AVX-512 path loads 16 bit-packed panel alleles directly as a mask register. The selection step accumulates IBS match lengths in a sparse per-target map rather than a dense target</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panel matrix, so its memory does not grow with panel size.</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panel haplotypes as a 2D tiled sparse matrix whose non-zero entries are the alternate alleles, so a site's allele count, and with it whether the site is polymorphic in the panel, is read from the tiles without decoding genotypes. A small header holds the variant list, sample IDs and a tile index.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laid out stripe by stripe (all bands of stripe 0, then stripe 1), so a batch of stripes is read with one pread() call.</w:t>
      </w:r>
    </w:p>
    <w:p>
      <w:pPr>
        <w:pStyle w:val="BodyText"/>
        <w:jc w:val="both"/>
      </w:pPr>
      <w:r>
        <w:rPr>
          <w:rFonts w:ascii="Times New Roman" w:hAnsi="Times New Roman" w:cs="Times New Roman" w:eastAsia="Times New Roman"/>
        </w:rPr>
        <w:t xml:space="preserve">SRP creation is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 by chunk; each chunk is decompressed once and scattered to tile columns in parallel, and finished stripes are written immediately, which keeps peak memory below 500 MB for any panel size. The parallel BCF reader uses the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to split the file into balanced genomic regions across threads. The reverse conversion is also built in: an SRP or BREF3 panel can be decoded to phased VCF or BCF by a streaming three-stage pipeline (panel read, record formatting and BGZF compression on separate threads) with bounded memory. This removes the need for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its intermediate files, and the decode is lossless (Results).</w:t>
      </w:r>
    </w:p>
    <w:p>
      <w:pPr>
        <w:pStyle w:val="BodyText"/>
        <w:jc w:val="both"/>
      </w:pPr>
      <w:r>
        <w:rPr>
          <w:rFonts w:ascii="Times New Roman" w:hAnsi="Times New Roman" w:cs="Times New Roman" w:eastAsia="Times New Roman"/>
        </w:rPr>
        <w:t xml:space="preserve">An SRP can hold one chromosome or many. A multi-chromosome SRP has a global header with a chromosome directory and shared sample IDs, followed by independent per-chromosome tile sections; it is detected automatically. It can be built from a multi-contig BCF, from a directory of per-chromosome BCF files, or by merging single-chromosome SRP files.</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imputes a whole genome with one command against one multi-chromosome SRP.</w:t>
      </w:r>
    </w:p>
    <w:p>
      <w:pPr>
        <w:pStyle w:val="BodyText"/>
        <w:jc w:val="both"/>
      </w:pPr>
      <w:r>
        <w:rPr>
          <w:rFonts w:ascii="Times New Roman" w:hAnsi="Times New Roman" w:cs="Times New Roman" w:eastAsia="Times New Roman"/>
        </w:rPr>
        <w:t xml:space="preserve">The target VCF is read once and split by chromosome in memory. Genetic maps are found in a directory by matching chromosome names against common patterns (chr1.map, chr_1.map, genetic_map_chr1_*, and so on). Chromosomes run in natural sort order, and the next chromosome's panel data is prefetched on a background thread during the current one's HMM, which hides I/O latency at the cost of one chromosome's panel data.</w:t>
      </w:r>
    </w:p>
    <w:p>
      <w:pPr>
        <w:pStyle w:val="BodyText"/>
        <w:jc w:val="both"/>
      </w:pPr>
      <w:r>
        <w:rPr>
          <w:rFonts w:ascii="Times New Roman" w:hAnsi="Times New Roman" w:cs="Times New Roman" w:eastAsia="Times New Roman"/>
        </w:rPr>
        <w:t xml:space="preserve">Output is one VCF/BCF file across all chromosomes, with the per-chromosome BGZF blocks concatenated natively so that block alignment for tabix/CSI indexing is preserved.</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in the HMM transitions are corrected for local linkage disequilibrium (LD)</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Empirical switch rates between consecutive variants in the panel are computed by XOR and popcount on the bitmatrix, normalised by expected heterozygosity, median-filtered, and used to adjust the map distances while preserving total genetic length. This prevents an inflated effective population size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We used six reference panels.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is the 1000 Genomes cohort with all declared trio children and parents removed; it serves the phasing benchmark and the downsampled low-coverage benchmark (Table 2).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genomes, ancestry-balanced by down-sampling the majority European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excludes the MESA study samples, so the 5,000 MESA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serves the capture-library benchmark (Tables 1-1d). It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NA12878, NA12891 and NA12892 removed and alleles longer than 255 bp dropped (1,070,399 chromosome-22 sites: 929,834 SNPs and 140,565 indels, 54,406 of them monomorphic in the retained samples). None of HG002-HG007 is in any panel. A seventh capture library (NA12878) was sequenced on the same design but is not reported, because a possible relative (NA12872) remains in the panel and the version of its truth set is unrecorded. For chromosomes 20, 10 and 1 the panel was further restricted for both tools to sites polymorphic in the retained samples with alleles ≤ 250 bp (chromosome 20: 1,564,145 sites, 1,357,434 SNPs and 206,711 indels); on chromosome 22 only GLIMPSE2 received the polymorphic-site restriction (1,015,993 sites) that its BAM input requires (Limitations).</w:t>
      </w:r>
    </w:p>
    <w:p>
      <w:pPr>
        <w:pStyle w:val="BodyText"/>
        <w:jc w:val="both"/>
      </w:pPr>
      <w:r>
        <w:rPr>
          <w:rFonts w:ascii="Times New Roman" w:hAnsi="Times New Roman" w:cs="Times New Roman" w:eastAsia="Times New Roman"/>
        </w:rPr>
        <w:t xml:space="preserve">As is standard for imputation panels, related individuals were kept. Unlike an association cohort, where cryptic relatedness inflates test statistics, a reference panel gains from related haplotypes: they raise the local minor-allele count available to the copying model and so improve rare-variant accuracy, which is why 1000 Genomes, HRC and TOPMed are distributed without relatedness pruning. Only exact duplicates were removed from the 75,552-haplotype panel. The relatedness that can bias a benchmark is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we control it on the target side. The GIAB and HGDP targets are absent from their panels; the 1000 Genomes targets share haplotypes with the panel by descent, which we state with those results (Results), and for this reason the leak-free GIAB and HGDP results are the decisive accuracy evidence.</w:t>
      </w:r>
    </w:p>
    <w:p>
      <w:pPr>
        <w:pStyle w:val="Heading3"/>
        <w:jc w:val="both"/>
      </w:pPr>
      <w:r>
        <w:rPr>
          <w:rFonts w:ascii="Times New Roman" w:hAnsi="Times New Roman" w:cs="Times New Roman" w:eastAsia="Times New Roman"/>
          <w:b/>
          <w:bCs/>
        </w:rPr>
        <w:t xml:space="preserve">Accuracy evaluation of genotype imputation</w:t>
      </w:r>
    </w:p>
    <w:p>
      <w:pPr>
        <w:pStyle w:val="FirstParagraph"/>
        <w:jc w:val="both"/>
      </w:pPr>
      <w:r>
        <w:rPr>
          <w:rFonts w:ascii="Times New Roman" w:hAnsi="Times New Roman" w:cs="Times New Roman" w:eastAsia="Times New Roman"/>
        </w:rPr>
        <w:t xml:space="preserve">Array-imputation benchmarks were scored with one evaluator (</w:t>
      </w:r>
      <w:r>
        <w:rPr>
          <w:rFonts w:ascii="Times New Roman" w:hAnsi="Times New Roman" w:cs="Times New Roman" w:eastAsia="Times New Roman"/>
          <w:rStyle w:val="VerbatimChar"/>
        </w:rPr>
        <w:t xml:space="preserve">selphi --evaluate</w:t>
      </w:r>
      <w:r>
        <w:rPr>
          <w:rFonts w:ascii="Times New Roman" w:hAnsi="Times New Roman" w:cs="Times New Roman" w:eastAsia="Times New Roman"/>
        </w:rPr>
        <w:t xml:space="preserve">, or the same code inline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--truth</w:t>
      </w:r>
      <w:r>
        <w:rPr>
          <w:rFonts w:ascii="Times New Roman" w:hAnsi="Times New Roman" w:cs="Times New Roman" w:eastAsia="Times New Roman"/>
        </w:rPr>
        <w:t xml:space="preserve">) for every tool in a comparison, on the same sites.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across targets, between imputed dosage and truth genotype at a site, averaged within bins of minor-allele frequency computed from the truth genotypes of the targets. The OVERALL row is the corresponding pooled value over all scored sites.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correlation across sites within one target, averaged over targets. Typed array sites are excluded. A site where the truth varies but a tool's dosage is constant scores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 Treating it as undefined would drop, separately for each tool, exactly the sites that tool failed to impute, so each tool would be scored on a different and flattering site set. Sites monomorphic in the reference panel were excluded from every comparison (</w:t>
      </w:r>
      <w:r>
        <w:rPr>
          <w:rFonts w:ascii="Times New Roman" w:hAnsi="Times New Roman" w:cs="Times New Roman" w:eastAsia="Times New Roman"/>
          <w:rStyle w:val="VerbatimChar"/>
        </w:rPr>
        <w:t xml:space="preserve">--exclude-panel-monomorphic</w:t>
      </w:r>
      <w:r>
        <w:rPr>
          <w:rFonts w:ascii="Times New Roman" w:hAnsi="Times New Roman" w:cs="Times New Roman" w:eastAsia="Times New Roman"/>
        </w:rPr>
        <w:t xml:space="preserve">): their alternate allele exists only in the held-out targets, so no tool can impute them, and when they are counted they fill the 0.1-0.2% bin of the 1000 Genomes benchmarks with zeros. This removes 54,076 of 1,070,401 sites on 1000 Genomes chromosome 22, 6,815,267 of 17.9 million on TOPMed chromosome 20, and no site on the 75,552-haplotype panel. Paired comparisons use per-sample differences, with 95% intervals from 20,000 paired bootstrap resamples and two-sided Wilcoxon signed-rank tests. The low-coverage benchmarks and the consumer arrays are scored as described in their own sections.</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 Table 5) we used six individuals with both a SelfDecode consumer genotyping array (Illumina Global Screening Array, GRCh38) and an independent high-coverage Illumina genome processed with the DRAGEN germline pipeline (GRCh38; ≈30-60</w:t>
      </w:r>
      <m:oMath>
        <m:r>
          <m:rPr>
            <m:sty m:val="p"/>
          </m:rPr>
          <m:t>×</m:t>
        </m:r>
      </m:oMath>
      <w:r>
        <w:rPr>
          <w:rFonts w:ascii="Times New Roman" w:hAnsi="Times New Roman" w:cs="Times New Roman" w:eastAsia="Times New Roman"/>
        </w:rPr>
        <w:t xml:space="preserve">). All six were confirmed absent from the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calls were normalised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GRCh38 and restricted to high-confidence genotypes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about 13% of raw calls on average (9% to 14% per sample; for example 4.98M to 4.34M in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kept many low-confidence calls,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SNPs and indels were both kept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mapped to the panel's variant coordinates: REF, ALT and position were taken from the panel, and the genotype from the array alleles, complementing strands where needed. Homozygous-reference calls, which a naïve TSV-to-VCF conversion leaves with an undefined ALT and drops, were kept explicitly, giving ≈620,000 autosomal SNPs per sample. The six samples were merged and imputed as one cohort.</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cohort was imputed against the 75,552-haplotype panel, with every tool given the same per-chromosome genetic maps. In the "Beagle-phased" rows, Selphi 2 and Selphi 1.5.3 received Beagle's phase-only output as input, which isolates imputation from phasing; the "haploid" and "diploid" rows use Selphi 2's own phasing. Beagle 5.5 (build 03 Oct 2025) ran as a full phase-and-impute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between imputed dosage and truth genotype. The truth genotype is the high-confidence call where one exists. Sites in the raw genome but removed by the confidence filter are excluded rather than counted as homozygous reference; sites absent from the genome are homozygous reference; and the array sites are excluded so that only imputed variants are scored. Reported values are means over the six samples across chromosomes 1-22. Tools are compared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interval from 20,000 paired bootstrap resamples of the six differences, and a two-sided exact Wilcoxon signed-rank test, whose smallest attainable p at n = 6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with baits on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including on-target reads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43-45% of bases fall in GSA ±100 bp windows covering 4.08% of the autosomes. On chromosome 22, 506,862-572,999 of the 929,834 panel SNP sites (54.5-61.6%) carry no read at MAPQ ≥ 20 and base quality ≥ 20. The typed sites are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those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route it to the array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at the panel SNP sites was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ran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in sequence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panel-monomorphic sites (Limitations), so it received the panel restricted to its 1,015,993 polymorphic sites; on chromosomes 20, 10 and 1 both tools used the polymorphic-only panel.</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We used each sample's GIAB v4.2.1 benchmark VCF and high-confidence BED: the per-sample BEDs on chromosome 22, and on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and a site is kept if it lies in the high-confidence BED; a kept site with no truth record is homozygous reference. Sites with a multi-allelic truth or call, or a non-reference truth allele that does not match the panel alleles, are skipped (59-75 per sample), and no-calls are removed from the denominators. Overall concordance is the fraction of sites whose call matches the truth exactly. Non-reference concordance is the fraction of truth heterozygous or homozygous-alternate genotypes recovered exactly; it measures carrier recall and does not penalise false non-reference calls, which appear in heterozygote precision and overall concordance. Heterozygote recall is correct heterozygote calls over truth heterozygotes, and heterozygote precision the same over called heterozygotes. Between 94.4% and 94.8% of sites are homozygous reference in truth, so overall concordance plays the role of the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accompany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 arrays: mean paired difference in percentage points (pp), 95% interval from 20,000 paired bootstrap resamples of the six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p = 0.031 at n = 6). Where only a paired t is given (Table 1d), it is the mean difference over its standard error across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BAM to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ran at their defaults unless noted, with the same per-chromosome genetic maps and the same reference panel as Selphi 2 in each benchmark, and imputed variants were scored on the same site set for all tools compared. Beagle 5.5 (build 03Oct25.f35702) ran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ran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it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(its current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with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and low-coverage imputation with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computed likelihoods from the same BAM files with its own pileup. On the capture libraries (Tables 1b-1d) GLIMPSE2 read the BAM directly and Selphi 2 ran with its native pileup (like-for-like) and from bcftools likelihoods; QUILT2 was not run there. Selphi 1.5.3 ran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These defaults do not disadvantage the comparators. On 1000 Genomes chromosome 22,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in line with the insensitivity to window size its authors report, and the default conditioning and blocking parameters of IMPUTE5 and Minimac4 are those their authors recommend for large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used two low-coverage datasets and kept them separate. The first is real capture-plus-low-pass libraries of six GIAB samples, scored by genotype concordance against a 2,398-sample leak-free panel (Tables 1-1d). The second is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site lists, and their statistics are not interchangeable. We then evaluated genotyping-array imputation against Beagle 5.5 and the original Selphi 1.5.3 on three panels spanning two orders of magnitude: 1000 Genomes Phase 3</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TOPMed Freeze 8</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panel combining 34,582 UK Biobank whole genomes with the full 1000 Genomes cohort (3,194 samples). Targets were unphased unless stated. Tools that require phased input (IMPUTE5, Minimac4, Selphi 1.5.3) received a phased target; on 1000 Genomes and the consumer arrays this was one shared phasing and on MESA an external phasing of the same target.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held-out whole-genome truth with one evaluator for every tool, on the sites polymorphic in the panel, and stratified by the minor allele frequency (MAF) of the truth genotypes (Methods). Selphi 2 and every comparator except Selphi 1.5.3 ran on one 16-thread workstation, timed one job at a time.</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combine deep typed sites with a thin background.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The GSA ±100 bp windows cover 4.08% of the autosomes but hold 43-45% of the bases. On chromosome 22, 506,862-572,999 of the 929,834 panel SNP sites (54.5-61.6%) carry no read at MAPQ ≥ 20 and base quality ≥ 20. These are real libraries with strongly uneven depth, not downsampled genomes, and we use them to test likelihood imputation at mixed depth, the regime of array-plus-low-pass products. The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Each library was processed by two routes through the same binary and panel. The array-equivalent route calls genotypes only at the array sites and imputes them through the standard phase-and-impute path, as for a genotyping array. After dropping no-calls it keeps 8,672-8,721 chromosome-22 sites per sample; at the 8,042-8,320 evaluable typed sites the call rate is 95.6-96.2% and concordance with the GIAB truth 99.57-99.72% (mean 99.66%).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site list (700,109-723,251 untyped sites per sample) against the GIAB v4.2.1 high-confidence truth.</w:t>
      </w:r>
    </w:p>
    <w:p>
      <w:pPr>
        <w:pStyle w:val="BodyText"/>
        <w:jc w:val="both"/>
      </w:pPr>
      <w:r>
        <w:rPr>
          <w:rFonts w:ascii="Times New Roman" w:hAnsi="Times New Roman" w:cs="Times New Roman" w:eastAsia="Times New Roman"/>
        </w:rPr>
        <w:t xml:space="preserve">Imputing from likelihoods transforms the result (Table 1; Figure 2a,b). Non-reference concordance at untyped sites rises from 72.78% to 97.88% (per sample 68.27-75.38% to 97.32-98.17%; mean +25.09 pp, 95% CI +23.23 to +27.18; six of six samples, p = 0.031). Heterozygote recall rises from 57.95% to 97.12% (+39.17 pp, CI +36.61 to +41.86), heterozygote precision from 92.75% to 97.40% (+4.64 pp, CI +4.00 to +5.30), and overall concordance from 98.50% to 99.83% (+1.33 pp). The gain holds in every panel-MAF stratum. Non-reference concordance rises from 74.19% to 98.58% at MAF ≥ 5%, from 65.67% to 95.42% at 0.5-5% and from 54.65% to 86.76% below 0.5%; heterozygote recall rises from 60.34% to 98.27%, 44.00% to 93.03% and 30.85% to 79.87%. The difference is the information the array route discards, the off-target background and the deep flanking coverage, and not tuning of two imputers. The array route's absolute values are specific to this 4,796-haplotype panel.</w:t>
      </w:r>
    </w:p>
    <w:p>
      <w:pPr>
        <w:pStyle w:val="BodyText"/>
        <w:jc w:val="both"/>
      </w:pPr>
      <w:r>
        <w:rPr>
          <w:rFonts w:ascii="Times New Roman" w:hAnsi="Times New Roman" w:cs="Times New Roman" w:eastAsia="Times New Roman"/>
          <w:b/>
          <w:bCs/>
          <w:sz w:val="20"/>
        </w:rPr>
        <w:t xml:space="preserve">Table 1. Genotype-likelihood imputation versus array-equivalent processing of the same capture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143"/>
        <w:gridCol w:w="1361"/>
        <w:gridCol w:w="816"/>
        <w:gridCol w:w="816"/>
        <w:gridCol w:w="816"/>
        <w:gridCol w:w="816"/>
        <w:gridCol w:w="816"/>
        <w:gridCol w:w="1143"/>
        <w:gridCol w:w="817"/>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43"/>
          </w:tcPr>
          <w:p>
            <w:pPr>
              <w:pStyle w:val="Compact"/>
              <w:spacing w:before="0" w:after="0"/>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61"/>
          </w:tcPr>
          <w:p>
            <w:pPr>
              <w:pStyle w:val="Compact"/>
              <w:spacing w:before="0" w:after="0"/>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43"/>
          </w:tcPr>
          <w:p>
            <w:pPr>
              <w:pStyle w:val="Compact"/>
              <w:spacing w:before="0" w:after="0"/>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17"/>
          </w:tcPr>
          <w:p>
            <w:pPr>
              <w:pStyle w:val="Compact"/>
              <w:spacing w:before="0" w:after="0"/>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723,251</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71.44</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98.17</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+26.73</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57.88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97.51</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+39.63</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93.19</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97.75</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713,863</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73.37</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98.10</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+24.74</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61.63</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97.51</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+35.88</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93.07</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97.55</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711,235</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68.27</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+29.59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52.59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97.30</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+44.71</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92.78</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97.23</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700,109</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73.37</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97.71</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+24.34</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58.09</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96.92</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+38.82</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91.77</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97.64</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707,197</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74.86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98.08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+23.21</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55.86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97.09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+41.23</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91.98</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97.24</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706,411</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75.38</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97.32</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+21.95</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61.65</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96.38</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+34.73</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93.74</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96.98</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1143"/>
          </w:tcPr>
          <w:p>
            <w:pPr>
              <w:pStyle w:val="Compact"/>
              <w:spacing w:before="0" w:after="0"/>
              <w:jc w:val="center"/>
            </w:pP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72.78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97.88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+25.09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57.95</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97.12</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+39.17</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92.75</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imputed from the same BAM files against the same leak-free 2,398-sample panel and were scored on identical per-sample site lists: GLIMPSE2's emitted chromosome-22 SNPs inside the high-confidence regions, with 9,018 typed sites excluded (662,250-684,142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ran in two arms: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which is the like-for-like comparison and the result we report for the engine, and bcftools-mpileup likelihoods, which is what a deployed pipeline would produce. Agreement between the two arms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and in heterozygote recall in six of six (96.94% to 97.22%; +0.28 pp, CI +0.16 to +0.45, p = 0.031) (Table 1b; Figure 2c). Heterozygote precision (97.27% to 97.40%; +0.13 pp, CI +0.00 to +0.26) and overall concordance (99.81% to 99.82%; +0.01 pp, CI +0.01 to +0.02) are higher in five of six samples. The bcftools arm gives the same means to within 0.01 pp: non-reference concordance +0.20 pp (97.94%; CI +0.11 to +0.32; six of six), heterozygote recall +0.28 pp (97.22%; six of six) and heterozygote precision +0.13 pp (CI -0.06 to +0.34; four of six). Base alignment quality (BAQ) brings the native pileup to this parity. Without BAQ the like-for-like arm gives +0.13 pp (five of six; CI +0.02 to +0.25; p = 0.094) and +0.01 pp in the rare stratum;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panel MAF, the like-for-like advantage is unanimous at common sites but not consistent per sample below 5% (Table 1c; Figure 2d). At MAF ≥ 5% (79,005-81,576 sites per sample) non-reference concordance is 98.39% for GLIMPSE2 and 98.58% for both Selphi 2 arms (+0.19 pp, CI +0.10 to +0.30, six of six). At 0.5-5% (108,535-112,020 sites) it is 95.15% against 95.33% native and 95.42% bcftools (native +0.18 pp, CI -0.08 to +0.45, four of six). Below 0.5% (474,710-490,546 sites, 71.7% of those evaluated) it is 87.71% against 87.97% and 87.99% (native +0.26 pp, CI -0.03 to +0.60, three of six). Heterozygote recall follows the same pattern. On chromosome 22, then, Selphi 2 leads consistently at common sites; below 5% the mean favours it in both arms, but the intervals include zero and the per-sample ordering varies. The larger chromosomes resolve this stratum (next section).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gives the same picture at chromosome-22 scale.</w:t>
      </w:r>
    </w:p>
    <w:p>
      <w:pPr>
        <w:pStyle w:val="BodyText"/>
        <w:jc w:val="both"/>
      </w:pPr>
      <w:r>
        <w:rPr>
          <w:rFonts w:ascii="Times New Roman" w:hAnsi="Times New Roman" w:cs="Times New Roman" w:eastAsia="Times New Roman"/>
        </w:rPr>
        <w:t xml:space="preserve">The engine is also faster from the BAM. Timed in one session on an idle 16-core host, with GLIMPSE2 timed from chunking through its 16 phased chunks to ligation, one chromosome-22 sample takes 101 s from BAM to imputed output for Selphi 2 (peak memory 4.9 GB) against 334 s for GLIMPSE2 (2.1 GB),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(two repeats each, within 0.7 s). Because each sample is imputed independently, several can share one run. Six libraries take 170 s (28 s per sample; 13.4 GB) against 386 s for GLIMPSE2 (64 s per sample; 8.2 GB), 2.3</w:t>
      </w:r>
      <m:oMath>
        <m:r>
          <m:rPr>
            <m:sty m:val="p"/>
          </m:rPr>
          <m:t>×</m:t>
        </m:r>
      </m:oMath>
      <w:r>
        <w:rPr>
          <w:rFonts w:ascii="Times New Roman" w:hAnsi="Times New Roman" w:cs="Times New Roman" w:eastAsia="Times New Roman"/>
        </w:rPr>
        <w:t xml:space="preserve">; twelve samples (the six libraries plus six relabelled copies, for timing only) take 307 s (26 s per sample; 14.8 GB) against 451 s (38 s per sample; 17.2 GB), 1.5</w:t>
      </w:r>
      <m:oMath>
        <m:r>
          <m:rPr>
            <m:sty m:val="p"/>
          </m:rPr>
          <m:t>×</m:t>
        </m:r>
      </m:oMath>
      <w:r>
        <w:rPr>
          <w:rFonts w:ascii="Times New Roman" w:hAnsi="Times New Roman" w:cs="Times New Roman" w:eastAsia="Times New Roman"/>
        </w:rPr>
        <w:t xml:space="preserve">. At GLIMPSE2's iteration count (20 Gibbs iterations, 5 burn-in and 15 main) the six-sample run takes 75 s (13 s per sample) with unchanged accuracy (+0.20 pp over GLIMPSE2, against +0.19 pp at the default). GLIMPSE2's own accuracy is the same in single- and six-sample runs (difference below 0.01 pp). Memory per sample is higher here than in the downsampled benchmark (4.9 against 4.2 GB; Table 2) because this panel has 1,070,399 sites, 140,565 of them indels, while that one is SNP-only with 4,478 haplotypes.</w:t>
      </w:r>
    </w:p>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Table 1b. Selphi 2 versus GLIMPSE2 on the capture libraries, chromosome 22, identical site lists.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same session: Selphi 2 native 101 s (peak 4.9 GB) against GLIMPSE2 334 s including chunking and ligation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006"/>
        <w:gridCol w:w="840"/>
        <w:gridCol w:w="840"/>
        <w:gridCol w:w="907"/>
        <w:gridCol w:w="1001"/>
        <w:gridCol w:w="743"/>
        <w:gridCol w:w="907"/>
        <w:gridCol w:w="1001"/>
        <w:gridCol w:w="1034"/>
        <w:gridCol w:w="904"/>
        <w:gridCol w:w="999"/>
        <w:gridCol w:w="840"/>
        <w:gridCol w:w="929"/>
        <w:gridCol w:w="1009"/>
      </w:tblGrid>
      <w:tr>
        <w:trPr>
          <w:tblHeader w:val="on"/>
        </w:trPr>
        <w:tc>
          <w:tcPr>
            <w:shd w:val="clear" w:color="auto" w:fill="595959"/>
            <w:vAlign w:val="center"/>
            <w:tcW w:type="dxa" w:w="1006"/>
          </w:tcPr>
          <w:p>
            <w:pPr>
              <w:pStyle w:val="Compact"/>
              <w:spacing w:before="0" w:after="0"/>
              <w:jc w:val="center"/>
            </w:pPr>
            <w:r>
              <w:rPr>
                <w:rFonts w:ascii="Times New Roman" w:hAnsi="Times New Roman" w:cs="Times New Roman" w:eastAsia="Times New Roman"/>
                <w:b/>
                <w:color w:val="FFFFFF"/>
                <w:sz w:val="18"/>
              </w:rPr>
              <w:t xml:space="preserve">Sample</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Sites</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Non-ref %, G2</w:t>
            </w:r>
          </w:p>
        </w:tc>
        <w:tc>
          <w:tcPr>
            <w:shd w:val="clear" w:color="auto" w:fill="595959"/>
            <w:vAlign w:val="center"/>
            <w:tcW w:type="dxa" w:w="907"/>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1"/>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743"/>
          </w:tcPr>
          <w:p>
            <w:pPr>
              <w:pStyle w:val="Compact"/>
              <w:spacing w:before="0" w:after="0"/>
              <w:jc w:val="center"/>
            </w:pPr>
            <w:r>
              <w:rPr>
                <w:rFonts w:ascii="Times New Roman" w:hAnsi="Times New Roman" w:cs="Times New Roman" w:eastAsia="Times New Roman"/>
                <w:b/>
                <w:color w:val="FFFFFF"/>
                <w:sz w:val="18"/>
              </w:rPr>
              <w:t xml:space="preserve">Het recall %, G2</w:t>
            </w:r>
          </w:p>
        </w:tc>
        <w:tc>
          <w:tcPr>
            <w:shd w:val="clear" w:color="auto" w:fill="595959"/>
            <w:vAlign w:val="center"/>
            <w:tcW w:type="dxa" w:w="907"/>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1"/>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1034"/>
          </w:tcPr>
          <w:p>
            <w:pPr>
              <w:pStyle w:val="Compact"/>
              <w:spacing w:before="0" w:after="0"/>
              <w:jc w:val="center"/>
            </w:pPr>
            <w:r>
              <w:rPr>
                <w:rFonts w:ascii="Times New Roman" w:hAnsi="Times New Roman" w:cs="Times New Roman" w:eastAsia="Times New Roman"/>
                <w:b/>
                <w:color w:val="FFFFFF"/>
                <w:sz w:val="18"/>
              </w:rPr>
              <w:t xml:space="preserve">Het precision %, G2</w:t>
            </w:r>
          </w:p>
        </w:tc>
        <w:tc>
          <w:tcPr>
            <w:shd w:val="clear" w:color="auto" w:fill="595959"/>
            <w:vAlign w:val="center"/>
            <w:tcW w:type="dxa" w:w="904"/>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999"/>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Overall %, G2</w:t>
            </w:r>
          </w:p>
        </w:tc>
        <w:tc>
          <w:tcPr>
            <w:shd w:val="clear" w:color="auto" w:fill="595959"/>
            <w:vAlign w:val="center"/>
            <w:tcW w:type="dxa" w:w="929"/>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9"/>
          </w:tcPr>
          <w:p>
            <w:pPr>
              <w:pStyle w:val="Compact"/>
              <w:spacing w:before="0" w:after="0"/>
              <w:jc w:val="center"/>
            </w:pPr>
            <w:r>
              <w:rPr>
                <w:rFonts w:ascii="Times New Roman" w:hAnsi="Times New Roman" w:cs="Times New Roman" w:eastAsia="Times New Roman"/>
                <w:b/>
                <w:color w:val="FFFFFF"/>
                <w:sz w:val="18"/>
              </w:rPr>
              <w:t xml:space="preserve">bcftools</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HG002</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684,142</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97.705</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98.169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98.188</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96.844</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97.502</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97.543</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97.743</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97.866</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97.751</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99.806</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99.834</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99.831</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HG003</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675,214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97.927</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98.123</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98.125</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97.267</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b/>
                <w:bCs/>
                <w:sz w:val="18"/>
              </w:rPr>
              <w:t xml:space="preserve">97.555</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sz w:val="18"/>
              </w:rPr>
              <w:t xml:space="preserve">97.547</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sz w:val="18"/>
              </w:rPr>
              <w:t xml:space="preserve">97.552</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b/>
                <w:bCs/>
                <w:sz w:val="18"/>
              </w:rPr>
              <w:t xml:space="preserve">97.692</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sz w:val="18"/>
              </w:rPr>
              <w:t xml:space="preserve">97.547</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99.806</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b/>
                <w:bCs/>
                <w:sz w:val="18"/>
              </w:rPr>
              <w:t xml:space="preserve">99.824</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sz w:val="18"/>
              </w:rPr>
              <w:t xml:space="preserve">99.818</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HG004</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672,779</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97.707</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97.924</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97.877</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97.101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97.417</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97.328</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96.679</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sz w:val="18"/>
              </w:rPr>
              <w:t xml:space="preserve">97.062</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b/>
                <w:bCs/>
                <w:sz w:val="18"/>
              </w:rPr>
              <w:t xml:space="preserve">97.233</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99.790</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sz w:val="18"/>
              </w:rPr>
              <w:t xml:space="preserve">99.814</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b/>
                <w:bCs/>
                <w:sz w:val="18"/>
              </w:rPr>
              <w:t xml:space="preserve">99.817</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HG005</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662,250</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97.624</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97.730</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97.819</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96.855</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96.976</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97.092</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sz w:val="18"/>
              </w:rPr>
              <w:t xml:space="preserve">97.280</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97.497</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b/>
                <w:bCs/>
                <w:sz w:val="18"/>
              </w:rPr>
              <w:t xml:space="preserve">97.636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99.809</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sz w:val="18"/>
              </w:rPr>
              <w:t xml:space="preserve">99.820</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b/>
                <w:bCs/>
                <w:sz w:val="18"/>
              </w:rPr>
              <w:t xml:space="preserve">99.828</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669,015</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98.091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98.176</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98.153</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97.088</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97.249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97.228</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97.219</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97.275</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97.239</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99.836</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99.842</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99.840</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HG007</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668,184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97.379</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97.449</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97.452</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96.492</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b/>
                <w:bCs/>
                <w:sz w:val="18"/>
              </w:rPr>
              <w:t xml:space="preserve">96.617</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sz w:val="18"/>
              </w:rPr>
              <w:t xml:space="preserve">96.595</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b/>
                <w:bCs/>
                <w:sz w:val="18"/>
              </w:rPr>
              <w:t xml:space="preserve">97.164</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97.037</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sz w:val="18"/>
              </w:rPr>
              <w:t xml:space="preserve">96.984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99.786</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b/>
                <w:bCs/>
                <w:sz w:val="18"/>
              </w:rPr>
              <w:t xml:space="preserve">99.786</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sz w:val="18"/>
              </w:rPr>
              <w:t xml:space="preserve">99.783</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Mean</w:t>
            </w:r>
          </w:p>
        </w:tc>
        <w:tc>
          <w:tcPr>
            <w:shd w:val="clear" w:color="auto" w:fill="FFFFFF"/>
            <w:vAlign w:val="center"/>
            <w:tcW w:type="dxa" w:w="840"/>
          </w:tcPr>
          <w:p>
            <w:pPr>
              <w:pStyle w:val="Compact"/>
              <w:spacing w:before="0" w:after="0"/>
              <w:jc w:val="center"/>
            </w:pP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97.739</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97.928</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97.936</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96.941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97.219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97.222</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97.273</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97.405</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97.398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99.805</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99.820</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b/>
                <w:bCs/>
                <w:sz w:val="18"/>
              </w:rPr>
              <w:t xml:space="preserve">99.820</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Δ native − GLIMPSE2 (95% CI; wins; p)</w:t>
            </w:r>
          </w:p>
        </w:tc>
        <w:tc>
          <w:tcPr>
            <w:shd w:val="clear" w:color="auto" w:fill="E7E6E6"/>
            <w:vAlign w:val="center"/>
            <w:tcW w:type="dxa" w:w="840"/>
          </w:tcPr>
          <w:p>
            <w:pPr>
              <w:pStyle w:val="Compact"/>
              <w:spacing w:before="0" w:after="0"/>
              <w:jc w:val="center"/>
            </w:pPr>
          </w:p>
        </w:tc>
        <w:tc>
          <w:tcPr>
            <w:shd w:val="clear" w:color="auto" w:fill="E7E6E6"/>
            <w:vAlign w:val="center"/>
            <w:tcW w:type="dxa" w:w="840"/>
          </w:tcPr>
          <w:p>
            <w:pPr>
              <w:pStyle w:val="Compact"/>
              <w:spacing w:before="0" w:after="0"/>
              <w:jc w:val="center"/>
            </w:pP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+0.190 (+0.102 to +0.312; 6/6; 0.031)</w:t>
            </w:r>
          </w:p>
        </w:tc>
        <w:tc>
          <w:tcPr>
            <w:shd w:val="clear" w:color="auto" w:fill="E7E6E6"/>
            <w:vAlign w:val="center"/>
            <w:tcW w:type="dxa" w:w="1001"/>
          </w:tcPr>
          <w:p>
            <w:pPr>
              <w:pStyle w:val="Compact"/>
              <w:spacing w:before="0" w:after="0"/>
              <w:jc w:val="left"/>
            </w:pPr>
          </w:p>
        </w:tc>
        <w:tc>
          <w:tcPr>
            <w:shd w:val="clear" w:color="auto" w:fill="E7E6E6"/>
            <w:vAlign w:val="center"/>
            <w:tcW w:type="dxa" w:w="743"/>
          </w:tcPr>
          <w:p>
            <w:pPr>
              <w:pStyle w:val="Compact"/>
              <w:spacing w:before="0" w:after="0"/>
              <w:jc w:val="center"/>
            </w:pP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+0.278 (+0.156 to +0.446; 6/6; 0.031)</w:t>
            </w:r>
          </w:p>
        </w:tc>
        <w:tc>
          <w:tcPr>
            <w:shd w:val="clear" w:color="auto" w:fill="E7E6E6"/>
            <w:vAlign w:val="center"/>
            <w:tcW w:type="dxa" w:w="1001"/>
          </w:tcPr>
          <w:p>
            <w:pPr>
              <w:pStyle w:val="Compact"/>
              <w:spacing w:before="0" w:after="0"/>
              <w:jc w:val="left"/>
            </w:pPr>
          </w:p>
        </w:tc>
        <w:tc>
          <w:tcPr>
            <w:shd w:val="clear" w:color="auto" w:fill="E7E6E6"/>
            <w:vAlign w:val="center"/>
            <w:tcW w:type="dxa" w:w="1034"/>
          </w:tcPr>
          <w:p>
            <w:pPr>
              <w:pStyle w:val="Compact"/>
              <w:spacing w:before="0" w:after="0"/>
              <w:jc w:val="center"/>
            </w:pP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+0.132 (+0.004 to +0.257; 5/6; 0.16)</w:t>
            </w:r>
          </w:p>
        </w:tc>
        <w:tc>
          <w:tcPr>
            <w:shd w:val="clear" w:color="auto" w:fill="E7E6E6"/>
            <w:vAlign w:val="center"/>
            <w:tcW w:type="dxa" w:w="999"/>
          </w:tcPr>
          <w:p>
            <w:pPr>
              <w:pStyle w:val="Compact"/>
              <w:spacing w:before="0" w:after="0"/>
              <w:jc w:val="left"/>
            </w:pPr>
          </w:p>
        </w:tc>
        <w:tc>
          <w:tcPr>
            <w:shd w:val="clear" w:color="auto" w:fill="E7E6E6"/>
            <w:vAlign w:val="center"/>
            <w:tcW w:type="dxa" w:w="840"/>
          </w:tcPr>
          <w:p>
            <w:pPr>
              <w:pStyle w:val="Compact"/>
              <w:spacing w:before="0" w:after="0"/>
              <w:jc w:val="center"/>
            </w:pPr>
          </w:p>
        </w:tc>
        <w:tc>
          <w:tcPr>
            <w:shd w:val="clear" w:color="auto" w:fill="E7E6E6"/>
            <w:vAlign w:val="center"/>
            <w:tcW w:type="dxa" w:w="929"/>
          </w:tcPr>
          <w:p>
            <w:pPr>
              <w:pStyle w:val="Compact"/>
              <w:spacing w:before="0" w:after="0"/>
              <w:jc w:val="left"/>
            </w:pPr>
            <w:r>
              <w:rPr>
                <w:rFonts w:ascii="Times New Roman" w:hAnsi="Times New Roman" w:cs="Times New Roman" w:eastAsia="Times New Roman"/>
                <w:sz w:val="18"/>
              </w:rPr>
              <w:t xml:space="preserve">+0.014 (+0.007 to +0.022; 5/6, one tie; 0.0625)</w:t>
            </w:r>
          </w:p>
        </w:tc>
        <w:tc>
          <w:tcPr>
            <w:shd w:val="clear" w:color="auto" w:fill="E7E6E6"/>
            <w:vAlign w:val="center"/>
            <w:tcW w:type="dxa" w:w="1009"/>
          </w:tcPr>
          <w:p>
            <w:pPr>
              <w:pStyle w:val="Compact"/>
              <w:spacing w:before="0" w:after="0"/>
              <w:jc w:val="left"/>
            </w:pP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Δ bcftools − GLIMPSE2 (95% CI; wins; p)</w:t>
            </w:r>
          </w:p>
        </w:tc>
        <w:tc>
          <w:tcPr>
            <w:shd w:val="clear" w:color="auto" w:fill="FFFFFF"/>
            <w:vAlign w:val="center"/>
            <w:tcW w:type="dxa" w:w="840"/>
          </w:tcPr>
          <w:p>
            <w:pPr>
              <w:pStyle w:val="Compact"/>
              <w:spacing w:before="0" w:after="0"/>
              <w:jc w:val="center"/>
            </w:pPr>
          </w:p>
        </w:tc>
        <w:tc>
          <w:tcPr>
            <w:shd w:val="clear" w:color="auto" w:fill="FFFFFF"/>
            <w:vAlign w:val="center"/>
            <w:tcW w:type="dxa" w:w="840"/>
          </w:tcPr>
          <w:p>
            <w:pPr>
              <w:pStyle w:val="Compact"/>
              <w:spacing w:before="0" w:after="0"/>
              <w:jc w:val="center"/>
            </w:pPr>
          </w:p>
        </w:tc>
        <w:tc>
          <w:tcPr>
            <w:shd w:val="clear" w:color="auto" w:fill="FFFFFF"/>
            <w:vAlign w:val="center"/>
            <w:tcW w:type="dxa" w:w="907"/>
          </w:tcPr>
          <w:p>
            <w:pPr>
              <w:pStyle w:val="Compact"/>
              <w:spacing w:before="0" w:after="0"/>
              <w:jc w:val="left"/>
            </w:pP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+0.197 (+0.105 to +0.319; 6/6; 0.031)</w:t>
            </w:r>
          </w:p>
        </w:tc>
        <w:tc>
          <w:tcPr>
            <w:shd w:val="clear" w:color="auto" w:fill="FFFFFF"/>
            <w:vAlign w:val="center"/>
            <w:tcW w:type="dxa" w:w="743"/>
          </w:tcPr>
          <w:p>
            <w:pPr>
              <w:pStyle w:val="Compact"/>
              <w:spacing w:before="0" w:after="0"/>
              <w:jc w:val="center"/>
            </w:pPr>
          </w:p>
        </w:tc>
        <w:tc>
          <w:tcPr>
            <w:shd w:val="clear" w:color="auto" w:fill="FFFFFF"/>
            <w:vAlign w:val="center"/>
            <w:tcW w:type="dxa" w:w="907"/>
          </w:tcPr>
          <w:p>
            <w:pPr>
              <w:pStyle w:val="Compact"/>
              <w:spacing w:before="0" w:after="0"/>
              <w:jc w:val="left"/>
            </w:pP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+0.281 (+0.158 to +0.459; 6/6; 0.031)</w:t>
            </w:r>
          </w:p>
        </w:tc>
        <w:tc>
          <w:tcPr>
            <w:shd w:val="clear" w:color="auto" w:fill="FFFFFF"/>
            <w:vAlign w:val="center"/>
            <w:tcW w:type="dxa" w:w="1034"/>
          </w:tcPr>
          <w:p>
            <w:pPr>
              <w:pStyle w:val="Compact"/>
              <w:spacing w:before="0" w:after="0"/>
              <w:jc w:val="center"/>
            </w:pPr>
          </w:p>
        </w:tc>
        <w:tc>
          <w:tcPr>
            <w:shd w:val="clear" w:color="auto" w:fill="FFFFFF"/>
            <w:vAlign w:val="center"/>
            <w:tcW w:type="dxa" w:w="904"/>
          </w:tcPr>
          <w:p>
            <w:pPr>
              <w:pStyle w:val="Compact"/>
              <w:spacing w:before="0" w:after="0"/>
              <w:jc w:val="left"/>
            </w:pP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+0.126 (-0.057 to +0.339; 4/6; 0.31)</w:t>
            </w:r>
          </w:p>
        </w:tc>
        <w:tc>
          <w:tcPr>
            <w:shd w:val="clear" w:color="auto" w:fill="FFFFFF"/>
            <w:vAlign w:val="center"/>
            <w:tcW w:type="dxa" w:w="840"/>
          </w:tcPr>
          <w:p>
            <w:pPr>
              <w:pStyle w:val="Compact"/>
              <w:spacing w:before="0" w:after="0"/>
              <w:jc w:val="center"/>
            </w:pPr>
          </w:p>
        </w:tc>
        <w:tc>
          <w:tcPr>
            <w:shd w:val="clear" w:color="auto" w:fill="FFFFFF"/>
            <w:vAlign w:val="center"/>
            <w:tcW w:type="dxa" w:w="929"/>
          </w:tcPr>
          <w:p>
            <w:pPr>
              <w:pStyle w:val="Compact"/>
              <w:spacing w:before="0" w:after="0"/>
              <w:jc w:val="left"/>
            </w:pP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+0.014 (+0.006 to +0.022; 5/6; 0.0625)</w:t>
            </w:r>
          </w:p>
        </w:tc>
      </w:tr>
    </w:tbl>
    <w:p>
      <w:pPr>
        <w:pStyle w:val="BodyText"/>
        <w:jc w:val="both"/>
      </w:pPr>
      <w:r>
        <w:rPr>
          <w:rFonts w:ascii="Times New Roman" w:hAnsi="Times New Roman" w:cs="Times New Roman" w:eastAsia="Times New Roman"/>
          <w:b/>
          <w:bCs/>
          <w:sz w:val="20"/>
        </w:rPr>
        <w:t xml:space="preserve">Table 1c. Head-to-head by reference-panel minor allele frequency.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446"/>
        <w:gridCol w:w="916"/>
        <w:gridCol w:w="1780"/>
        <w:gridCol w:w="1024"/>
        <w:gridCol w:w="808"/>
        <w:gridCol w:w="1024"/>
        <w:gridCol w:w="1082"/>
        <w:gridCol w:w="1280"/>
      </w:tblGrid>
      <w:tr>
        <w:trPr>
          <w:tblHeader w:val="on"/>
        </w:trPr>
        <w:tc>
          <w:tcPr>
            <w:shd w:val="clear" w:color="auto" w:fill="595959"/>
            <w:vAlign w:val="center"/>
            <w:tcW w:type="dxa" w:w="1446"/>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780"/>
          </w:tcPr>
          <w:p>
            <w:pPr>
              <w:pStyle w:val="Compact"/>
              <w:spacing w:before="0" w:after="0"/>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1082"/>
          </w:tcPr>
          <w:p>
            <w:pPr>
              <w:pStyle w:val="Compact"/>
              <w:spacing w:before="0" w:after="0"/>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280"/>
          </w:tcPr>
          <w:p>
            <w:pPr>
              <w:pStyle w:val="Compact"/>
              <w:spacing w:before="0" w:after="0"/>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446"/>
          </w:tcPr>
          <w:p>
            <w:pPr>
              <w:pStyle w:val="Compact"/>
              <w:spacing w:before="0" w:after="0"/>
              <w:jc w:val="left"/>
            </w:pPr>
            <w:r>
              <w:rPr>
                <w:rFonts w:ascii="Times New Roman" w:hAnsi="Times New Roman" w:cs="Times New Roman" w:eastAsia="Times New Roman"/>
                <w:sz w:val="20"/>
              </w:rPr>
              <w:t xml:space="preserve">Non-ref concordance %</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 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79,005-81,576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98.39</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98.58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98.58</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+0.19 (+0.10 to +0.30; 6/6; 0.031)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446"/>
          </w:tcPr>
          <w:p>
            <w:pPr>
              <w:pStyle w:val="Compact"/>
              <w:spacing w:before="0" w:after="0"/>
              <w:jc w:val="left"/>
            </w:pP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0.5-5%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108,535-112,020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95.15</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20"/>
              </w:rPr>
              <w:t xml:space="preserve">95.33</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95.42</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+0.18 (-0.08 to +0.45; 4/6; 0.44)</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446"/>
          </w:tcPr>
          <w:p>
            <w:pPr>
              <w:pStyle w:val="Compact"/>
              <w:spacing w:before="0" w:after="0"/>
              <w:jc w:val="left"/>
            </w:pP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&lt; 0.5%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474,710-490,546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87.71</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87.97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87.99</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+0.26 (-0.03 to +0.60; 3/6; 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446"/>
          </w:tcPr>
          <w:p>
            <w:pPr>
              <w:pStyle w:val="Compact"/>
              <w:spacing w:before="0" w:after="0"/>
              <w:jc w:val="left"/>
            </w:pPr>
            <w:r>
              <w:rPr>
                <w:rFonts w:ascii="Times New Roman" w:hAnsi="Times New Roman" w:cs="Times New Roman" w:eastAsia="Times New Roman"/>
                <w:sz w:val="20"/>
              </w:rPr>
              <w:t xml:space="preserve">Het recall %</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 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79,005-81,576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98.00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98.28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98.27</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+0.27 (+0.16 to +0.43; 6/6; 0.031)</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446"/>
          </w:tcPr>
          <w:p>
            <w:pPr>
              <w:pStyle w:val="Compact"/>
              <w:spacing w:before="0" w:after="0"/>
              <w:jc w:val="left"/>
            </w:pP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0.5-5%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108,535-112,020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92.57</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92.89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93.03</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+0.32 (-0.16 to +0.77; 4/6; 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446"/>
          </w:tcPr>
          <w:p>
            <w:pPr>
              <w:pStyle w:val="Compact"/>
              <w:spacing w:before="0" w:after="0"/>
              <w:jc w:val="left"/>
            </w:pP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&lt; 0.5%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474,710-490,546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81.36</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81.72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81.70</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+0.37 (-0.14 to +0.92; 4/6; 0.31)</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3" name="Picture"/>
            <a:graphic>
              <a:graphicData uri="http://schemas.openxmlformats.org/drawingml/2006/picture">
                <pic:pic>
                  <pic:nvPicPr>
                    <pic:cNvPr descr="figures/figure2_lcwgs_capture.png" id="34" name="Picture"/>
                    <pic:cNvPicPr>
                      <a:picLocks noChangeArrowheads="1" noChangeAspect="1"/>
                    </pic:cNvPicPr>
                  </pic:nvPicPr>
                  <pic:blipFill>
                    <a:blip r:embed="rId32"/>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comparison on chromosomes 20, 10 and 1 with the same samples, truth and scoring. Both tools used one shared panel per chromosome restricted to polymorphic sites with alleles ≤ 250 bp (2,398 samples; chromosome 20: 1,564,145 sites; Methods), GLIMPSE2 at its defaults and Selphi 2 in both arms (Table 1d; Supplementary Figure S1). The native pileup leads GLIMPSE2 in non-reference concordance in six of six samples on every chromosome: +0.18 pp on chromosome 20 (97.72% to 97.91%; 1,139,422-1,168,950 sites per sample; paired t = 2.79), +0.21 pp on chromosome 10 (98.21% to 98.42%; 2,555,483-2,586,705 sites; t = 3.90) and +0.26 pp on chromosome 1 (98.20% to 98.46%; 2,216,536-2,263,597 sites; t = 3.20), against +0.19 pp on chromosome 22 (t = 3.15). The bcftools arm is also six of six on every chromosome (+0.21, +0.23 and +0.26 pp). Heterozygote recall rises with it (native +0.20, +0.32 and +0.38 pp; six of six on chromosomes 10 and 1, five of six on chromosome 20). Pooled over the four chromosomes and site-weighted within each sample (6,573,691-6,703,394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result sharpens with chromosome size. On chromosome 20 the stratum below 0.5% gives +0.48 pp (four of six). On chromosomes 10 and 1 it is the largest of the three strata and unanimous: +0.41 and +0.66 pp (six of six), against +0.20 and +0.23 pp at MAF ≥ 5% and +0.24 and +0.37 pp at 0.5-5%. The inconsistency seen below 0.5% on chromosome 22 therefore does not generalise; on the larger chromosomes the advantage grows toward rare variants. Heterozygote precision is within noise on chromosomes 22, 20 and 1 (native +0.13, +0.17 and +0.13 pp) and lower than GLIMPSE2's on chromosome 10 in both arms (native -0.48 pp; three of six), the one metric on one chromosome where Selphi 2 does not lead. BAQ contributes on every chromosome tested: without it the native pileup gave +0.11 pp (five of six) on chromosome 20 and +0.16 pp (six of six) on chromosome 10, against +0.18 and +0.21 pp with it.</w:t>
      </w:r>
    </w:p>
    <w:p>
      <w:pPr>
        <w:pStyle w:val="BodyText"/>
        <w:jc w:val="both"/>
      </w:pPr>
      <w:r>
        <w:rPr>
          <w:rFonts w:ascii="Times New Roman" w:hAnsi="Times New Roman" w:cs="Times New Roman" w:eastAsia="Times New Roman"/>
          <w:b/>
          <w:bCs/>
          <w:sz w:val="20"/>
        </w:rPr>
        <w:t xml:space="preserve">Table 1d. Replication across chromosomes (mean over six samples).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473"/>
        <w:gridCol w:w="1699"/>
        <w:gridCol w:w="808"/>
        <w:gridCol w:w="727"/>
        <w:gridCol w:w="796"/>
        <w:gridCol w:w="870"/>
        <w:gridCol w:w="722"/>
        <w:gridCol w:w="754"/>
        <w:gridCol w:w="754"/>
        <w:gridCol w:w="757"/>
      </w:tblGrid>
      <w:tr>
        <w:trPr>
          <w:tblHeader w:val="on"/>
        </w:trPr>
        <w:tc>
          <w:tcPr>
            <w:shd w:val="clear" w:color="auto" w:fill="595959"/>
            <w:vAlign w:val="center"/>
            <w:tcW w:type="dxa" w:w="1473"/>
          </w:tcPr>
          <w:p>
            <w:pPr>
              <w:pStyle w:val="Compact"/>
              <w:spacing w:before="0" w:after="0"/>
              <w:jc w:val="center"/>
            </w:pPr>
            <w:r>
              <w:rPr>
                <w:rFonts w:ascii="Times New Roman" w:hAnsi="Times New Roman" w:cs="Times New Roman" w:eastAsia="Times New Roman"/>
                <w:b/>
                <w:color w:val="FFFFFF"/>
                <w:sz w:val="15"/>
              </w:rPr>
              <w:t xml:space="preserve">Chr</w:t>
            </w:r>
          </w:p>
        </w:tc>
        <w:tc>
          <w:tcPr>
            <w:shd w:val="clear" w:color="auto" w:fill="595959"/>
            <w:vAlign w:val="center"/>
            <w:tcW w:type="dxa" w:w="1699"/>
          </w:tcPr>
          <w:p>
            <w:pPr>
              <w:pStyle w:val="Compact"/>
              <w:spacing w:before="0" w:after="0"/>
              <w:jc w:val="center"/>
            </w:pPr>
            <w:r>
              <w:rPr>
                <w:rFonts w:ascii="Times New Roman" w:hAnsi="Times New Roman" w:cs="Times New Roman" w:eastAsia="Times New Roman"/>
                <w:b/>
                <w:color w:val="FFFFFF"/>
                <w:sz w:val="15"/>
              </w:rPr>
              <w:t xml:space="preserve">Sites per sample</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15"/>
              </w:rPr>
              <w:t xml:space="preserve">Non-ref %, GLIMPSE2</w:t>
            </w:r>
          </w:p>
        </w:tc>
        <w:tc>
          <w:tcPr>
            <w:shd w:val="clear" w:color="auto" w:fill="595959"/>
            <w:vAlign w:val="center"/>
            <w:tcW w:type="dxa" w:w="727"/>
          </w:tcPr>
          <w:p>
            <w:pPr>
              <w:pStyle w:val="Compact"/>
              <w:spacing w:before="0" w:after="0"/>
              <w:jc w:val="center"/>
            </w:pPr>
            <w:r>
              <w:rPr>
                <w:rFonts w:ascii="Times New Roman" w:hAnsi="Times New Roman" w:cs="Times New Roman" w:eastAsia="Times New Roman"/>
                <w:b/>
                <w:color w:val="FFFFFF"/>
                <w:sz w:val="15"/>
              </w:rPr>
              <w:t xml:space="preserve">Non-ref %, Selphi 2 native</w:t>
            </w:r>
          </w:p>
        </w:tc>
        <w:tc>
          <w:tcPr>
            <w:shd w:val="clear" w:color="auto" w:fill="595959"/>
            <w:vAlign w:val="center"/>
            <w:tcW w:type="dxa" w:w="796"/>
          </w:tcPr>
          <w:p>
            <w:pPr>
              <w:pStyle w:val="Compact"/>
              <w:spacing w:before="0" w:after="0"/>
              <w:jc w:val="center"/>
            </w:pPr>
            <w:r>
              <w:rPr>
                <w:rFonts w:ascii="Times New Roman" w:hAnsi="Times New Roman" w:cs="Times New Roman" w:eastAsia="Times New Roman"/>
                <w:b/>
                <w:color w:val="FFFFFF"/>
                <w:sz w:val="15"/>
              </w:rPr>
              <w:t xml:space="preserve">Δ non-ref pp (t; wins)</w:t>
            </w:r>
          </w:p>
        </w:tc>
        <w:tc>
          <w:tcPr>
            <w:shd w:val="clear" w:color="auto" w:fill="595959"/>
            <w:vAlign w:val="center"/>
            <w:tcW w:type="dxa" w:w="870"/>
          </w:tcPr>
          <w:p>
            <w:pPr>
              <w:pStyle w:val="Compact"/>
              <w:spacing w:before="0" w:after="0"/>
              <w:jc w:val="center"/>
            </w:pPr>
            <w:r>
              <w:rPr>
                <w:rFonts w:ascii="Times New Roman" w:hAnsi="Times New Roman" w:cs="Times New Roman" w:eastAsia="Times New Roman"/>
                <w:b/>
                <w:color w:val="FFFFFF"/>
                <w:sz w:val="15"/>
              </w:rPr>
              <w:t xml:space="preserve">Δ non-ref pp, bcftools arm (t; wins)</w:t>
            </w:r>
          </w:p>
        </w:tc>
        <w:tc>
          <w:tcPr>
            <w:shd w:val="clear" w:color="auto" w:fill="595959"/>
            <w:vAlign w:val="center"/>
            <w:tcW w:type="dxa" w:w="722"/>
          </w:tcPr>
          <w:p>
            <w:pPr>
              <w:pStyle w:val="Compact"/>
              <w:spacing w:before="0" w:after="0"/>
              <w:jc w:val="center"/>
            </w:pPr>
            <w:r>
              <w:rPr>
                <w:rFonts w:ascii="Times New Roman" w:hAnsi="Times New Roman" w:cs="Times New Roman" w:eastAsia="Times New Roman"/>
                <w:b/>
                <w:color w:val="FFFFFF"/>
                <w:sz w:val="15"/>
              </w:rPr>
              <w:t xml:space="preserve">Δ het recall pp (t; wins)</w:t>
            </w:r>
          </w:p>
        </w:tc>
        <w:tc>
          <w:tcPr>
            <w:shd w:val="clear" w:color="auto" w:fill="595959"/>
            <w:vAlign w:val="center"/>
            <w:tcW w:type="dxa" w:w="754"/>
          </w:tcPr>
          <w:p>
            <w:pPr>
              <w:pStyle w:val="Compact"/>
              <w:spacing w:before="0" w:after="0"/>
              <w:jc w:val="center"/>
            </w:pPr>
            <w:r>
              <w:rPr>
                <w:rFonts w:ascii="Times New Roman" w:hAnsi="Times New Roman" w:cs="Times New Roman" w:eastAsia="Times New Roman"/>
                <w:b/>
                <w:color w:val="FFFFFF"/>
                <w:sz w:val="15"/>
              </w:rPr>
              <w:t xml:space="preserve">Δ non-ref pp, MAF ≥ 5% (wins)</w:t>
            </w:r>
          </w:p>
        </w:tc>
        <w:tc>
          <w:tcPr>
            <w:shd w:val="clear" w:color="auto" w:fill="595959"/>
            <w:vAlign w:val="center"/>
            <w:tcW w:type="dxa" w:w="754"/>
          </w:tcPr>
          <w:p>
            <w:pPr>
              <w:pStyle w:val="Compact"/>
              <w:spacing w:before="0" w:after="0"/>
              <w:jc w:val="center"/>
            </w:pPr>
            <w:r>
              <w:rPr>
                <w:rFonts w:ascii="Times New Roman" w:hAnsi="Times New Roman" w:cs="Times New Roman" w:eastAsia="Times New Roman"/>
                <w:b/>
                <w:color w:val="FFFFFF"/>
                <w:sz w:val="15"/>
              </w:rPr>
              <w:t xml:space="preserve">Δ non-ref pp, 0.5-5% (wins)</w:t>
            </w:r>
          </w:p>
        </w:tc>
        <w:tc>
          <w:tcPr>
            <w:shd w:val="clear" w:color="auto" w:fill="595959"/>
            <w:vAlign w:val="center"/>
            <w:tcW w:type="dxa" w:w="757"/>
          </w:tcPr>
          <w:p>
            <w:pPr>
              <w:pStyle w:val="Compact"/>
              <w:spacing w:before="0" w:after="0"/>
              <w:jc w:val="center"/>
            </w:pPr>
            <w:r>
              <w:rPr>
                <w:rFonts w:ascii="Times New Roman" w:hAnsi="Times New Roman" w:cs="Times New Roman" w:eastAsia="Times New Roman"/>
                <w:b/>
                <w:color w:val="FFFFFF"/>
                <w:sz w:val="15"/>
              </w:rPr>
              <w:t xml:space="preserve">Δ non-ref pp, &lt; 0.5% (wins)</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22</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662,250-684,142</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15"/>
              </w:rPr>
              <w:t xml:space="preserve">97.74</w:t>
            </w:r>
          </w:p>
        </w:tc>
        <w:tc>
          <w:tcPr>
            <w:shd w:val="clear" w:color="auto" w:fill="FFFFFF"/>
            <w:vAlign w:val="center"/>
            <w:tcW w:type="dxa" w:w="727"/>
          </w:tcPr>
          <w:p>
            <w:pPr>
              <w:pStyle w:val="Compact"/>
              <w:spacing w:before="0" w:after="0"/>
              <w:jc w:val="center"/>
            </w:pPr>
            <w:r>
              <w:rPr>
                <w:rFonts w:ascii="Times New Roman" w:hAnsi="Times New Roman" w:cs="Times New Roman" w:eastAsia="Times New Roman"/>
                <w:b/>
                <w:bCs/>
                <w:sz w:val="15"/>
              </w:rPr>
              <w:t xml:space="preserve">97.93</w:t>
            </w: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+0.19 (3.15;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+0.20 (3.16;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+0.28 (3.34;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+0.19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+0.18 (4/6)</w:t>
            </w:r>
          </w:p>
        </w:tc>
        <w:tc>
          <w:tcPr>
            <w:shd w:val="clear" w:color="auto" w:fill="FFFFFF"/>
            <w:vAlign w:val="center"/>
            <w:tcW w:type="dxa" w:w="757"/>
          </w:tcPr>
          <w:p>
            <w:pPr>
              <w:pStyle w:val="Compact"/>
              <w:spacing w:before="0" w:after="0"/>
              <w:jc w:val="center"/>
            </w:pPr>
            <w:r>
              <w:rPr>
                <w:rFonts w:ascii="Times New Roman" w:hAnsi="Times New Roman" w:cs="Times New Roman" w:eastAsia="Times New Roman"/>
                <w:sz w:val="15"/>
              </w:rPr>
              <w:t xml:space="preserve">+0.26 (3/6)</w:t>
            </w:r>
          </w:p>
        </w:tc>
      </w:tr>
      <w:tr>
        <w:tc>
          <w:tcPr>
            <w:shd w:val="clear" w:color="auto" w:fill="E7E6E6"/>
            <w:vAlign w:val="center"/>
            <w:tcW w:type="dxa" w:w="1473"/>
          </w:tcPr>
          <w:p>
            <w:pPr>
              <w:pStyle w:val="Compact"/>
              <w:spacing w:before="0" w:after="0"/>
              <w:jc w:val="left"/>
            </w:pPr>
            <w:r>
              <w:rPr>
                <w:rFonts w:ascii="Times New Roman" w:hAnsi="Times New Roman" w:cs="Times New Roman" w:eastAsia="Times New Roman"/>
                <w:sz w:val="15"/>
              </w:rPr>
              <w:t xml:space="preserve">20</w:t>
            </w:r>
          </w:p>
        </w:tc>
        <w:tc>
          <w:tcPr>
            <w:shd w:val="clear" w:color="auto" w:fill="E7E6E6"/>
            <w:vAlign w:val="center"/>
            <w:tcW w:type="dxa" w:w="1699"/>
          </w:tcPr>
          <w:p>
            <w:pPr>
              <w:pStyle w:val="Compact"/>
              <w:spacing w:before="0" w:after="0"/>
              <w:jc w:val="left"/>
            </w:pPr>
            <w:r>
              <w:rPr>
                <w:rFonts w:ascii="Times New Roman" w:hAnsi="Times New Roman" w:cs="Times New Roman" w:eastAsia="Times New Roman"/>
                <w:sz w:val="15"/>
              </w:rPr>
              <w:t xml:space="preserve">1,139,422-1,168,950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15"/>
              </w:rPr>
              <w:t xml:space="preserve">97.72</w:t>
            </w:r>
          </w:p>
        </w:tc>
        <w:tc>
          <w:tcPr>
            <w:shd w:val="clear" w:color="auto" w:fill="E7E6E6"/>
            <w:vAlign w:val="center"/>
            <w:tcW w:type="dxa" w:w="727"/>
          </w:tcPr>
          <w:p>
            <w:pPr>
              <w:pStyle w:val="Compact"/>
              <w:spacing w:before="0" w:after="0"/>
              <w:jc w:val="center"/>
            </w:pPr>
            <w:r>
              <w:rPr>
                <w:rFonts w:ascii="Times New Roman" w:hAnsi="Times New Roman" w:cs="Times New Roman" w:eastAsia="Times New Roman"/>
                <w:b/>
                <w:bCs/>
                <w:sz w:val="15"/>
              </w:rPr>
              <w:t xml:space="preserve">97.91</w:t>
            </w:r>
          </w:p>
        </w:tc>
        <w:tc>
          <w:tcPr>
            <w:shd w:val="clear" w:color="auto" w:fill="E7E6E6"/>
            <w:vAlign w:val="center"/>
            <w:tcW w:type="dxa" w:w="796"/>
          </w:tcPr>
          <w:p>
            <w:pPr>
              <w:pStyle w:val="Compact"/>
              <w:spacing w:before="0" w:after="0"/>
              <w:jc w:val="center"/>
            </w:pPr>
            <w:r>
              <w:rPr>
                <w:rFonts w:ascii="Times New Roman" w:hAnsi="Times New Roman" w:cs="Times New Roman" w:eastAsia="Times New Roman"/>
                <w:sz w:val="15"/>
              </w:rPr>
              <w:t xml:space="preserve">+0.18 (2.79; 6/6)</w:t>
            </w:r>
          </w:p>
        </w:tc>
        <w:tc>
          <w:tcPr>
            <w:shd w:val="clear" w:color="auto" w:fill="E7E6E6"/>
            <w:vAlign w:val="center"/>
            <w:tcW w:type="dxa" w:w="870"/>
          </w:tcPr>
          <w:p>
            <w:pPr>
              <w:pStyle w:val="Compact"/>
              <w:spacing w:before="0" w:after="0"/>
              <w:jc w:val="center"/>
            </w:pPr>
            <w:r>
              <w:rPr>
                <w:rFonts w:ascii="Times New Roman" w:hAnsi="Times New Roman" w:cs="Times New Roman" w:eastAsia="Times New Roman"/>
                <w:sz w:val="15"/>
              </w:rPr>
              <w:t xml:space="preserve">+0.21 (2.77; 6/6)</w:t>
            </w:r>
          </w:p>
        </w:tc>
        <w:tc>
          <w:tcPr>
            <w:shd w:val="clear" w:color="auto" w:fill="E7E6E6"/>
            <w:vAlign w:val="center"/>
            <w:tcW w:type="dxa" w:w="722"/>
          </w:tcPr>
          <w:p>
            <w:pPr>
              <w:pStyle w:val="Compact"/>
              <w:spacing w:before="0" w:after="0"/>
              <w:jc w:val="center"/>
            </w:pPr>
            <w:r>
              <w:rPr>
                <w:rFonts w:ascii="Times New Roman" w:hAnsi="Times New Roman" w:cs="Times New Roman" w:eastAsia="Times New Roman"/>
                <w:sz w:val="15"/>
              </w:rPr>
              <w:t xml:space="preserve">+0.20 (1.62; 5/6)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+0.16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+0.28 (5/6)</w:t>
            </w:r>
          </w:p>
        </w:tc>
        <w:tc>
          <w:tcPr>
            <w:shd w:val="clear" w:color="auto" w:fill="E7E6E6"/>
            <w:vAlign w:val="center"/>
            <w:tcW w:type="dxa" w:w="757"/>
          </w:tcPr>
          <w:p>
            <w:pPr>
              <w:pStyle w:val="Compact"/>
              <w:spacing w:before="0" w:after="0"/>
              <w:jc w:val="center"/>
            </w:pPr>
            <w:r>
              <w:rPr>
                <w:rFonts w:ascii="Times New Roman" w:hAnsi="Times New Roman" w:cs="Times New Roman" w:eastAsia="Times New Roman"/>
                <w:sz w:val="15"/>
              </w:rPr>
              <w:t xml:space="preserve">+0.48 (4/6)</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10</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2,555,483-2,586,705</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15"/>
              </w:rPr>
              <w:t xml:space="preserve">98.21</w:t>
            </w:r>
          </w:p>
        </w:tc>
        <w:tc>
          <w:tcPr>
            <w:shd w:val="clear" w:color="auto" w:fill="FFFFFF"/>
            <w:vAlign w:val="center"/>
            <w:tcW w:type="dxa" w:w="727"/>
          </w:tcPr>
          <w:p>
            <w:pPr>
              <w:pStyle w:val="Compact"/>
              <w:spacing w:before="0" w:after="0"/>
              <w:jc w:val="center"/>
            </w:pPr>
            <w:r>
              <w:rPr>
                <w:rFonts w:ascii="Times New Roman" w:hAnsi="Times New Roman" w:cs="Times New Roman" w:eastAsia="Times New Roman"/>
                <w:b/>
                <w:bCs/>
                <w:sz w:val="15"/>
              </w:rPr>
              <w:t xml:space="preserve">98.42</w:t>
            </w: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+0.21 (3.90;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+0.23 (4.10;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+0.32 (2.51;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+0.20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+0.24 (5/6)</w:t>
            </w:r>
          </w:p>
        </w:tc>
        <w:tc>
          <w:tcPr>
            <w:shd w:val="clear" w:color="auto" w:fill="FFFFFF"/>
            <w:vAlign w:val="center"/>
            <w:tcW w:type="dxa" w:w="757"/>
          </w:tcPr>
          <w:p>
            <w:pPr>
              <w:pStyle w:val="Compact"/>
              <w:spacing w:before="0" w:after="0"/>
              <w:jc w:val="center"/>
            </w:pPr>
            <w:r>
              <w:rPr>
                <w:rFonts w:ascii="Times New Roman" w:hAnsi="Times New Roman" w:cs="Times New Roman" w:eastAsia="Times New Roman"/>
                <w:sz w:val="15"/>
              </w:rPr>
              <w:t xml:space="preserve">+0.41 (6/6)</w:t>
            </w:r>
          </w:p>
        </w:tc>
      </w:tr>
      <w:tr>
        <w:tc>
          <w:tcPr>
            <w:shd w:val="clear" w:color="auto" w:fill="E7E6E6"/>
            <w:vAlign w:val="center"/>
            <w:tcW w:type="dxa" w:w="1473"/>
          </w:tcPr>
          <w:p>
            <w:pPr>
              <w:pStyle w:val="Compact"/>
              <w:spacing w:before="0" w:after="0"/>
              <w:jc w:val="left"/>
            </w:pPr>
            <w:r>
              <w:rPr>
                <w:rFonts w:ascii="Times New Roman" w:hAnsi="Times New Roman" w:cs="Times New Roman" w:eastAsia="Times New Roman"/>
                <w:sz w:val="15"/>
              </w:rPr>
              <w:t xml:space="preserve">1</w:t>
            </w:r>
          </w:p>
        </w:tc>
        <w:tc>
          <w:tcPr>
            <w:shd w:val="clear" w:color="auto" w:fill="E7E6E6"/>
            <w:vAlign w:val="center"/>
            <w:tcW w:type="dxa" w:w="1699"/>
          </w:tcPr>
          <w:p>
            <w:pPr>
              <w:pStyle w:val="Compact"/>
              <w:spacing w:before="0" w:after="0"/>
              <w:jc w:val="left"/>
            </w:pPr>
            <w:r>
              <w:rPr>
                <w:rFonts w:ascii="Times New Roman" w:hAnsi="Times New Roman" w:cs="Times New Roman" w:eastAsia="Times New Roman"/>
                <w:sz w:val="15"/>
              </w:rPr>
              <w:t xml:space="preserve">2,216,536-2,263,597</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15"/>
              </w:rPr>
              <w:t xml:space="preserve">98.20</w:t>
            </w:r>
          </w:p>
        </w:tc>
        <w:tc>
          <w:tcPr>
            <w:shd w:val="clear" w:color="auto" w:fill="E7E6E6"/>
            <w:vAlign w:val="center"/>
            <w:tcW w:type="dxa" w:w="727"/>
          </w:tcPr>
          <w:p>
            <w:pPr>
              <w:pStyle w:val="Compact"/>
              <w:spacing w:before="0" w:after="0"/>
              <w:jc w:val="center"/>
            </w:pPr>
            <w:r>
              <w:rPr>
                <w:rFonts w:ascii="Times New Roman" w:hAnsi="Times New Roman" w:cs="Times New Roman" w:eastAsia="Times New Roman"/>
                <w:b/>
                <w:bCs/>
                <w:sz w:val="15"/>
              </w:rPr>
              <w:t xml:space="preserve">98.46</w:t>
            </w:r>
          </w:p>
        </w:tc>
        <w:tc>
          <w:tcPr>
            <w:shd w:val="clear" w:color="auto" w:fill="E7E6E6"/>
            <w:vAlign w:val="center"/>
            <w:tcW w:type="dxa" w:w="796"/>
          </w:tcPr>
          <w:p>
            <w:pPr>
              <w:pStyle w:val="Compact"/>
              <w:spacing w:before="0" w:after="0"/>
              <w:jc w:val="center"/>
            </w:pPr>
            <w:r>
              <w:rPr>
                <w:rFonts w:ascii="Times New Roman" w:hAnsi="Times New Roman" w:cs="Times New Roman" w:eastAsia="Times New Roman"/>
                <w:sz w:val="15"/>
              </w:rPr>
              <w:t xml:space="preserve">+0.26 (3.20; 6/6)</w:t>
            </w:r>
          </w:p>
        </w:tc>
        <w:tc>
          <w:tcPr>
            <w:shd w:val="clear" w:color="auto" w:fill="E7E6E6"/>
            <w:vAlign w:val="center"/>
            <w:tcW w:type="dxa" w:w="870"/>
          </w:tcPr>
          <w:p>
            <w:pPr>
              <w:pStyle w:val="Compact"/>
              <w:spacing w:before="0" w:after="0"/>
              <w:jc w:val="center"/>
            </w:pPr>
            <w:r>
              <w:rPr>
                <w:rFonts w:ascii="Times New Roman" w:hAnsi="Times New Roman" w:cs="Times New Roman" w:eastAsia="Times New Roman"/>
                <w:sz w:val="15"/>
              </w:rPr>
              <w:t xml:space="preserve">+0.26 (3.33; 6/6)</w:t>
            </w:r>
          </w:p>
        </w:tc>
        <w:tc>
          <w:tcPr>
            <w:shd w:val="clear" w:color="auto" w:fill="E7E6E6"/>
            <w:vAlign w:val="center"/>
            <w:tcW w:type="dxa" w:w="722"/>
          </w:tcPr>
          <w:p>
            <w:pPr>
              <w:pStyle w:val="Compact"/>
              <w:spacing w:before="0" w:after="0"/>
              <w:jc w:val="center"/>
            </w:pPr>
            <w:r>
              <w:rPr>
                <w:rFonts w:ascii="Times New Roman" w:hAnsi="Times New Roman" w:cs="Times New Roman" w:eastAsia="Times New Roman"/>
                <w:sz w:val="15"/>
              </w:rPr>
              <w:t xml:space="preserve">+0.38 (2.92;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+0.23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+0.37 (6/6)</w:t>
            </w:r>
          </w:p>
        </w:tc>
        <w:tc>
          <w:tcPr>
            <w:shd w:val="clear" w:color="auto" w:fill="E7E6E6"/>
            <w:vAlign w:val="center"/>
            <w:tcW w:type="dxa" w:w="757"/>
          </w:tcPr>
          <w:p>
            <w:pPr>
              <w:pStyle w:val="Compact"/>
              <w:spacing w:before="0" w:after="0"/>
              <w:jc w:val="center"/>
            </w:pPr>
            <w:r>
              <w:rPr>
                <w:rFonts w:ascii="Times New Roman" w:hAnsi="Times New Roman" w:cs="Times New Roman" w:eastAsia="Times New Roman"/>
                <w:sz w:val="15"/>
              </w:rPr>
              <w:t xml:space="preserve">+0.66 (6/6)</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Pooled (22 + 20 + 10 + 1, site-weighted)</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6,573,691-6,703,394</w:t>
            </w:r>
          </w:p>
        </w:tc>
        <w:tc>
          <w:tcPr>
            <w:shd w:val="clear" w:color="auto" w:fill="FFFFFF"/>
            <w:vAlign w:val="center"/>
            <w:tcW w:type="dxa" w:w="808"/>
          </w:tcPr>
          <w:p>
            <w:pPr>
              <w:pStyle w:val="Compact"/>
              <w:spacing w:before="0" w:after="0"/>
              <w:jc w:val="center"/>
            </w:pPr>
          </w:p>
        </w:tc>
        <w:tc>
          <w:tcPr>
            <w:shd w:val="clear" w:color="auto" w:fill="FFFFFF"/>
            <w:vAlign w:val="center"/>
            <w:tcW w:type="dxa" w:w="727"/>
          </w:tcPr>
          <w:p>
            <w:pPr>
              <w:pStyle w:val="Compact"/>
              <w:spacing w:before="0" w:after="0"/>
              <w:jc w:val="center"/>
            </w:pP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+0.22 (3.49;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+0.23 (3.67;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+0.31 (2.61; 6/6)</w:t>
            </w:r>
          </w:p>
        </w:tc>
        <w:tc>
          <w:tcPr>
            <w:shd w:val="clear" w:color="auto" w:fill="FFFFFF"/>
            <w:vAlign w:val="center"/>
            <w:tcW w:type="dxa" w:w="754"/>
          </w:tcPr>
          <w:p>
            <w:pPr>
              <w:pStyle w:val="Compact"/>
              <w:spacing w:before="0" w:after="0"/>
              <w:jc w:val="center"/>
            </w:pPr>
          </w:p>
        </w:tc>
        <w:tc>
          <w:tcPr>
            <w:shd w:val="clear" w:color="auto" w:fill="FFFFFF"/>
            <w:vAlign w:val="center"/>
            <w:tcW w:type="dxa" w:w="754"/>
          </w:tcPr>
          <w:p>
            <w:pPr>
              <w:pStyle w:val="Compact"/>
              <w:spacing w:before="0" w:after="0"/>
              <w:jc w:val="center"/>
            </w:pPr>
          </w:p>
        </w:tc>
        <w:tc>
          <w:tcPr>
            <w:shd w:val="clear" w:color="auto" w:fill="FFFFFF"/>
            <w:vAlign w:val="center"/>
            <w:tcW w:type="dxa" w:w="757"/>
          </w:tcPr>
          <w:p>
            <w:pPr>
              <w:pStyle w:val="Compact"/>
              <w:spacing w:before="0" w:after="0"/>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are uneven in depth, so we complemented them with uniformly downsampled sequencing of the same six GIAB samples. This benchmark differs from Tables 1-1d in panel (the 4,478-haplotype no-trios panel), site list and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Genotype likelihoods were computed from the reads at the panel sites and imputed against the 4,478-haplotype (2,239-sample) no-trios 1000 Genomes panel, the leak-free panel also used for trio phasing below.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GIAB v4.2.1 high-confidence truth was computed over the high-confidence variant sites imputed by both Selphi 2 and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Selphi 2 ran with its defaults: band-mode recombination, founder-HMM phasing and rare-carrier augmentation at every Gibbs iteration (Methods).</w:t>
      </w:r>
    </w:p>
    <w:p>
      <w:pPr>
        <w:pStyle w:val="BodyText"/>
        <w:jc w:val="both"/>
      </w:pPr>
      <w:r>
        <w:rPr>
          <w:rFonts w:ascii="Times New Roman" w:hAnsi="Times New Roman" w:cs="Times New Roman" w:eastAsia="Times New Roman"/>
        </w:rPr>
        <w:t xml:space="preserve">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all six samples: 0.9457 versus 0.9389 (HG002), 0.9522 versus 0.9447 (HG003), 0.9489 versus 0.9440 (HG004), 0.9465 versus 0.9416 (HG005), 0.9546 versus 0.9496 (HG006) and 0.9526 versus 0.9504 (HG007); mean 0.9501 versus 0.9449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+0.0052; Table 2). The 95% interval from 20,000 paired bootstrap resamples is [+0.0039, +0.0065], and with n = 6 the two-sided exact Wilcoxon signed-rank test gives p = 0.031, its minimum. Below 0.5% MAF GLIMPSE2 is marginally ahead at this coverage (pooled over the six samples, 0.8788 against 0.8810), matching the chromosome-22 rare stratum of the capture libraries (Table 1c). Selphi 2 imputes one chromosome-22 sample in 117 s on 16 cores at 4.2 GB peak memory, against 332 s for GLIMPSE2 from chunking to ligation (2.8</w:t>
      </w:r>
      <m:oMath>
        <m:r>
          <m:rPr>
            <m:sty m:val="p"/>
          </m:rPr>
          <m:t>×</m:t>
        </m:r>
      </m:oMath>
      <w:r>
        <w:rPr>
          <w:rFonts w:ascii="Times New Roman" w:hAnsi="Times New Roman" w:cs="Times New Roman" w:eastAsia="Times New Roman"/>
        </w:rPr>
        <w:t xml:space="preserve">), timed in the same session; GLIMPSE2's one-time reference splitting, like building Selphi 2's SRP, is excluded from both.</w:t>
      </w:r>
    </w:p>
    <w:p>
      <w:pPr>
        <w:pStyle w:val="BodyText"/>
        <w:jc w:val="both"/>
      </w:pPr>
      <w:r>
        <w:rPr>
          <w:rFonts w:ascii="Times New Roman" w:hAnsi="Times New Roman" w:cs="Times New Roman" w:eastAsia="Times New Roman"/>
          <w:b/>
          <w:bCs/>
          <w:sz w:val="20"/>
        </w:rPr>
        <w:t xml:space="preserve">Table 2. Low-coverage sequencing imputation accuracy and efficiency versus GLIMPSE2.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WGS alignments (brain-genomics-public, GRCh38) were downsampled to ~1.8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Both tools used the same 861,018-site panel file. Wall time and peak memory (text) are for a single chromosome-22 sample on 16 cores, measured in one session; GLIMPSE2's one-time reference-splitting step (analogous to building Selphi 2's SRP) is excluded from both tools. Selphi 2's 4.2 GB here against 4.9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144"/>
        <w:gridCol w:w="2144"/>
        <w:gridCol w:w="2666"/>
        <w:gridCol w:w="2406"/>
      </w:tblGrid>
      <w:tr>
        <w:trPr>
          <w:tblHeader w:val="on"/>
        </w:trPr>
        <w:tc>
          <w:tcPr>
            <w:shd w:val="clear" w:color="auto" w:fill="595959"/>
            <w:vAlign w:val="center"/>
            <w:tcW w:type="dxa" w:w="2144"/>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4"/>
          </w:tcPr>
          <w:p>
            <w:pPr>
              <w:pStyle w:val="Compact"/>
              <w:spacing w:before="0" w:after="0"/>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66"/>
          </w:tcPr>
          <w:p>
            <w:pPr>
              <w:pStyle w:val="Compact"/>
              <w:spacing w:before="0" w:after="0"/>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6"/>
          </w:tcPr>
          <w:p>
            <w:pPr>
              <w:pStyle w:val="Compact"/>
              <w:spacing w:before="0" w:after="0"/>
              <w:jc w:val="center"/>
            </w:pPr>
            <m:oMath>
              <m:r>
                <m:rPr>
                  <m:sty m:val="p"/>
                </m:rPr>
                <m:t>Δ</m:t>
              </m:r>
            </m:oMath>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0.9457</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0.9389</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+0.0068</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0.9522</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0.9447</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+0.0075</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0.9489</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0.9440</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+0.0048</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0.9465</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0.9416</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+0.0049</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0.9546</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0.9496</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+0.0050</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0.9526</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0.9504</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+0.0022</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Mean</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0.9501</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b/>
                <w:bCs/>
                <w:sz w:val="20"/>
              </w:rPr>
              <w:t xml:space="preserve">0.9449</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b/>
                <w:bCs/>
                <w:sz w:val="20"/>
              </w:rPr>
              <w:t xml:space="preserve">+0.0052</w:t>
            </w:r>
          </w:p>
        </w:tc>
      </w:tr>
    </w:tbl>
    <w:p>
      <w:pPr>
        <w:pStyle w:val="BodyText"/>
        <w:jc w:val="both"/>
      </w:pPr>
      <w:r>
        <w:rPr>
          <w:rFonts w:ascii="Times New Roman" w:hAnsi="Times New Roman" w:cs="Times New Roman" w:eastAsia="Times New Roman"/>
        </w:rPr>
        <w:t xml:space="preserve">We then compared Selphi 2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across sequencing depth. HG002, HG003 and HG004 were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positions 20-30 Mb. Each tool computed genotype likelihoods with its own pileup and imputed the same region against the same leak-free 1000 Genomes panel, and we scored the sites imputed by all three against the GIAB high-confidence truth, counting reference-homozygous sites as dosage zero. Selphi 2 has the highest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0.9921, 0.9950, 0.9970 and 0.9978, against 0.9916, 0.9945, 0.9967 and 0.9975 for GLIMPSE2 and 0.9919, 0.9944, 0.9968 and 0.9973 for QUILT2 (Table 2b; Figure 3d). Below 0.5% MAF Selphi 2 and GLIMPSE2 are level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(0.9252 both), Selphi 2 leads 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(0.9510 versus 0.9495) 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(0.9703 versus 0.9638), and it trails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(0.9014 versus 0.9023). This stratum depends on band-mode recombination (Methods), which lets a copied haplotype switch onto a rare-allele carrier. Selphi 2 leads QUILT2 at every depth in this bin. In the other MAF bins the three tools are close and no tool leads throughout: GLIMPSE2 or QUILT2 is ahead in some, most consistently at 1-2%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2</w:t>
      </w:r>
      <m:oMath>
        <m:r>
          <m:rPr>
            <m:sty m:val="p"/>
          </m:rPr>
          <m:t>×</m:t>
        </m:r>
      </m:oMath>
      <w:r>
        <w:rPr>
          <w:rFonts w:ascii="Times New Roman" w:hAnsi="Times New Roman" w:cs="Times New Roman" w:eastAsia="Times New Roman"/>
        </w:rPr>
        <w:t xml:space="preserve">. Speed differs more than accuracy. For one sample (HG002) over the whole of chromosome 22 at 1</w:t>
      </w:r>
      <m:oMath>
        <m:r>
          <m:rPr>
            <m:sty m:val="p"/>
          </m:rPr>
          <m:t>×</m:t>
        </m:r>
      </m:oMath>
      <w:r>
        <w:rPr>
          <w:rFonts w:ascii="Times New Roman" w:hAnsi="Times New Roman" w:cs="Times New Roman" w:eastAsia="Times New Roman"/>
        </w:rPr>
        <w:t xml:space="preserve">, timed in one session on 16 threads, Selphi 2 takes 105-109 s in a single pass (two repeats), GLIMPSE2 278 s from chunking through its 15 chunks to ligation, and QUILT2 1,701 s tiled across the chromosome: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(Figure 4a). QUILT2's run time grows with depth. Its read-level model, which keeps within-read linkage instead of reducing reads to per-site likelihoods, may help below 0.5</w:t>
      </w:r>
      <m:oMath>
        <m:r>
          <m:rPr>
            <m:sty m:val="p"/>
          </m:rPr>
          <m:t>×</m:t>
        </m:r>
      </m:oMath>
      <w:r>
        <w:rPr>
          <w:rFonts w:ascii="Times New Roman" w:hAnsi="Times New Roman" w:cs="Times New Roman" w:eastAsia="Times New Roman"/>
        </w:rPr>
        <w:t xml:space="preserve">, which we did not test. Across both datasets the rarest frequencies tell one story: on chromosome 22 GLIMPSE2 is level or marginally ahead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below 1</w:t>
      </w:r>
      <m:oMath>
        <m:r>
          <m:rPr>
            <m:sty m:val="p"/>
          </m:rPr>
          <m:t>×</m:t>
        </m:r>
      </m:oMath>
      <w:r>
        <w:rPr>
          <w:rFonts w:ascii="Times New Roman" w:hAnsi="Times New Roman" w:cs="Times New Roman" w:eastAsia="Times New Roman"/>
        </w:rPr>
        <w:t xml:space="preserve">, there is no consistent per-sample ordering in the capture libraries,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and on chromosomes 10 and 1 the rare stratum is Selphi 2's largest and unanimous margin (Table 1d).</w:t>
      </w:r>
    </w:p>
    <w:p>
      <w:pPr>
        <w:pStyle w:val="BodyText"/>
        <w:jc w:val="both"/>
      </w:pPr>
      <w:r>
        <w:rPr>
          <w:rFonts w:ascii="Times New Roman" w:hAnsi="Times New Roman" w:cs="Times New Roman" w:eastAsia="Times New Roman"/>
          <w:b/>
          <w:bCs/>
          <w:sz w:val="20"/>
        </w:rPr>
        <w:t xml:space="preserve">Table 2b. Three-way low-coverage comparison across a coverage sweep.</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HG002, HG003 and HG004 downsampled to the indicated depth over chromosome 22 (positions 20-30 Mb); all three tools imputed the same region against a leak-free 1000 Genomes panel (6,332 haplotypes) and were scored against the GIAB v4.2.1 high-confidence truth (reference-homozygous sites scored as dosage zero) on the per-sample set of sites imputed by all three (191,954, 189,846 and 189,301 sites). All three tools generate genotype likelihoods from the BAMs with their own in-process pileup (no external caller): Selphi 2's</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engine uses a faithful reimplementation of the samtools/bcftools revised-MAQ base-error model and band-mode recombination (default; Methods); GLIMPSE2 and QUILT2 use their built-in pileups with default settings. Top: mean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Bottom:</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MAF 0-0.5%, pooled over the three samples (430,175 site-sample pairs).</w:t>
      </w:r>
    </w:p>
    <w:p>
      <w:pPr>
        <w:pStyle w:val="BodyText"/>
        <w:jc w:val="both"/>
      </w:pPr>
      <w:r>
        <w:rPr>
          <w:rFonts w:ascii="Times New Roman" w:hAnsi="Times New Roman" w:cs="Times New Roman" w:eastAsia="Times New Roman"/>
          <w:i/>
          <w:iCs/>
          <w:sz w:val="20"/>
        </w:rPr>
        <w:t xml:space="preserve">Overall per-sample</w:t>
      </w:r>
      <w:r>
        <w:rPr>
          <w:rFonts w:ascii="Times New Roman" w:hAnsi="Times New Roman" w:cs="Times New Roman" w:eastAsia="Times New Roman"/>
          <w:i/>
          <w:iCs/>
          <w:sz w:val="20"/>
        </w:rPr>
        <w:t xml:space="preserve"> </w:t>
      </w:r>
      <m:oMath>
        <m:sSup>
          <m:e>
            <m:r>
              <m:t>R</m:t>
            </m:r>
          </m:e>
          <m:sup>
            <m:r>
              <m:t>2</m:t>
            </m:r>
          </m:sup>
        </m:sSup>
      </m:oMath>
      <w:r>
        <w:rPr>
          <w:rFonts w:ascii="Times New Roman" w:hAnsi="Times New Roman" w:cs="Times New Roman" w:eastAsia="Times New Roman"/>
          <w:i/>
          <w:iCs/>
          <w:sz w:val="20"/>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593"/>
        <w:gridCol w:w="2088"/>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86"/>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88"/>
          </w:tcPr>
          <w:p>
            <w:pPr>
              <w:pStyle w:val="Compact"/>
              <w:spacing w:before="0" w:after="0"/>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0.9921</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0.9916</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0.9919</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0.9950</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0.9945</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0.9944</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0.9970</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0.9967</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0.9968</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0.9978</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0.9975</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sz w:val="20"/>
        </w:rPr>
        <w:t xml:space="preserve">Ultra-rare (MAF 0-0.5%)</w:t>
      </w:r>
      <w:r>
        <w:rPr>
          <w:rFonts w:ascii="Times New Roman" w:hAnsi="Times New Roman" w:cs="Times New Roman" w:eastAsia="Times New Roman"/>
          <w:i/>
          <w:iCs/>
          <w:sz w:val="20"/>
        </w:rPr>
        <w:t xml:space="preserve"> </w:t>
      </w:r>
      <m:oMath>
        <m:sSup>
          <m:e>
            <m:r>
              <m:t>R</m:t>
            </m:r>
          </m:e>
          <m:sup>
            <m:r>
              <m:t>2</m:t>
            </m:r>
          </m:sup>
        </m:sSup>
      </m:oMath>
      <w:r>
        <w:rPr>
          <w:rFonts w:ascii="Times New Roman" w:hAnsi="Times New Roman" w:cs="Times New Roman" w:eastAsia="Times New Roman"/>
          <w:i/>
          <w:iCs/>
          <w:sz w:val="20"/>
        </w:rPr>
        <w:t xml:space="preserve">, pooled: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593"/>
        <w:gridCol w:w="2088"/>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86"/>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88"/>
          </w:tcPr>
          <w:p>
            <w:pPr>
              <w:pStyle w:val="Compact"/>
              <w:spacing w:before="0" w:after="0"/>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0.9014</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b/>
                <w:bCs/>
                <w:sz w:val="20"/>
              </w:rPr>
              <w:t xml:space="preserve">0.9023</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0.8864</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0.9150</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0.9510</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0.9495</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0.9415</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0.9703</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0.9638</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1,016,325 of them polymorphic in the panel and scored), imputing 801 held-out samples, Selphi 2's default diploid engine reaches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0.4864 against whole-genome truth, against 0.4666 for Beagle 5.5, 0.4613 for Minimac4 and 0.4587 for IMPUTE5 (Table 3). Selphi 2 and Beagle 5.5 ran as full phase-and-impute pipelines from the unphased chip, in one session; IMPUTE5 and Minimac4, which need phased input, received the same phased target (Table 3 caption).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0.9175 for Selphi 2, 0.9062 for Beagle 5.5, 0.9040 for Minimac4 and 0.9035 for IMPUTE5. The per-sample gain is consistent across the 801 samples: +0.0114 over Beagle 5.5 (95% CI [+0.0110, +0.0118], 20,000 paired bootstrap resamples; higher in 782 of 801 samples), and, comparing the full pipeline with their imputation from the published phasing, +0.0140 over IMPUTE5 (790 of 801) and +0.0135 over Minimac4 (778 of 801;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On chromosome 1 (5,482,279 scored variants)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0.5755 against 0.5558 for Beagle 5.5 and per-sample mean 0.9579 against 0.9518, a gain of +0.0061 (95% CI [+0.0059, +0.0062]) in all 801 samples. Selphi 2's full pipeline has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in every MAF bin on chromosome 22, and exceeds Beagle 5.5 in every bin on chromosome 1, including the rarest (MAF 0.05-0.1%). At equal input, imputing from the published phasing, Selphi 2 still leads IMPUTE5 and Beagle 5.5 in every bin of chromosome 22 and Minimac4 in every bin but the rarest, where Minimac4 is 0.0002 ahead (0.2628 against 0.2626).</w:t>
      </w:r>
    </w:p>
    <w:p>
      <w:pPr>
        <w:pStyle w:val="BodyText"/>
        <w:jc w:val="both"/>
      </w:pPr>
      <w:r>
        <w:rPr>
          <w:rFonts w:ascii="Times New Roman" w:hAnsi="Times New Roman" w:cs="Times New Roman" w:eastAsia="Times New Roman"/>
        </w:rPr>
        <w:t xml:space="preserve">To compare the imputers alone, we gave Selphi 2, Beagle 5.5, Minimac4 and IMPUTE5 the same phased target haplotypes and the same panel across 20 autosomes (Figure 3a; Supplementary Table S9). Because the shared target is fully phased and complete, Beagle 5.5 also imputes without re-estimating phase. Selphi 2 leads with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0.5788, ahead of Beagle 5.5 (0.5673), Minimac4 (0.5648) and IMPUTE5 (0.5626), and in eight of nine MAF bins; Minimac4 leads the rarest bin (0.05-0.1%) by 0.0012. As deployed, from the unphased chip with its own phasing, Selphi 2 reaches a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0.5939 against Beagle 5.5's 0.5737 (+0.0201), with per-sample mean 0.9568 against 0.9507 (+0.0061, 95% CI [+0.0060, +0.0062]; higher in all 801 samples), and leads in every MAF bin, the rarest included (0.3723 against 0.3555). Its own phasing adds +0.0151 overall and +0.0244 in the rarest bin over the imputation-only arm. Beagle 5.5 runs this genome-wide full pipeline in about half Selphi 2's wall time (3,162 against 6,579 s). Supplementary Table S1 gives chromosomes 22 and 1 by MAF and Table S9 the genome-wide imputation-only breakdown behind Figure 3a. Against the original Selphi 1.5.3, compared at equal phasing on the consumer arrays (Table 5) and on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(Supplementary Table S11), Selphi 2 is level on array SNPs, 0.0021 lower on indels, and far ahead on the biobank panel (overall 0.6209 against 0.4957).</w:t>
      </w:r>
    </w:p>
    <w:p>
      <w:pPr>
        <w:pStyle w:val="BodyText"/>
        <w:jc w:val="both"/>
      </w:pPr>
      <w:r>
        <w:rPr>
          <w:rFonts w:ascii="Times New Roman" w:hAnsi="Times New Roman" w:cs="Times New Roman" w:eastAsia="Times New Roman"/>
          <w:b/>
          <w:bCs/>
          <w:sz w:val="20"/>
        </w:rPr>
        <w:t xml:space="preserve">Table 3.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on the 1000 Genomes Phase 3 panel, by MAF.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Each cell reports</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between imputed dosage and whole-genome-sequenced truth at variants in the indicated MAF bin (minor-allele frequency in the 801 truth genomes), scored by one evaluator on the same sites for every tool: the untyped sites polymorphic in the panel (Methods). n = 801 held-out samples per chromosome. Selphi 2 (default diploid engine) and Beagle 5.5 are the full pipeline (unphased target chip in, imputed dosage out), run in one session, on chromosomes 22 and 1. IMPUTE5 and Minimac4 are impute-only, given the identical phased target and panel, on chromosome 22. Bold marks the best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680"/>
        <w:gridCol w:w="1199"/>
        <w:gridCol w:w="1199"/>
        <w:gridCol w:w="1360"/>
        <w:gridCol w:w="1520"/>
        <w:gridCol w:w="1199"/>
        <w:gridCol w:w="1203"/>
      </w:tblGrid>
      <w:tr>
        <w:trPr>
          <w:tblHeader w:val="on"/>
        </w:trPr>
        <w:tc>
          <w:tcPr>
            <w:shd w:val="clear" w:color="auto" w:fill="595959"/>
            <w:vAlign w:val="center"/>
            <w:tcW w:type="dxa" w:w="1680"/>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60"/>
          </w:tcPr>
          <w:p>
            <w:pPr>
              <w:pStyle w:val="Compact"/>
              <w:spacing w:before="0" w:after="0"/>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20"/>
          </w:tcPr>
          <w:p>
            <w:pPr>
              <w:pStyle w:val="Compact"/>
              <w:spacing w:before="0" w:after="0"/>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03"/>
          </w:tcPr>
          <w:p>
            <w:pPr>
              <w:pStyle w:val="Compact"/>
              <w:spacing w:before="0" w:after="0"/>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0.2800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0.2673</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0.2599</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0.2628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0.3624</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0.3466</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0.3304</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0.3130</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0.3022</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0.3076</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0.4205</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0.3988</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0.4296</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0.4060</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0.3933</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0.3983</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0.5174</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0.4932</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0.5129</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0.4859</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0.4762</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0.4802</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0.6177</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0.5922</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0.5767</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0.5480</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0.5414</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0.5442</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0.6832</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0.6578</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0.6783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0.6525</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0.6486</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0.6503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0.7574</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0.7338</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0.7608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0.7387</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0.7355</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0.7358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0.8513</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0.8343</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0.7971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0.7790</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0.7769</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0.7731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0.9018</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0.8901</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0.8430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0.8274</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0.8255</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0.8215</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0.9318</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0.9231</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0.4864</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0.4666</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0.4587</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0.4613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0.5755</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0.5558</w:t>
            </w:r>
          </w:p>
        </w:tc>
      </w:tr>
    </w:tbl>
    <w:p>
      <w:pPr>
        <w:pStyle w:val="BodyText"/>
        <w:jc w:val="both"/>
      </w:pPr>
      <w:r>
        <w:rPr>
          <w:rFonts w:ascii="Times New Roman" w:hAnsi="Times New Roman" w:cs="Times New Roman" w:eastAsia="Times New Roman"/>
        </w:rPr>
        <w:t xml:space="preserve">As a full pipeline Selphi 2 leads at every frequency, the rarest bin included (+0.0127 on chromosome 22, +0.0158 on chromosome 1 over Beagle 5.5). Against Beagle 5.5 on chromosome 22 the margin is largest at 1-2% MAF (+0.0287) and smallest at the two ends of the spectrum (+0.0127 in the rarest bin, +0.0156 at 20-50%). Imputing from an external phasing, Selphi 2 also leads Beagle 5.5 in every bin on both chromosomes (Supplementary Table S1), so the advantage is in the imputer; at common frequencies it comes from the long-range, large-window PBWT scan, which keeps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candidate-set size keeps a shrinking fraction of the panel as the panel grows: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keeps 1.5% of the 171,054-haplotype TOPMed panel. We expected such a cap to exclude haplotypes that carry rare alleles in minority sub-populations, and tested this on the MESA cohort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genotyped on a chip array) imputed against the TOPMed Freeze 8 panel (chromosome 20, 17.9 million variants). The cohort is admixed (African, Hispanic, Asian and European sub-populations) and fully held out from TOPMed.</w:t>
      </w:r>
    </w:p>
    <w:p>
      <w:pPr>
        <w:pStyle w:val="BodyText"/>
        <w:jc w:val="both"/>
      </w:pPr>
      <w:r>
        <w:rPr>
          <w:rFonts w:ascii="Times New Roman" w:hAnsi="Times New Roman" w:cs="Times New Roman" w:eastAsia="Times New Roman"/>
        </w:rPr>
        <w:t xml:space="preserve">The panel-adaptive formula (Methods, Candidate selection and HMM) gives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TOPMed (tile-compression diversity CV = 0.845, scaled fraction 0.776). Every tool was scored by the same evaluator on the same 11,085,368 sites, the variants polymorphic in the panel (6,815,267 of the 17.9 million carry no alternate allele among the panel's haplotypes and cannot be imputed by any tool). At this size Selphi 2's default diploid engine reaches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0.6209 on MESA against 0.5916 for Beagle 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+0.0293).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0.9016 against 0.8842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+0.0174), and Selphi 2 leads in all four self-reported ancestry groups (+0.015 to +0.032, largest for the East-Asian group; Figure 3b). Imputing at their defaults from an external phasing of the same target, Selphi 1.5.3, IMPUTE5 and Minimac4 reach 0.4957, 0.4947 and 0.4802: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Minimac4's block-based state reduction and Selphi 1.5.3's fixed per-variant match caps keep too few rare-allele carriers from a 171,054-haplotype panel, the truncation that the candidate-size ablation isolates. Selphi 2 leads all four tools in every MAF bin (Supplementary Table S11).</w:t>
      </w:r>
    </w:p>
    <w:p>
      <w:pPr>
        <w:pStyle w:val="BodyText"/>
        <w:jc w:val="both"/>
      </w:pPr>
      <w:r>
        <w:rPr>
          <w:rFonts w:ascii="Times New Roman" w:hAnsi="Times New Roman" w:cs="Times New Roman" w:eastAsia="Times New Roman"/>
        </w:rPr>
        <w:t xml:space="preserve">To isolate the sizing rule, we ran Selphi 2 on the same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On a 500-sample MESA subset (chromosome 20, TOPMed),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gave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0.5680 and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gave 0.6215, a gain of +0.0535 from candidate-set size alone (Table 4).</w:t>
      </w:r>
    </w:p>
    <w:p>
      <w:pPr>
        <w:pStyle w:val="BodyText"/>
        <w:jc w:val="both"/>
      </w:pPr>
      <w:r>
        <w:rPr>
          <w:rFonts w:ascii="Times New Roman" w:hAnsi="Times New Roman" w:cs="Times New Roman" w:eastAsia="Times New Roman"/>
          <w:b/>
          <w:bCs/>
          <w:sz w:val="20"/>
        </w:rPr>
        <w:t xml:space="preserve">Table 4. Effect of candidate-set size on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MESA admixed cohort</w:t>
      </w:r>
      <w:r>
        <w:rPr>
          <w:rFonts w:ascii="Times New Roman" w:hAnsi="Times New Roman" w:cs="Times New Roman" w:eastAsia="Times New Roman"/>
          <w:b/>
          <w:bCs/>
          <w:sz w:val="20"/>
        </w:rPr>
        <w:t xml:space="preserve"> </w:t>
      </w:r>
      <m:oMath>
        <m:r>
          <m:rPr>
            <m:sty m:val="p"/>
          </m:rPr>
          <m:t>×</m:t>
        </m:r>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TOPMed panel.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two candidate-set sizes on a 500-sample subset of MESA, chr20, by MAF (the 5,000-sample gain stratified by ancestry is in Table 4b).</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2,500 is a representative fixed candidate-set size;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132,676 is the value chosen by the panel-adaptive formula (Methods). Scored on the panel-polymorphic sites; the 0.05-0.1% bin is empty at 500 samples (one allele copy is 0.1%).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340"/>
        <w:gridCol w:w="2341"/>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86"/>
          </w:tcPr>
          <w:p>
            <w:pPr>
              <w:pStyle w:val="Compact"/>
              <w:spacing w:before="0" w:after="0"/>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spacing w:before="0" w:after="0"/>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1"/>
          </w:tcPr>
          <w:p>
            <w:pPr>
              <w:pStyle w:val="Compact"/>
              <w:spacing w:before="0" w:after="0"/>
              <w:jc w:val="center"/>
            </w:pPr>
            <m:oMath>
              <m:r>
                <m:rPr>
                  <m:sty m:val="p"/>
                </m:rPr>
                <m:t>Δ</m:t>
              </m:r>
            </m:oMath>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0.1-0.2%</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0.4675</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0.5570</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+0.0895</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0.2-0.5%</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0.5449</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0.6105</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+0.0657</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0.5-1%</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0.6520</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+0.0422</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1-2%</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0.6684</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+0.0315</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2-5%</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0.6385</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0.6610</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+0.0225</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5-10%</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0.6656</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0.6788</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+0.0132</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10-20%</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0.7224</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0.7306</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+0.0082</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20-50%</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0.6778</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+0.0047</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0.5680</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b/>
                <w:bCs/>
                <w:sz w:val="20"/>
              </w:rPr>
              <w:t xml:space="preserve">0.6215</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b/>
                <w:bCs/>
                <w:sz w:val="20"/>
              </w:rPr>
              <w:t xml:space="preserve">+0.0535</w:t>
            </w:r>
          </w:p>
        </w:tc>
      </w:tr>
    </w:tbl>
    <w:p>
      <w:pPr>
        <w:pStyle w:val="BodyText"/>
        <w:jc w:val="both"/>
      </w:pPr>
      <w:r>
        <w:rPr>
          <w:rFonts w:ascii="Times New Roman" w:hAnsi="Times New Roman" w:cs="Times New Roman" w:eastAsia="Times New Roman"/>
        </w:rPr>
        <w:t xml:space="preserve">The gain grows toward rarer MAF bins, as expected if the fixed cap truncates rare-variant carriers first. The panel-adaptive formula recovers this accuracy without manual tuning.</w:t>
      </w:r>
    </w:p>
    <w:p>
      <w:pPr>
        <w:pStyle w:val="BodyText"/>
        <w:jc w:val="both"/>
      </w:pPr>
      <w:r>
        <w:rPr>
          <w:rFonts w:ascii="Times New Roman" w:hAnsi="Times New Roman" w:cs="Times New Roman" w:eastAsia="Times New Roman"/>
        </w:rPr>
        <w:t xml:space="preserve">If the truncation falls mainly on minority ancestries, the recovered accuracy should differ by ancestry. We re-imputed all 5,000 samples twice,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and with the adaptive 132,676, identical otherwise, and stratified the difference by self-reported ancestry and within-group MAF (3,948 of 5,000 samples carry an ancestry label). The recovery is concentrated at rare variants and is largest in the most admixed or diverged groups (Table 4b). In the rarest bin (MAF 0.05-0.1%) it is +0.146</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+0.114 for African-American samples against +0.105 for European-ancestry (White) samples, and the gap widens across the low-frequency range (0.2-0.5% MAF: +0.109 and +0.070 against +0.047). Over all variants the recovery is +0.101 (Hispanic), +0.072 (African-American) and +0.046 (White). The more homogeneous East-Asian (Chinese-American) group, already well served by a small candidate set, gains little (overall +0.004; +0.014 in the rarest bin, slightly negative from 0.5% MAF upward, where the larger set over-conditions it). The decay from rare to common variants and the ordering by admixture and divergence fit the proposed mechanism: a fixed cap filled by majority-ancestry haplotypes excludes the rare-allele carriers of admixed and diverged populations, and adaptive sizing restores them.</w:t>
      </w:r>
    </w:p>
    <w:p>
      <w:pPr>
        <w:pStyle w:val="BodyText"/>
        <w:jc w:val="both"/>
      </w:pPr>
      <w:r>
        <w:rPr>
          <w:rFonts w:ascii="Times New Roman" w:hAnsi="Times New Roman" w:cs="Times New Roman" w:eastAsia="Times New Roman"/>
          <w:b/>
          <w:bCs/>
          <w:sz w:val="20"/>
        </w:rPr>
        <w:t xml:space="preserve">Table 4b. Rare-variant accuracy recovered by panel-adaptive candidate sizing, stratified by ancestry.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Per-variant</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(panel-adaptive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132,676 minus fixed</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2,500) on the full 5,000-sample MESA cohort imputed against the TOPMed panel (chr20), binned by within-group minor-allele frequency, on the panel-polymorphic sites.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565"/>
        <w:gridCol w:w="2541"/>
        <w:gridCol w:w="1425"/>
        <w:gridCol w:w="1286"/>
        <w:gridCol w:w="2543"/>
      </w:tblGrid>
      <w:tr>
        <w:trPr>
          <w:tblHeader w:val="on"/>
        </w:trPr>
        <w:tc>
          <w:tcPr>
            <w:shd w:val="clear" w:color="auto" w:fill="595959"/>
            <w:vAlign w:val="center"/>
            <w:tcW w:type="dxa" w:w="1565"/>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41"/>
          </w:tcPr>
          <w:p>
            <w:pPr>
              <w:pStyle w:val="Compact"/>
              <w:spacing w:before="0" w:after="0"/>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25"/>
          </w:tcPr>
          <w:p>
            <w:pPr>
              <w:pStyle w:val="Compact"/>
              <w:spacing w:before="0" w:after="0"/>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86"/>
          </w:tcPr>
          <w:p>
            <w:pPr>
              <w:pStyle w:val="Compact"/>
              <w:spacing w:before="0" w:after="0"/>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43"/>
          </w:tcPr>
          <w:p>
            <w:pPr>
              <w:pStyle w:val="Compact"/>
              <w:spacing w:before="0" w:after="0"/>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+0.1140</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b/>
                <w:bCs/>
                <w:sz w:val="20"/>
              </w:rPr>
              <w:t xml:space="preserve">+0.1460</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+0.1047</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+0.0137</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+0.0968</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+0.1351</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+0.0733</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+0.0122</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+0.0702</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+0.1093</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+0.0471</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+0.0042</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+0.0513</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+0.0830</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+0.0298</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-0.0006</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+0.0416</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+0.0573</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+0.0185</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-0.0045</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+0.0331</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+0.0356</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+0.0090</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-0.0054</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+0.0256</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+0.0201</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+0.0080</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-0.0058</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+0.0192</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+0.0142</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+0.0064</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-0.0054</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+0.0127</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+0.0092</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+0.0038</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-0.0039</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+0.0724</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+0.1008</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+0.0455</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+0.0038</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fixes the panel and varies the candidate-set size. A harder test is whether the advantage holds for ancestries absent from the panel. We built an out-of-panel benchmark from the gnomAD Human Genome Diversity Project and 1000 Genomes harmonized callset (22 autosomes, GRCh38, phased)</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The 3,166 1000 Genomes samples (6,332 haplotypes; African, admixed-American, East-Asian, European and Central/South-Asian ancestries) formed the panel, and the 925 HGDP individuals were held-out targets. Targets were masked to a common-SNP array (common variants thinned to approximately one per 5 kb), imputed back to full density and scored against their sequence genotypes. Two HGDP groups have no representation in the panel, Oceanian (n = 30) and Middle-Eastern (n = 157); others belong to represented continents but unrepresented populations (for example Central/South-Asian, n = 183).</w:t>
      </w:r>
    </w:p>
    <w:p>
      <w:pPr>
        <w:pStyle w:val="BodyText"/>
        <w:jc w:val="both"/>
      </w:pPr>
      <w:r>
        <w:rPr>
          <w:rFonts w:ascii="Times New Roman" w:hAnsi="Times New Roman" w:cs="Times New Roman" w:eastAsia="Times New Roman"/>
        </w:rPr>
        <w:t xml:space="preserve">Across the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+0.0107, Middle-Eastern +0.0067; African +0.0132, East-Asian +0.0080; Table 4c). It is higher in all 925 targets, every target of every region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+0.0073, 95% CI [+0.0071, +0.0076], 20,000 paired bootstrap resamples).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scored on the sites polymorphic in the panel, is also higher overall (0.5356 against 0.5169) and in every MAF bin, the rarest included (0.05-0.1%: 0.3610 against 0.3495). Both tools' outputs were read in full on every chromosome (records written equal records scored). The advantage therefore extends to ancestries not in the panel. Conditioning on the full panel matters here: subsetting this 6,332-haplotype panel to 2,500 haplotypes drops the rare-allele carriers of the out-of-panel targets and inverts the per-variant ranking, which is why panels below 16,000 haplotypes are used in full (Methods).</w:t>
      </w:r>
    </w:p>
    <w:p>
      <w:pPr>
        <w:pStyle w:val="BodyText"/>
        <w:jc w:val="both"/>
      </w:pPr>
      <w:r>
        <w:rPr>
          <w:rFonts w:ascii="Times New Roman" w:hAnsi="Times New Roman" w:cs="Times New Roman" w:eastAsia="Times New Roman"/>
          <w:b/>
          <w:bCs/>
          <w:sz w:val="20"/>
        </w:rPr>
        <w:t xml:space="preserve">Table 4c. Out-of-panel generalization: HGDP targets imputed against a 1000 Genomes panel,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mean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default diploid engine versus Beagle 5.5) for 925 HGDP individuals imputed from a 3,166-sample 1000 Genomes reference panel (all 22 autosomes, GRCh38, common-SNP array input), by continental region, scored on the sites polymorphic in the panel. Oceanian and Middle-Eastern groups have no representation in the panel. n = targets per region; Selphi 2 is higher in every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478"/>
        <w:gridCol w:w="1243"/>
        <w:gridCol w:w="1243"/>
        <w:gridCol w:w="1396"/>
      </w:tblGrid>
      <w:tr>
        <w:trPr>
          <w:tblHeader w:val="on"/>
        </w:trPr>
        <w:tc>
          <w:tcPr>
            <w:shd w:val="clear" w:color="auto" w:fill="595959"/>
            <w:vAlign w:val="center"/>
            <w:tcW w:type="dxa" w:w="5478"/>
          </w:tcPr>
          <w:p>
            <w:pPr>
              <w:pStyle w:val="Compact"/>
              <w:spacing w:before="0" w:after="0"/>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24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243"/>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96"/>
          </w:tcPr>
          <w:p>
            <w:pPr>
              <w:pStyle w:val="Compact"/>
              <w:spacing w:before="0" w:after="0"/>
              <w:jc w:val="center"/>
            </w:pPr>
            <m:oMath>
              <m:r>
                <m:rPr>
                  <m:sty m:val="p"/>
                </m:rPr>
                <m:t>Δ</m:t>
              </m:r>
            </m:oMath>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Oceanian, not in panel (30)</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0.9132</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0.9025</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+0.0107</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0.9411</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0.9344</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+0.0067</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African (107)</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0.8847</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0.8715</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+0.0132</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East-Asian (233)</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0.9517</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0.9437</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+0.0080</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Central/South-Asian (183)</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0.9485</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0.9429</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+0.0056</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European (153)</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0.9582</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0.9534</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+0.0048</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Admixed-American (62)</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0.9650</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0.9590</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+0.0060</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All (925)</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0.9422</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0.9349</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+0.0073</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1" name="Picture"/>
            <a:graphic>
              <a:graphicData uri="http://schemas.openxmlformats.org/drawingml/2006/picture">
                <pic:pic>
                  <pic:nvPicPr>
                    <pic:cNvPr descr="figures/figure3_accuracy.png" id="42" name="Picture"/>
                    <pic:cNvPicPr>
                      <a:picLocks noChangeArrowheads="1" noChangeAspect="1"/>
                    </pic:cNvPicPr>
                  </pic:nvPicPr>
                  <pic:blipFill>
                    <a:blip r:embed="rId40"/>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Beagle 5.5, Minimac4 and IMPUTE5, all imputing from the identical phased target haplotypes and the same reference panel (the target is fully phased and complete, so Beagle 5.5 likewise imputes without re-estimating phase), scored by one evaluator on the same panel-polymorphic sites. Selphi 2 leads overall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0.5788 against 0.5673 for Beagle 5.5) and in eight of nine bins; Minimac4 leads the rarest 0.05-0.1% bin by 0.0012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+0.015 to +0.032),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All three tools imputed the same region.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pooled;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is level with GLIMPSE2 at 1</w:t>
      </w:r>
      <m:oMath>
        <m:r>
          <m:rPr>
            <m:sty m:val="p"/>
          </m:rPr>
          <m:t>×</m:t>
        </m:r>
      </m:oMath>
      <w:r>
        <w:rPr>
          <w:rFonts w:ascii="Times New Roman" w:hAnsi="Times New Roman" w:cs="Times New Roman" w:eastAsia="Times New Roman"/>
          <w:sz w:val="20"/>
        </w:rPr>
        <w:t xml:space="preserve">, and GLIMPSE2 is marginally ahead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benchmarks share haplotypes between panel and targets by descent, which can inflate accuracy. For independent validation we imputed the GIAB samples HG002-HG007, none of which are in the 1000 Genomes Project, against the 75,552-haplotype panel, which contains the full 1000 Genomes cohort. Truth came from the GIAB v4.2.1 high-confidence regions restricted to common variants (MAF 5-50%). Both tools imputed the same phased chip input against the same panel content (Beagle 5.5 received the bref3 file the SRP was built from), and both were scored on the same sites: 69,806 on chromosome 21 and 409,391 on chromosome 1.</w:t>
      </w:r>
    </w:p>
    <w:p>
      <w:pPr>
        <w:pStyle w:val="BodyText"/>
        <w:jc w:val="both"/>
      </w:pPr>
      <w:r>
        <w:rPr>
          <w:rFonts w:ascii="Times New Roman" w:hAnsi="Times New Roman" w:cs="Times New Roman" w:eastAsia="Times New Roman"/>
        </w:rPr>
        <w:t xml:space="preserve">On chromosome 21 Selphi 2 reaches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0.9700 (concordance 0.9803) against 0.9633 (0.9783) for Beagle 5.5 (build 03 Oct 2025); on chromosome 1, 0.9771 (0.9864) against 0.9757 (0.9860). This truth covers only common variants, where modern imputers are expected to converge; the leak-free test of rare-variant accuracy is the HGDP benchmark above, where Selphi 2 leads Beagle 5.5 at every frequency.</w:t>
      </w:r>
    </w:p>
    <w:p>
      <w:pPr>
        <w:pStyle w:val="BodyText"/>
        <w:jc w:val="both"/>
      </w:pPr>
      <w:r>
        <w:rPr>
          <w:rFonts w:ascii="Times New Roman" w:hAnsi="Times New Roman" w:cs="Times New Roman" w:eastAsia="Times New Roman"/>
        </w:rPr>
        <w:t xml:space="preserve">Resource use differs more. Timed in one session, one job at a time, Selphi 2 imputes chromosome 21 in 6.6-7.2 s at 3.2 GB peak memory against 11.4-12.3 s for Beagle 5.5 (15.4 s on the first, cold-cache run) at 7.4-9.5 GB, and chromosome 1 in 38.2-41.3 s at 6.5-6.9 GB against 43.7-45.4 s (95.2 s cold) at 21-44 GB (four runs each; Supplementary Table S3). Selphi 1.5.3 took 112.8 s at 7.1 GB on chromosome 21 and 1,923 s on chromosome 1, about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Selphi 2's time.</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test the deployment case directly, a consumer array imputed against the panel and checked against the same person's genome, we assembled six held-out individuals with both a SelfDecode genotyping array (Illumina Global Screening Array, ≈620,000 autosomal SNPs after restriction to panel sites) and an independent high-coverage Illumina DRAGEN genome (≈30-60</w:t>
      </w:r>
      <m:oMath>
        <m:r>
          <m:rPr>
            <m:sty m:val="p"/>
          </m:rPr>
          <m:t>×</m:t>
        </m:r>
      </m:oMath>
      <w:r>
        <w:rPr>
          <w:rFonts w:ascii="Times New Roman" w:hAnsi="Times New Roman" w:cs="Times New Roman" w:eastAsia="Times New Roman"/>
        </w:rPr>
        <w:t xml:space="preserve">). The arrays were imputed against the 75,552-haplotype (37,776-sample) panel, and the dosages were compared across chromosomes 1-22 with each individual's genome restricted to high-confidence genotypes (DRAGEN PASS, GQ ≥ 20, DP ≥ 10). None of the six is in the panel.</w:t>
      </w:r>
    </w:p>
    <w:p>
      <w:pPr>
        <w:pStyle w:val="BodyText"/>
        <w:jc w:val="both"/>
      </w:pPr>
      <w:r>
        <w:rPr>
          <w:rFonts w:ascii="Times New Roman" w:hAnsi="Times New Roman" w:cs="Times New Roman" w:eastAsia="Times New Roman"/>
        </w:rPr>
        <w:t xml:space="preserve">With the same Beagle-derived phasing for both tools, Selphi 2's imputation exceeds Beagle 5.5's across the 22 autosomes and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against 0.9584 and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against 0.7840 (Table 5). At equal phasing Selphi 1.5.3 and Selphi 2 are level on SNPs (0.9599 against 0.9601) and Selphi 1.5.3 is higher on indels (0.7932 against 0.7911). With its own phasing, Selphi 2 exceeds Beagle's full pipeline with either engine. The default diploid engine has the highest value of any configuration (SNP 0.9609, indel 0.7939), above Beagle 5.5 (0.9584 / 0.7840), the haploid engine (0.9589 / 0.7910) and the Beagle-phased configuration (0.9601 / 0.7911). Two design choices produce this. First, array no-calls (≈1.7% of typed sites on this array) are imputed during phasing, by a copying consensus over the nearest PBWT neighbours in both engines, rather than treated as homozygous reference, which would bias the phasing scaffold and the choice of panel haplotypes toward the reference allele at exactly the sites being imputed (Methods). Second, the diploid engine averages its imputation over a small phase ensemble taken from post-burn-in samples that its MCMC chain already computes. Because interpolation is linear in the per-haplotype copying weights, averaging these dosages integrates over phase uncertainty at the cost of one extra imputation pass and no extra phasing (Methods). Together the two changes raise the diploid engine's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0.005, to 0.9609. Selphi 2 therefore does not need an external phaser to reach Beagle-level accuracy on real arrays. With six individuals we report paired statistics (95% intervals from 20,000 paired bootstrap resamples; two-sided exact Wilcoxon signed-rank test, whose minimum attainable p at n = 6 is 0.031). All rows were scored by the same evaluator on the same 162,741,172 SNP site-sample pairs. With its own diploid phasing Selphi 2 exceeds Beagle 5.5 on SNPs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+0.0025, [+0.0014, +0.0037]) and indels (+0.0099, [+0.0081, +0.0120]; both p = 0.031, six of six samples), and exceeds the haploid engine (SNP +0.0020, [+0.0018, +0.0023]; indel +0.0029, [+0.0027, +0.0032]; both p = 0.031). Against Selphi 2 with Beagle's phasing it is higher on SNPs by +0.0008 ([+0.0003, +0.0013]; five of six, p = 0.062) and on indels by +0.0028 ([+0.0022, +0.0033], p = 0.031). At equal Beagle-derived phasing, Selphi 2's imputer exceeds Beagle 5.5 (SNP +0.0017, [+0.0009, +0.0025]; indel +0.0071, [+0.0058, +0.0087]; both p = 0.031); against Selphi 1.5.3 it is level on SNPs (+0.0002, [-0.0003, +0.0006], p = 0.56) and lower on indels (-0.0021, [-0.0031, -0.0011], six of six, p = 0.031).</w:t>
      </w:r>
    </w:p>
    <w:p>
      <w:pPr>
        <w:pStyle w:val="BodyText"/>
        <w:jc w:val="both"/>
      </w:pPr>
      <w:r>
        <w:rPr>
          <w:rFonts w:ascii="Times New Roman" w:hAnsi="Times New Roman" w:cs="Times New Roman" w:eastAsia="Times New Roman"/>
          <w:b/>
          <w:bCs/>
          <w:sz w:val="20"/>
        </w:rPr>
        <w:t xml:space="preserve">Table 5. Genome-wide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on real consumer arrays against high-coverage WGS truth.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sz w:val="20"/>
        </w:rPr>
        <w:t xml:space="preserve">) between imputed dosage and truth genotype. "Beagle-phased" rows feed both imputers the identical Beagle phase-only output (isolating the imputation step); "haploid/diploid" rows use Selphi's internal phasing. All rows cover the full 22 autosomes and were scored by one evaluator on identical sites (162,741,172 SNP site-sample pairs).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6864"/>
        <w:gridCol w:w="1248"/>
        <w:gridCol w:w="1248"/>
      </w:tblGrid>
      <w:tr>
        <w:trPr>
          <w:tblHeader w:val="on"/>
        </w:trPr>
        <w:tc>
          <w:tcPr>
            <w:shd w:val="clear" w:color="auto" w:fill="595959"/>
            <w:vAlign w:val="center"/>
            <w:tcW w:type="dxa" w:w="6864"/>
          </w:tcPr>
          <w:p>
            <w:pPr>
              <w:pStyle w:val="Compact"/>
              <w:spacing w:before="0" w:after="0"/>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1248"/>
          </w:tcPr>
          <w:p>
            <w:pPr>
              <w:pStyle w:val="Compact"/>
              <w:spacing w:before="0" w:after="0"/>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1248"/>
          </w:tcPr>
          <w:p>
            <w:pPr>
              <w:pStyle w:val="Compact"/>
              <w:spacing w:before="0" w:after="0"/>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Selphi 2 (Beagle-phased)</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0.9601</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0.7911</w:t>
            </w:r>
          </w:p>
        </w:tc>
      </w:tr>
      <w:tr>
        <w:tc>
          <w:tcPr>
            <w:shd w:val="clear" w:color="auto" w:fill="E7E6E6"/>
            <w:vAlign w:val="center"/>
            <w:tcW w:type="dxa" w:w="6864"/>
          </w:tcPr>
          <w:p>
            <w:pPr>
              <w:pStyle w:val="Compact"/>
              <w:spacing w:before="0" w:after="0"/>
              <w:jc w:val="left"/>
            </w:pPr>
            <w:r>
              <w:rPr>
                <w:rFonts w:ascii="Times New Roman" w:hAnsi="Times New Roman" w:cs="Times New Roman" w:eastAsia="Times New Roman"/>
                <w:sz w:val="20"/>
              </w:rPr>
              <w:t xml:space="preserve">Selphi 1.5.3 (Beagle-phased)</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0.9599</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0.7932</w:t>
            </w:r>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Beagle 5.5 (phase + impute)</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0.9584</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0.7840</w:t>
            </w:r>
          </w:p>
        </w:tc>
      </w:tr>
      <w:tr>
        <w:tc>
          <w:tcPr>
            <w:shd w:val="clear" w:color="auto" w:fill="E7E6E6"/>
            <w:vAlign w:val="center"/>
            <w:tcW w:type="dxa" w:w="6864"/>
          </w:tcPr>
          <w:p>
            <w:pPr>
              <w:pStyle w:val="Compact"/>
              <w:spacing w:before="0" w:after="0"/>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0.9589</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0.7910</w:t>
            </w:r>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b/>
                <w:bCs/>
                <w:sz w:val="20"/>
              </w:rPr>
              <w:t xml:space="preserve">0.9609</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The diploid engine is also faster and much leaner than Beagle 5.5 here. Imputing the six samples against the 75,552-haplotype panel on one idle 16-thread node, one chromosome at a time, both tools timed in the same session, Selphi 2 completes the 22 autosomes in 18.3 minutes against Beagle's 29.9 minutes (1.6</w:t>
      </w:r>
      <m:oMath>
        <m:r>
          <m:rPr>
            <m:sty m:val="p"/>
          </m:rPr>
          <m:t>×</m:t>
        </m:r>
      </m:oMath>
      <w:r>
        <w:rPr>
          <w:rFonts w:ascii="Times New Roman" w:hAnsi="Times New Roman" w:cs="Times New Roman" w:eastAsia="Times New Roman"/>
        </w:rPr>
        <w:t xml:space="preserve">), at 6.8 GB peak memory against 41.9-55.1 GB, although the default ensemble runs two imputation passes (Table 5b). Selphi 2 is faster on every chromosome.</w:t>
      </w:r>
    </w:p>
    <w:p>
      <w:pPr>
        <w:pStyle w:val="BodyText"/>
        <w:jc w:val="both"/>
      </w:pPr>
      <w:r>
        <w:rPr>
          <w:rFonts w:ascii="Times New Roman" w:hAnsi="Times New Roman" w:cs="Times New Roman" w:eastAsia="Times New Roman"/>
          <w:b/>
          <w:bCs/>
          <w:sz w:val="20"/>
        </w:rPr>
        <w:t xml:space="preserve">Table 5b. Whole-genome wall time and peak memory on the consumer-array benchmark.</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Six-sample cohort imputed against the 75,552-haplotype reference panel across all 22 autosomes, 16 threads, one chromosome at a time on an idle node, both tools in the same session with the panel files already in the page cache. Wall time is summed over the 22 autosomes; peak memory is the maximum resident set, reached on the largest chromosomes. Selphi 2 uses its default diploid engine (intra-run phase ensemble on). Beagle 5.5 is the full phase-plus-impute pipeline. On a first, cold-cache pass the totals were 26.2 min (6.8 GB) for Selphi 2 and 29.9 min (41.9 GB) for Beagle 5.5; Beagle's peak memory depends on its Java garbage collector, hence the range.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743"/>
        <w:gridCol w:w="2308"/>
        <w:gridCol w:w="2309"/>
      </w:tblGrid>
      <w:tr>
        <w:trPr>
          <w:tblHeader w:val="on"/>
        </w:trPr>
        <w:tc>
          <w:tcPr>
            <w:shd w:val="clear" w:color="auto" w:fill="595959"/>
            <w:vAlign w:val="center"/>
            <w:tcW w:type="dxa" w:w="4743"/>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2308"/>
          </w:tcPr>
          <w:p>
            <w:pPr>
              <w:pStyle w:val="Compact"/>
              <w:spacing w:before="0" w:after="0"/>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2309"/>
          </w:tcPr>
          <w:p>
            <w:pPr>
              <w:pStyle w:val="Compact"/>
              <w:spacing w:before="0" w:after="0"/>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743"/>
          </w:tcPr>
          <w:p>
            <w:pPr>
              <w:pStyle w:val="Compact"/>
              <w:spacing w:before="0" w:after="0"/>
              <w:jc w:val="left"/>
            </w:pPr>
            <w:r>
              <w:rPr>
                <w:rFonts w:ascii="Times New Roman" w:hAnsi="Times New Roman" w:cs="Times New Roman" w:eastAsia="Times New Roman"/>
                <w:sz w:val="20"/>
              </w:rPr>
              <w:t xml:space="preserve">Selphi 2 (default diploid)</w:t>
            </w:r>
          </w:p>
        </w:tc>
        <w:tc>
          <w:tcPr>
            <w:shd w:val="clear" w:color="auto" w:fill="FFFFFF"/>
            <w:vAlign w:val="center"/>
            <w:tcW w:type="dxa" w:w="2308"/>
          </w:tcPr>
          <w:p>
            <w:pPr>
              <w:pStyle w:val="Compact"/>
              <w:spacing w:before="0" w:after="0"/>
              <w:jc w:val="center"/>
            </w:pPr>
            <w:r>
              <w:rPr>
                <w:rFonts w:ascii="Times New Roman" w:hAnsi="Times New Roman" w:cs="Times New Roman" w:eastAsia="Times New Roman"/>
                <w:b/>
                <w:bCs/>
                <w:sz w:val="20"/>
              </w:rPr>
              <w:t xml:space="preserve">18.3 min</w:t>
            </w:r>
          </w:p>
        </w:tc>
        <w:tc>
          <w:tcPr>
            <w:shd w:val="clear" w:color="auto" w:fill="FFFFFF"/>
            <w:vAlign w:val="center"/>
            <w:tcW w:type="dxa" w:w="2309"/>
          </w:tcPr>
          <w:p>
            <w:pPr>
              <w:pStyle w:val="Compact"/>
              <w:spacing w:before="0" w:after="0"/>
              <w:jc w:val="center"/>
            </w:pPr>
            <w:r>
              <w:rPr>
                <w:rFonts w:ascii="Times New Roman" w:hAnsi="Times New Roman" w:cs="Times New Roman" w:eastAsia="Times New Roman"/>
                <w:b/>
                <w:bCs/>
                <w:sz w:val="20"/>
              </w:rPr>
              <w:t xml:space="preserve">6.8 GB</w:t>
            </w:r>
          </w:p>
        </w:tc>
      </w:tr>
      <w:tr>
        <w:tc>
          <w:tcPr>
            <w:shd w:val="clear" w:color="auto" w:fill="E7E6E6"/>
            <w:vAlign w:val="center"/>
            <w:tcW w:type="dxa" w:w="4743"/>
          </w:tcPr>
          <w:p>
            <w:pPr>
              <w:pStyle w:val="Compact"/>
              <w:spacing w:before="0" w:after="0"/>
              <w:jc w:val="left"/>
            </w:pPr>
            <w:r>
              <w:rPr>
                <w:rFonts w:ascii="Times New Roman" w:hAnsi="Times New Roman" w:cs="Times New Roman" w:eastAsia="Times New Roman"/>
                <w:sz w:val="20"/>
              </w:rPr>
              <w:t xml:space="preserve">Beagle 5.5 (phase + impute)</w:t>
            </w:r>
          </w:p>
        </w:tc>
        <w:tc>
          <w:tcPr>
            <w:shd w:val="clear" w:color="auto" w:fill="E7E6E6"/>
            <w:vAlign w:val="center"/>
            <w:tcW w:type="dxa" w:w="2308"/>
          </w:tcPr>
          <w:p>
            <w:pPr>
              <w:pStyle w:val="Compact"/>
              <w:spacing w:before="0" w:after="0"/>
              <w:jc w:val="center"/>
            </w:pPr>
            <w:r>
              <w:rPr>
                <w:rFonts w:ascii="Times New Roman" w:hAnsi="Times New Roman" w:cs="Times New Roman" w:eastAsia="Times New Roman"/>
                <w:sz w:val="20"/>
              </w:rPr>
              <w:t xml:space="preserve">29.9 min</w:t>
            </w:r>
          </w:p>
        </w:tc>
        <w:tc>
          <w:tcPr>
            <w:shd w:val="clear" w:color="auto" w:fill="E7E6E6"/>
            <w:vAlign w:val="center"/>
            <w:tcW w:type="dxa" w:w="2309"/>
          </w:tcPr>
          <w:p>
            <w:pPr>
              <w:pStyle w:val="Compact"/>
              <w:spacing w:before="0" w:after="0"/>
              <w:jc w:val="center"/>
            </w:pPr>
            <w:r>
              <w:rPr>
                <w:rFonts w:ascii="Times New Roman" w:hAnsi="Times New Roman" w:cs="Times New Roman" w:eastAsia="Times New Roman"/>
                <w:sz w:val="20"/>
              </w:rPr>
              <w:t xml:space="preserve">41.9-55.1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on 54 1000 Genomes trio children whose parents are independently sequenced, so the parent-of-origin phase of each heterozygous site follows from Mendelian inheritance. The children's genomes for chromosomes 1 and 22 were phased against the 2,239-sample 1000 Genomes panel with all trio members removed (the no-trios panel). SHAPEIT5 v5.1.1 ran its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w:t>
      </w:r>
      <w:r>
        <w:rPr>
          <w:rFonts w:ascii="Times New Roman" w:hAnsi="Times New Roman" w:cs="Times New Roman" w:eastAsia="Times New Roman"/>
        </w:rPr>
        <w:t xml:space="preserve">on the common-variant scaffold) and Beagle 5.5 its default phasing. Switch error rate (SER) against the parent-of-origin phase was computed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testable heterozygous sites depend only on the trio genotypes and are the same for every tool (1,992,617 on chromosome 22 and 10,632,243 on chromosome 1, summed over the 54 trios).</w:t>
      </w:r>
    </w:p>
    <w:p>
      <w:pPr>
        <w:pStyle w:val="BodyText"/>
        <w:jc w:val="both"/>
      </w:pPr>
      <w:r>
        <w:rPr>
          <w:rFonts w:ascii="Times New Roman" w:hAnsi="Times New Roman" w:cs="Times New Roman" w:eastAsia="Times New Roman"/>
        </w:rPr>
        <w:t xml:space="preserve">On chromosome 22 Selphi 2's diploid engine has the lowest mean SER (2.528%), followed by Beagle 5.5 (2.548%), the haploid engine (2.569%) and SHAPEIT5 (2.607%). On chromosome 1 the order is Beagle 5.5 (1.865%), haploid (1.876%), diploid (1.879%) and SHAPEIT5 (1.929%). The diploid engine is tied with Beagle 5.5 on both chromosomes (|</w:t>
      </w:r>
      <m:oMath>
        <m:r>
          <m:rPr>
            <m:sty m:val="p"/>
          </m:rPr>
          <m:t>Δ</m:t>
        </m:r>
      </m:oMath>
      <w:r>
        <w:rPr>
          <w:rFonts w:ascii="Times New Roman" w:hAnsi="Times New Roman" w:cs="Times New Roman" w:eastAsia="Times New Roman"/>
        </w:rPr>
        <w:t xml:space="preserve">| ≤ 0.020 percentage points; a further seed on chromosome 22 gives 2.527%) and below SHAPEIT5 on both (by 0.050-0.079 points). It is also the fastest of the four, phasing either chromosome in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at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(Table 6; Supplementary Table S5).</w:t>
      </w:r>
    </w:p>
    <w:p>
      <w:pPr>
        <w:pStyle w:val="BodyText"/>
        <w:jc w:val="both"/>
      </w:pPr>
      <w:r>
        <w:rPr>
          <w:rFonts w:ascii="Times New Roman" w:hAnsi="Times New Roman" w:cs="Times New Roman" w:eastAsia="Times New Roman"/>
          <w:b/>
          <w:bCs/>
          <w:sz w:val="20"/>
        </w:rPr>
        <w:t xml:space="preserve">Table 6. Phasing accuracy, wall time, and peak memory on the 1000 Genomes trio dataset.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phase_common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phase_rare</w:t>
      </w:r>
      <w:r>
        <w:rPr>
          <w:rFonts w:ascii="Times New Roman" w:hAnsi="Times New Roman" w:cs="Times New Roman" w:eastAsia="Times New Roman"/>
          <w:sz w:val="20"/>
        </w:rPr>
        <w:t xml:space="preserve">). SER is the mean of the per-trio switch-error rates from</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bcftools +trio-switch-rate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3214"/>
        <w:gridCol w:w="887"/>
        <w:gridCol w:w="887"/>
        <w:gridCol w:w="1161"/>
        <w:gridCol w:w="887"/>
        <w:gridCol w:w="1161"/>
        <w:gridCol w:w="1163"/>
      </w:tblGrid>
      <w:tr>
        <w:trPr>
          <w:tblHeader w:val="on"/>
        </w:trPr>
        <w:tc>
          <w:tcPr>
            <w:shd w:val="clear" w:color="auto" w:fill="595959"/>
            <w:vAlign w:val="center"/>
            <w:tcW w:type="dxa" w:w="3214"/>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161"/>
          </w:tcPr>
          <w:p>
            <w:pPr>
              <w:pStyle w:val="Compact"/>
              <w:spacing w:before="0" w:after="0"/>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161"/>
          </w:tcPr>
          <w:p>
            <w:pPr>
              <w:pStyle w:val="Compact"/>
              <w:spacing w:before="0" w:after="0"/>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163"/>
          </w:tcPr>
          <w:p>
            <w:pPr>
              <w:pStyle w:val="Compact"/>
              <w:spacing w:before="0" w:after="0"/>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214"/>
          </w:tcPr>
          <w:p>
            <w:pPr>
              <w:pStyle w:val="Compact"/>
              <w:spacing w:before="0" w:after="0"/>
              <w:jc w:val="left"/>
            </w:pPr>
            <w:r>
              <w:rPr>
                <w:rFonts w:ascii="Times New Roman" w:hAnsi="Times New Roman" w:cs="Times New Roman" w:eastAsia="Times New Roman"/>
                <w:b/>
                <w:bCs/>
                <w:sz w:val="20"/>
              </w:rPr>
              <w:t xml:space="preserve">Selphi 2 diploid</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b/>
                <w:bCs/>
                <w:sz w:val="20"/>
              </w:rPr>
              <w:t xml:space="preserve">2.528</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b/>
                <w:bCs/>
                <w:sz w:val="20"/>
              </w:rPr>
              <w:t xml:space="preserve">68 s</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b/>
                <w:bCs/>
                <w:sz w:val="20"/>
              </w:rPr>
              <w:t xml:space="preserve">5.0 GB</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b/>
                <w:bCs/>
                <w:sz w:val="20"/>
              </w:rPr>
              <w:t xml:space="preserve">343 s</w:t>
            </w:r>
          </w:p>
        </w:tc>
        <w:tc>
          <w:tcPr>
            <w:shd w:val="clear" w:color="auto" w:fill="FFFFFF"/>
            <w:vAlign w:val="center"/>
            <w:tcW w:type="dxa" w:w="1163"/>
          </w:tcPr>
          <w:p>
            <w:pPr>
              <w:pStyle w:val="Compact"/>
              <w:spacing w:before="0" w:after="0"/>
              <w:jc w:val="center"/>
            </w:pPr>
            <w:r>
              <w:rPr>
                <w:rFonts w:ascii="Times New Roman" w:hAnsi="Times New Roman" w:cs="Times New Roman" w:eastAsia="Times New Roman"/>
                <w:b/>
                <w:bCs/>
                <w:sz w:val="20"/>
              </w:rPr>
              <w:t xml:space="preserve">13.6 GB</w:t>
            </w:r>
          </w:p>
        </w:tc>
      </w:tr>
      <w:tr>
        <w:tc>
          <w:tcPr>
            <w:shd w:val="clear" w:color="auto" w:fill="E7E6E6"/>
            <w:vAlign w:val="center"/>
            <w:tcW w:type="dxa" w:w="3214"/>
          </w:tcPr>
          <w:p>
            <w:pPr>
              <w:pStyle w:val="Compact"/>
              <w:spacing w:before="0" w:after="0"/>
              <w:jc w:val="left"/>
            </w:pPr>
            <w:r>
              <w:rPr>
                <w:rFonts w:ascii="Times New Roman" w:hAnsi="Times New Roman" w:cs="Times New Roman" w:eastAsia="Times New Roman"/>
                <w:sz w:val="20"/>
              </w:rPr>
              <w:t xml:space="preserve">Beagle 5.5</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2.548</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163 s</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47.8 GB</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829 s</w:t>
            </w:r>
          </w:p>
        </w:tc>
        <w:tc>
          <w:tcPr>
            <w:shd w:val="clear" w:color="auto" w:fill="E7E6E6"/>
            <w:vAlign w:val="center"/>
            <w:tcW w:type="dxa" w:w="1163"/>
          </w:tcPr>
          <w:p>
            <w:pPr>
              <w:pStyle w:val="Compact"/>
              <w:spacing w:before="0" w:after="0"/>
              <w:jc w:val="center"/>
            </w:pPr>
            <w:r>
              <w:rPr>
                <w:rFonts w:ascii="Times New Roman" w:hAnsi="Times New Roman" w:cs="Times New Roman" w:eastAsia="Times New Roman"/>
                <w:sz w:val="20"/>
              </w:rPr>
              <w:t xml:space="preserve">48.5 GB</w:t>
            </w:r>
          </w:p>
        </w:tc>
      </w:tr>
      <w:tr>
        <w:tc>
          <w:tcPr>
            <w:shd w:val="clear" w:color="auto" w:fill="FFFFFF"/>
            <w:vAlign w:val="center"/>
            <w:tcW w:type="dxa" w:w="3214"/>
          </w:tcPr>
          <w:p>
            <w:pPr>
              <w:pStyle w:val="Compact"/>
              <w:spacing w:before="0" w:after="0"/>
              <w:jc w:val="left"/>
            </w:pPr>
            <w:r>
              <w:rPr>
                <w:rFonts w:ascii="Times New Roman" w:hAnsi="Times New Roman" w:cs="Times New Roman" w:eastAsia="Times New Roman"/>
                <w:sz w:val="20"/>
              </w:rPr>
              <w:t xml:space="preserve">Selphi 2 haploid</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2.569</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346 s</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sz w:val="20"/>
              </w:rPr>
              <w:t xml:space="preserve">33.8 GB</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1.876</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sz w:val="20"/>
              </w:rPr>
              <w:t xml:space="preserve">1,595 s</w:t>
            </w:r>
          </w:p>
        </w:tc>
        <w:tc>
          <w:tcPr>
            <w:shd w:val="clear" w:color="auto" w:fill="FFFFFF"/>
            <w:vAlign w:val="center"/>
            <w:tcW w:type="dxa" w:w="1163"/>
          </w:tcPr>
          <w:p>
            <w:pPr>
              <w:pStyle w:val="Compact"/>
              <w:spacing w:before="0" w:after="0"/>
              <w:jc w:val="center"/>
            </w:pPr>
            <w:r>
              <w:rPr>
                <w:rFonts w:ascii="Times New Roman" w:hAnsi="Times New Roman" w:cs="Times New Roman" w:eastAsia="Times New Roman"/>
                <w:sz w:val="20"/>
              </w:rPr>
              <w:t xml:space="preserve">70.5 GB</w:t>
            </w:r>
          </w:p>
        </w:tc>
      </w:tr>
      <w:tr>
        <w:tc>
          <w:tcPr>
            <w:shd w:val="clear" w:color="auto" w:fill="E7E6E6"/>
            <w:vAlign w:val="center"/>
            <w:tcW w:type="dxa" w:w="3214"/>
          </w:tcPr>
          <w:p>
            <w:pPr>
              <w:pStyle w:val="Compact"/>
              <w:spacing w:before="0" w:after="0"/>
              <w:jc w:val="left"/>
            </w:pPr>
            <w:r>
              <w:rPr>
                <w:rFonts w:ascii="Times New Roman" w:hAnsi="Times New Roman" w:cs="Times New Roman" w:eastAsia="Times New Roman"/>
                <w:sz w:val="20"/>
              </w:rPr>
              <w:t xml:space="preserve">SHAPEIT5 v5.1.1 (full)</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2.607</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120 s</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5.6 GB</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1.929</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607 s</w:t>
            </w:r>
          </w:p>
        </w:tc>
        <w:tc>
          <w:tcPr>
            <w:shd w:val="clear" w:color="auto" w:fill="E7E6E6"/>
            <w:vAlign w:val="center"/>
            <w:tcW w:type="dxa" w:w="1163"/>
          </w:tcPr>
          <w:p>
            <w:pPr>
              <w:pStyle w:val="Compact"/>
              <w:spacing w:before="0" w:after="0"/>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differ by 0.003 points on chromosome 1 (haploid 1.876%, diploid 1.879%) and by 0.041 on chromosome 22 (2.569% against 2.528%).</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of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We re-phased the 54 children together with their parents (162 individuals) against the no-trios panel and compared the result with the parent-free phasing of Table 6; the three with-parents arms were run in one session. Selphi 2 received the pedigree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SHAPEIT5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option; Beagle 5.5 has no pedigree input, so it phased the same 162 individuals with the parents simply present in the cohort. On chromosome 22 the pedigree lowered Selphi 2's mean SER from 2.528% to 0.853% (66% fewer switches) and SHAPEIT5's (full pipeline) from 2.607% to 0.000%, and co-phasing with the parents lowered Beagle 5.5's from 2.548% to 1.050% (Table 6b). On chromosome 1 Selphi 2 fell from 1.879% to 0.332% and Beagle 5.5 from 1.865% to 0.429%. Selphi 2 with the pedigree has the lower SER of the two HMM phasers on both chromosomes, in less time and memory (chromosome 1: 16.1 min and 17.9 GB against 23.5 min and 59.0 GB).</w:t>
      </w:r>
    </w:p>
    <w:p>
      <w:pPr>
        <w:pStyle w:val="BodyText"/>
        <w:jc w:val="both"/>
      </w:pPr>
      <w:r>
        <w:rPr>
          <w:rFonts w:ascii="Times New Roman" w:hAnsi="Times New Roman" w:cs="Times New Roman" w:eastAsia="Times New Roman"/>
        </w:rPr>
        <w:t xml:space="preserve">SER measured with a pedigree is not independent of the phasing, because the truth phase comes from the same parental genotypes. A method that fixes the child's phase to the Mendelian configuration at every informative site reaches a SER near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uses the pedigree as a soft scaffold, and Beagle 5.5 sees the parents only as cohort members; both still phase by HMM where the trio is uninformative (both parents heterozygous), so their residual SER remains meaningful. The parent-free comparison (Table 6) is therefore the unconfounded measure, and there the tools are close. On chromosome 22 Selphi 2's diploid engine is indistinguishable from Beagle 5.5 (paired Δ = -0.019 pp, 95% CI [-0.049, +0.009], 20,000 paired bootstrap resamples; lower in 30 of 54 trios) and lower than SHAPEIT5, with the interval excluding zero (Δ = -0.078 pp, [-0.107, -0.050], 40 of 54 trios). On chromosome 1 Beagle 5.5 is marginally lowest but not distinguishable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check that the pedigree benefit is real and not an artefact of this circularity, we measured downstream imputation against a truth that does not enter the phasing: each child's own high-coverage genome. We masked the children to a consumer-array site set (Illumina GSA), phased them with and without the pedigree, imputed against the no-trios panel with one fixed imputer (Selphi 2), and scored imputed-only sites against the child's genome. Phasing with the family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+0.018 to +0.024 on chromosome 22 and +0.015 to +0.019 on chromosome 1; Table 6c). The paired per-sample gains are significant for all three: +0.0077 for Selphi 2 (95% CI [+0.0060, +0.0095], 53 of 54 samples), +0.0077 for Beagle 5.5 co-phasing the parents (49 of 54) and +0.0065 for SHAPEIT5 (50 of 54) on chromosome 22, and +0.0041, +0.0047 and +0.0037 on chromosome 1 (54 of 54 samples each; every interval excludes zero). Because the truth is the child's own genome, this confirms out of sample that family information yields better haplotypes, whether it enters as a pedigree or, for Beagle 5.5, through the parents' genotypes in the cohort. Without the parents the three phasers are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0.001), so the gain comes from the family information, not from the choice of phaser.</w:t>
      </w:r>
    </w:p>
    <w:p>
      <w:pPr>
        <w:pStyle w:val="BodyText"/>
        <w:jc w:val="both"/>
      </w:pPr>
      <w:r>
        <w:rPr>
          <w:rFonts w:ascii="Times New Roman" w:hAnsi="Times New Roman" w:cs="Times New Roman" w:eastAsia="Times New Roman"/>
          <w:b/>
          <w:bCs/>
          <w:sz w:val="20"/>
        </w:rPr>
        <w:t xml:space="preserve">Table 6b. Family-aware phasing: switch-error rate with and without the parents.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same 54 trio children were phased against the 2,239-sample no-trios reference panel either alone or jointly with their parents (162 individuals), all arms in one session. Selphi 2 and SHAPEIT5 received the trio pedigree; Beagle 5.5, which has no pedigree option, phased the parents as ordinary cohort members. The with-parents arms of all three tools were run in one session; the child-alone columns are the Table 6 runs. SER computed by</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bcftools +trio-switch-rate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sz w:val="20"/>
        </w:rPr>
        <w:t xml:space="preserve">phase_common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MAF ≥ 0.001 then</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phase_rare</w:t>
      </w:r>
      <w:r>
        <w:rPr>
          <w:rFonts w:ascii="Times New Roman" w:hAnsi="Times New Roman" w:cs="Times New Roman" w:eastAsia="Times New Roman"/>
          <w:sz w:val="20"/>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700"/>
        <w:gridCol w:w="803"/>
        <w:gridCol w:w="1026"/>
        <w:gridCol w:w="803"/>
        <w:gridCol w:w="1028"/>
      </w:tblGrid>
      <w:tr>
        <w:trPr>
          <w:tblHeader w:val="on"/>
        </w:trPr>
        <w:tc>
          <w:tcPr>
            <w:shd w:val="clear" w:color="auto" w:fill="595959"/>
            <w:vAlign w:val="center"/>
            <w:tcW w:type="dxa" w:w="5700"/>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803"/>
          </w:tcPr>
          <w:p>
            <w:pPr>
              <w:pStyle w:val="Compact"/>
              <w:spacing w:before="0" w:after="0"/>
              <w:jc w:val="center"/>
            </w:pPr>
            <w:r>
              <w:rPr>
                <w:rFonts w:ascii="Times New Roman" w:hAnsi="Times New Roman" w:cs="Times New Roman" w:eastAsia="Times New Roman"/>
                <w:b/>
                <w:color w:val="FFFFFF"/>
                <w:sz w:val="20"/>
              </w:rPr>
              <w:t xml:space="preserve">chr22 SER, child alone (%)</w:t>
            </w:r>
          </w:p>
        </w:tc>
        <w:tc>
          <w:tcPr>
            <w:shd w:val="clear" w:color="auto" w:fill="595959"/>
            <w:vAlign w:val="center"/>
            <w:tcW w:type="dxa" w:w="1026"/>
          </w:tcPr>
          <w:p>
            <w:pPr>
              <w:pStyle w:val="Compact"/>
              <w:spacing w:before="0" w:after="0"/>
              <w:jc w:val="center"/>
            </w:pPr>
            <w:r>
              <w:rPr>
                <w:rFonts w:ascii="Times New Roman" w:hAnsi="Times New Roman" w:cs="Times New Roman" w:eastAsia="Times New Roman"/>
                <w:b/>
                <w:color w:val="FFFFFF"/>
                <w:sz w:val="20"/>
              </w:rPr>
              <w:t xml:space="preserve">chr22 SER, with parents (%)</w:t>
            </w:r>
          </w:p>
        </w:tc>
        <w:tc>
          <w:tcPr>
            <w:shd w:val="clear" w:color="auto" w:fill="595959"/>
            <w:vAlign w:val="center"/>
            <w:tcW w:type="dxa" w:w="803"/>
          </w:tcPr>
          <w:p>
            <w:pPr>
              <w:pStyle w:val="Compact"/>
              <w:spacing w:before="0" w:after="0"/>
              <w:jc w:val="center"/>
            </w:pPr>
            <w:r>
              <w:rPr>
                <w:rFonts w:ascii="Times New Roman" w:hAnsi="Times New Roman" w:cs="Times New Roman" w:eastAsia="Times New Roman"/>
                <w:b/>
                <w:color w:val="FFFFFF"/>
                <w:sz w:val="20"/>
              </w:rPr>
              <w:t xml:space="preserve">chr1 SER, child alone (%)</w:t>
            </w:r>
          </w:p>
        </w:tc>
        <w:tc>
          <w:tcPr>
            <w:shd w:val="clear" w:color="auto" w:fill="595959"/>
            <w:vAlign w:val="center"/>
            <w:tcW w:type="dxa" w:w="1028"/>
          </w:tcPr>
          <w:p>
            <w:pPr>
              <w:pStyle w:val="Compact"/>
              <w:spacing w:before="0" w:after="0"/>
              <w:jc w:val="center"/>
            </w:pPr>
            <w:r>
              <w:rPr>
                <w:rFonts w:ascii="Times New Roman" w:hAnsi="Times New Roman" w:cs="Times New Roman" w:eastAsia="Times New Roman"/>
                <w:b/>
                <w:color w:val="FFFFFF"/>
                <w:sz w:val="20"/>
              </w:rPr>
              <w:t xml:space="preserve">chr1 SER, with parents (%)</w:t>
            </w:r>
          </w:p>
        </w:tc>
      </w:tr>
      <w:tr>
        <w:tc>
          <w:tcPr>
            <w:shd w:val="clear" w:color="auto" w:fill="FFFFFF"/>
            <w:vAlign w:val="center"/>
            <w:tcW w:type="dxa" w:w="5700"/>
          </w:tcPr>
          <w:p>
            <w:pPr>
              <w:pStyle w:val="Compact"/>
              <w:spacing w:before="0" w:after="0"/>
              <w:jc w:val="left"/>
            </w:pPr>
            <w:r>
              <w:rPr>
                <w:rFonts w:ascii="Times New Roman" w:hAnsi="Times New Roman" w:cs="Times New Roman" w:eastAsia="Times New Roman"/>
                <w:sz w:val="20"/>
              </w:rPr>
              <w:t xml:space="preserve">Selphi 2 (diploid)</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2.528</w:t>
            </w:r>
          </w:p>
        </w:tc>
        <w:tc>
          <w:tcPr>
            <w:shd w:val="clear" w:color="auto" w:fill="FFFFFF"/>
            <w:vAlign w:val="center"/>
            <w:tcW w:type="dxa" w:w="1026"/>
          </w:tcPr>
          <w:p>
            <w:pPr>
              <w:pStyle w:val="Compact"/>
              <w:spacing w:before="0" w:after="0"/>
              <w:jc w:val="center"/>
            </w:pPr>
            <w:r>
              <w:rPr>
                <w:rFonts w:ascii="Times New Roman" w:hAnsi="Times New Roman" w:cs="Times New Roman" w:eastAsia="Times New Roman"/>
                <w:b/>
                <w:bCs/>
                <w:sz w:val="20"/>
              </w:rPr>
              <w:t xml:space="preserve">0.853</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028"/>
          </w:tcPr>
          <w:p>
            <w:pPr>
              <w:pStyle w:val="Compact"/>
              <w:spacing w:before="0" w:after="0"/>
              <w:jc w:val="center"/>
            </w:pPr>
            <w:r>
              <w:rPr>
                <w:rFonts w:ascii="Times New Roman" w:hAnsi="Times New Roman" w:cs="Times New Roman" w:eastAsia="Times New Roman"/>
                <w:b/>
                <w:bCs/>
                <w:sz w:val="20"/>
              </w:rPr>
              <w:t xml:space="preserve">0.332</w:t>
            </w:r>
          </w:p>
        </w:tc>
      </w:tr>
      <w:tr>
        <w:tc>
          <w:tcPr>
            <w:shd w:val="clear" w:color="auto" w:fill="E7E6E6"/>
            <w:vAlign w:val="center"/>
            <w:tcW w:type="dxa" w:w="5700"/>
          </w:tcPr>
          <w:p>
            <w:pPr>
              <w:pStyle w:val="Compact"/>
              <w:spacing w:before="0" w:after="0"/>
              <w:jc w:val="left"/>
            </w:pPr>
            <w:r>
              <w:rPr>
                <w:rFonts w:ascii="Times New Roman" w:hAnsi="Times New Roman" w:cs="Times New Roman" w:eastAsia="Times New Roman"/>
                <w:sz w:val="20"/>
              </w:rPr>
              <w:t xml:space="preserve">Beagle 5.5 (parents co-phased, no pedigree input)</w:t>
            </w:r>
          </w:p>
        </w:tc>
        <w:tc>
          <w:tcPr>
            <w:shd w:val="clear" w:color="auto" w:fill="E7E6E6"/>
            <w:vAlign w:val="center"/>
            <w:tcW w:type="dxa" w:w="803"/>
          </w:tcPr>
          <w:p>
            <w:pPr>
              <w:pStyle w:val="Compact"/>
              <w:spacing w:before="0" w:after="0"/>
              <w:jc w:val="center"/>
            </w:pPr>
            <w:r>
              <w:rPr>
                <w:rFonts w:ascii="Times New Roman" w:hAnsi="Times New Roman" w:cs="Times New Roman" w:eastAsia="Times New Roman"/>
                <w:sz w:val="20"/>
              </w:rPr>
              <w:t xml:space="preserve">2.548</w:t>
            </w:r>
          </w:p>
        </w:tc>
        <w:tc>
          <w:tcPr>
            <w:shd w:val="clear" w:color="auto" w:fill="E7E6E6"/>
            <w:vAlign w:val="center"/>
            <w:tcW w:type="dxa" w:w="1026"/>
          </w:tcPr>
          <w:p>
            <w:pPr>
              <w:pStyle w:val="Compact"/>
              <w:spacing w:before="0" w:after="0"/>
              <w:jc w:val="center"/>
            </w:pPr>
            <w:r>
              <w:rPr>
                <w:rFonts w:ascii="Times New Roman" w:hAnsi="Times New Roman" w:cs="Times New Roman" w:eastAsia="Times New Roman"/>
                <w:sz w:val="20"/>
              </w:rPr>
              <w:t xml:space="preserve">1.050</w:t>
            </w:r>
          </w:p>
        </w:tc>
        <w:tc>
          <w:tcPr>
            <w:shd w:val="clear" w:color="auto" w:fill="E7E6E6"/>
            <w:vAlign w:val="center"/>
            <w:tcW w:type="dxa" w:w="803"/>
          </w:tcPr>
          <w:p>
            <w:pPr>
              <w:pStyle w:val="Compact"/>
              <w:spacing w:before="0" w:after="0"/>
              <w:jc w:val="center"/>
            </w:pPr>
            <w:r>
              <w:rPr>
                <w:rFonts w:ascii="Times New Roman" w:hAnsi="Times New Roman" w:cs="Times New Roman" w:eastAsia="Times New Roman"/>
                <w:sz w:val="20"/>
              </w:rPr>
              <w:t xml:space="preserve">1.865</w:t>
            </w:r>
          </w:p>
        </w:tc>
        <w:tc>
          <w:tcPr>
            <w:shd w:val="clear" w:color="auto" w:fill="E7E6E6"/>
            <w:vAlign w:val="center"/>
            <w:tcW w:type="dxa" w:w="1028"/>
          </w:tcPr>
          <w:p>
            <w:pPr>
              <w:pStyle w:val="Compact"/>
              <w:spacing w:before="0" w:after="0"/>
              <w:jc w:val="center"/>
            </w:pPr>
            <w:r>
              <w:rPr>
                <w:rFonts w:ascii="Times New Roman" w:hAnsi="Times New Roman" w:cs="Times New Roman" w:eastAsia="Times New Roman"/>
                <w:sz w:val="20"/>
              </w:rPr>
              <w:t xml:space="preserve">0.429</w:t>
            </w:r>
          </w:p>
        </w:tc>
      </w:tr>
      <w:tr>
        <w:tc>
          <w:tcPr>
            <w:shd w:val="clear" w:color="auto" w:fill="FFFFFF"/>
            <w:vAlign w:val="center"/>
            <w:tcW w:type="dxa" w:w="5700"/>
          </w:tcPr>
          <w:p>
            <w:pPr>
              <w:pStyle w:val="Compact"/>
              <w:spacing w:before="0" w:after="0"/>
              <w:jc w:val="left"/>
            </w:pPr>
            <w:r>
              <w:rPr>
                <w:rFonts w:ascii="Times New Roman" w:hAnsi="Times New Roman" w:cs="Times New Roman" w:eastAsia="Times New Roman"/>
                <w:sz w:val="20"/>
              </w:rPr>
              <w:t xml:space="preserve">SHAPEIT5 v5.1.1 (full)</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2.607</w:t>
            </w:r>
          </w:p>
        </w:tc>
        <w:tc>
          <w:tcPr>
            <w:shd w:val="clear" w:color="auto" w:fill="FFFFFF"/>
            <w:vAlign w:val="center"/>
            <w:tcW w:type="dxa" w:w="1026"/>
          </w:tcPr>
          <w:p>
            <w:pPr>
              <w:pStyle w:val="Compact"/>
              <w:spacing w:before="0" w:after="0"/>
              <w:jc w:val="center"/>
            </w:pPr>
            <w:r>
              <w:rPr>
                <w:rFonts w:ascii="Times New Roman" w:hAnsi="Times New Roman" w:cs="Times New Roman" w:eastAsia="Times New Roman"/>
                <w:sz w:val="20"/>
              </w:rPr>
              <w:t xml:space="preserve">0.000*</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1.929</w:t>
            </w:r>
          </w:p>
        </w:tc>
        <w:tc>
          <w:tcPr>
            <w:shd w:val="clear" w:color="auto" w:fill="FFFFFF"/>
            <w:vAlign w:val="center"/>
            <w:tcW w:type="dxa" w:w="1028"/>
          </w:tcPr>
          <w:p>
            <w:pPr>
              <w:pStyle w:val="Compact"/>
              <w:spacing w:before="0" w:after="0"/>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sz w:val="20"/>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sz w:val="20"/>
        </w:rPr>
        <w:t xml:space="preserve">Table 6c. Pedigree benefit measured by downstream imputation against an independent truth.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54 trio children were masked to a consumer-array site set (Illumina GSA; 9,283 sites on chromosome 22, 49,977 on chromosome 1), phased alone or together with their parents (Selphi 2 and SHAPEIT5 with the trio pedigree; Beagle 5.5, which has no pedigree input, with the parents as cohort members), imputed against the 2,239-sample no-trios panel with a single fixed imputer (Selphi 2), and scored on imputed-only sites polymorphic in the panel (986,794 on chromosome 22, 5,318,278 on chromosome 1) against each child's own high-coverage WGS, which is independent of the parents. Values are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only the phasing input varies between rows. All arms were re-run in one session. The paired per-sample gains are significant for every phaser (chromosome 22 +0.0065 to +0.0077; chromosome 1 +0.0037 to +0.0047; all 95% CIs exclude zero; 49-54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494"/>
        <w:gridCol w:w="1146"/>
        <w:gridCol w:w="1286"/>
        <w:gridCol w:w="1146"/>
        <w:gridCol w:w="1288"/>
      </w:tblGrid>
      <w:tr>
        <w:trPr>
          <w:tblHeader w:val="on"/>
        </w:trPr>
        <w:tc>
          <w:tcPr>
            <w:shd w:val="clear" w:color="auto" w:fill="595959"/>
            <w:vAlign w:val="center"/>
            <w:tcW w:type="dxa" w:w="4494"/>
          </w:tcPr>
          <w:p>
            <w:pPr>
              <w:pStyle w:val="Compact"/>
              <w:spacing w:before="0" w:after="0"/>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146"/>
          </w:tcPr>
          <w:p>
            <w:pPr>
              <w:pStyle w:val="Compact"/>
              <w:spacing w:before="0" w:after="0"/>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1286"/>
          </w:tcPr>
          <w:p>
            <w:pPr>
              <w:pStyle w:val="Compact"/>
              <w:spacing w:before="0" w:after="0"/>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c>
          <w:tcPr>
            <w:shd w:val="clear" w:color="auto" w:fill="595959"/>
            <w:vAlign w:val="center"/>
            <w:tcW w:type="dxa" w:w="1146"/>
          </w:tcPr>
          <w:p>
            <w:pPr>
              <w:pStyle w:val="Compact"/>
              <w:spacing w:before="0" w:after="0"/>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1288"/>
          </w:tcPr>
          <w:p>
            <w:pPr>
              <w:pStyle w:val="Compact"/>
              <w:spacing w:before="0" w:after="0"/>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r>
      <w:tr>
        <w:tc>
          <w:tcPr>
            <w:shd w:val="clear" w:color="auto" w:fill="FFFFFF"/>
            <w:vAlign w:val="center"/>
            <w:tcW w:type="dxa" w:w="4494"/>
          </w:tcPr>
          <w:p>
            <w:pPr>
              <w:pStyle w:val="Compact"/>
              <w:spacing w:before="0" w:after="0"/>
              <w:jc w:val="left"/>
            </w:pPr>
            <w:r>
              <w:rPr>
                <w:rFonts w:ascii="Times New Roman" w:hAnsi="Times New Roman" w:cs="Times New Roman" w:eastAsia="Times New Roman"/>
                <w:sz w:val="20"/>
              </w:rPr>
              <w:t xml:space="preserve">Selphi 2 (diploid, pedigree)</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b/>
                <w:bCs/>
                <w:sz w:val="20"/>
              </w:rPr>
              <w:t xml:space="preserve">0.7374</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0.7569</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b/>
                <w:bCs/>
                <w:sz w:val="20"/>
              </w:rPr>
              <w:t xml:space="preserve">0.8289</w:t>
            </w:r>
          </w:p>
        </w:tc>
        <w:tc>
          <w:tcPr>
            <w:shd w:val="clear" w:color="auto" w:fill="FFFFFF"/>
            <w:vAlign w:val="center"/>
            <w:tcW w:type="dxa" w:w="1288"/>
          </w:tcPr>
          <w:p>
            <w:pPr>
              <w:pStyle w:val="Compact"/>
              <w:spacing w:before="0" w:after="0"/>
              <w:jc w:val="center"/>
            </w:pPr>
            <w:r>
              <w:rPr>
                <w:rFonts w:ascii="Times New Roman" w:hAnsi="Times New Roman" w:cs="Times New Roman" w:eastAsia="Times New Roman"/>
                <w:b/>
                <w:bCs/>
                <w:sz w:val="20"/>
              </w:rPr>
              <w:t xml:space="preserve">0.8459</w:t>
            </w:r>
          </w:p>
        </w:tc>
      </w:tr>
      <w:tr>
        <w:tc>
          <w:tcPr>
            <w:shd w:val="clear" w:color="auto" w:fill="E7E6E6"/>
            <w:vAlign w:val="center"/>
            <w:tcW w:type="dxa" w:w="4494"/>
          </w:tcPr>
          <w:p>
            <w:pPr>
              <w:pStyle w:val="Compact"/>
              <w:spacing w:before="0" w:after="0"/>
              <w:jc w:val="left"/>
            </w:pPr>
            <w:r>
              <w:rPr>
                <w:rFonts w:ascii="Times New Roman" w:hAnsi="Times New Roman" w:cs="Times New Roman" w:eastAsia="Times New Roman"/>
                <w:sz w:val="20"/>
              </w:rPr>
              <w:t xml:space="preserve">Beagle 5.5 (parents co-phased)</w:t>
            </w:r>
          </w:p>
        </w:tc>
        <w:tc>
          <w:tcPr>
            <w:shd w:val="clear" w:color="auto" w:fill="E7E6E6"/>
            <w:vAlign w:val="center"/>
            <w:tcW w:type="dxa" w:w="1146"/>
          </w:tcPr>
          <w:p>
            <w:pPr>
              <w:pStyle w:val="Compact"/>
              <w:spacing w:before="0" w:after="0"/>
              <w:jc w:val="center"/>
            </w:pPr>
            <w:r>
              <w:rPr>
                <w:rFonts w:ascii="Times New Roman" w:hAnsi="Times New Roman" w:cs="Times New Roman" w:eastAsia="Times New Roman"/>
                <w:sz w:val="20"/>
              </w:rPr>
              <w:t xml:space="preserve">0.7341</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b/>
                <w:bCs/>
                <w:sz w:val="20"/>
              </w:rPr>
              <w:t xml:space="preserve">0.7577</w:t>
            </w:r>
          </w:p>
        </w:tc>
        <w:tc>
          <w:tcPr>
            <w:shd w:val="clear" w:color="auto" w:fill="E7E6E6"/>
            <w:vAlign w:val="center"/>
            <w:tcW w:type="dxa" w:w="1146"/>
          </w:tcPr>
          <w:p>
            <w:pPr>
              <w:pStyle w:val="Compact"/>
              <w:spacing w:before="0" w:after="0"/>
              <w:jc w:val="center"/>
            </w:pPr>
            <w:r>
              <w:rPr>
                <w:rFonts w:ascii="Times New Roman" w:hAnsi="Times New Roman" w:cs="Times New Roman" w:eastAsia="Times New Roman"/>
                <w:sz w:val="20"/>
              </w:rPr>
              <w:t xml:space="preserve">0.8266</w:t>
            </w:r>
          </w:p>
        </w:tc>
        <w:tc>
          <w:tcPr>
            <w:shd w:val="clear" w:color="auto" w:fill="E7E6E6"/>
            <w:vAlign w:val="center"/>
            <w:tcW w:type="dxa" w:w="1288"/>
          </w:tcPr>
          <w:p>
            <w:pPr>
              <w:pStyle w:val="Compact"/>
              <w:spacing w:before="0" w:after="0"/>
              <w:jc w:val="center"/>
            </w:pPr>
            <w:r>
              <w:rPr>
                <w:rFonts w:ascii="Times New Roman" w:hAnsi="Times New Roman" w:cs="Times New Roman" w:eastAsia="Times New Roman"/>
                <w:b/>
                <w:bCs/>
                <w:sz w:val="20"/>
              </w:rPr>
              <w:t xml:space="preserve">0.8459</w:t>
            </w:r>
          </w:p>
        </w:tc>
      </w:tr>
      <w:tr>
        <w:tc>
          <w:tcPr>
            <w:shd w:val="clear" w:color="auto" w:fill="FFFFFF"/>
            <w:vAlign w:val="center"/>
            <w:tcW w:type="dxa" w:w="4494"/>
          </w:tcPr>
          <w:p>
            <w:pPr>
              <w:pStyle w:val="Compact"/>
              <w:spacing w:before="0" w:after="0"/>
              <w:jc w:val="left"/>
            </w:pPr>
            <w:r>
              <w:rPr>
                <w:rFonts w:ascii="Times New Roman" w:hAnsi="Times New Roman" w:cs="Times New Roman" w:eastAsia="Times New Roman"/>
                <w:sz w:val="20"/>
              </w:rPr>
              <w:t xml:space="preserve">SHAPEIT5 v5.1.1 (pedigree)</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sz w:val="20"/>
              </w:rPr>
              <w:t xml:space="preserve">0.7349</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0.7529</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sz w:val="20"/>
              </w:rPr>
              <w:t xml:space="preserve">0.8272</w:t>
            </w:r>
          </w:p>
        </w:tc>
        <w:tc>
          <w:tcPr>
            <w:shd w:val="clear" w:color="auto" w:fill="FFFFFF"/>
            <w:vAlign w:val="center"/>
            <w:tcW w:type="dxa" w:w="1288"/>
          </w:tcPr>
          <w:p>
            <w:pPr>
              <w:pStyle w:val="Compact"/>
              <w:spacing w:before="0" w:after="0"/>
              <w:jc w:val="center"/>
            </w:pPr>
            <w:r>
              <w:rPr>
                <w:rFonts w:ascii="Times New Roman" w:hAnsi="Times New Roman" w:cs="Times New Roman" w:eastAsia="Times New Roman"/>
                <w:sz w:val="20"/>
              </w:rPr>
              <w:t xml:space="preserve">0.8423</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summarises wall time and peak memory for Selphi 2, Selphi 1.5.3 and Beagle on the three panels above, on one workstation (16 threads) with identical inputs, Selphi 2 and Beagle 5.5 timed one job at a time; Supplementary Table S6 gives a fuller breakdown including the lcWGS runs. Speed depends on the workload. Selphi 2 is faster than Beagle 5.5 on the consumer-array genome (Table 5b), on the GIAB workloads and when imputing 1000 Genomes chromosome 22, and slower when imputing 1000 Genomes chromosome 1, on the 1000 Genomes full pipeline and on the TOPMed biobank run; it uses less memory than Beagle everywhere except the 1000 Genomes full pipeline.</w:t>
      </w:r>
    </w:p>
    <w:p>
      <w:pPr>
        <w:pStyle w:val="BodyText"/>
        <w:jc w:val="both"/>
      </w:pPr>
      <w:r>
        <w:rPr>
          <w:rFonts w:ascii="Times New Roman" w:hAnsi="Times New Roman" w:cs="Times New Roman" w:eastAsia="Times New Roman"/>
          <w:b/>
          <w:bCs/>
          <w:sz w:val="20"/>
        </w:rPr>
        <w:t xml:space="preserve">Table 7. Wall time and peak memory.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Measured on one workstation (16-thread CPU) with /usr/bin/time -v, one job at a time. Selphi 2 (shipped binary) and Beagle 5.5 (build 03 Oct 2025) were timed in the same session, with the panel files in the page cache; ranges are over repeated runs (two for 1000 Genomes imputation, four on GIAB; the 1000 Genomes full-pipeline rows are single runs, and Selphi 2's time there includes its inline accuracy scoring). Beagle 5.5 received a bref3 file carrying the same panel content as Selphi 2's SRP. The 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row is the full phase-plus-impute pipeline for both tools, Selphi 2 at its panel-adaptive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(132,676) with the default two-member intra-run phase ensemble. Selphi 1.5.3 ran with its published chunked-reference setting (GIAB rows on a 16-vCPU EC2 host, r7a.4xlarge, memory via docker stats) and impute-only on MESA, since it requires a pre-phased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112"/>
        <w:gridCol w:w="1879"/>
        <w:gridCol w:w="2489"/>
        <w:gridCol w:w="1880"/>
      </w:tblGrid>
      <w:tr>
        <w:trPr>
          <w:tblHeader w:val="on"/>
        </w:trPr>
        <w:tc>
          <w:tcPr>
            <w:shd w:val="clear" w:color="auto" w:fill="595959"/>
            <w:vAlign w:val="center"/>
            <w:tcW w:type="dxa" w:w="3112"/>
          </w:tcPr>
          <w:p>
            <w:pPr>
              <w:pStyle w:val="Compact"/>
              <w:spacing w:before="0" w:after="0"/>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879"/>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89"/>
          </w:tcPr>
          <w:p>
            <w:pPr>
              <w:pStyle w:val="Compact"/>
              <w:spacing w:before="0" w:after="0"/>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880"/>
          </w:tcPr>
          <w:p>
            <w:pPr>
              <w:pStyle w:val="Compact"/>
              <w:spacing w:before="0" w:after="0"/>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b/>
                <w:bCs/>
                <w:sz w:val="20"/>
              </w:rPr>
              <w:t xml:space="preserve">55 s / 9.5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1,532 s / 15.6 GB</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sz w:val="20"/>
              </w:rPr>
              <w:t xml:space="preserve">62 s / 16.2-21.7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sz w:val="20"/>
              </w:rPr>
              <w:t xml:space="preserve">296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15.5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15,338 s / 32.6 GB</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b/>
                <w:bCs/>
                <w:sz w:val="20"/>
              </w:rPr>
              <w:t xml:space="preserve">206-208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23.4-25.5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chr22 1KG 801s (full pipeline, unphased input)</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sz w:val="20"/>
              </w:rPr>
              <w:t xml:space="preserve">112 s / 13.9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n/a</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b/>
                <w:bCs/>
                <w:sz w:val="20"/>
              </w:rPr>
              <w:t xml:space="preserve">81 s / 12.5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1KG 801s (full pipeline, unphased input)</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sz w:val="20"/>
              </w:rPr>
              <w:t xml:space="preserve">602 s / 21.6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n/a</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b/>
                <w:bCs/>
                <w:sz w:val="20"/>
              </w:rPr>
              <w:t xml:space="preserve">321 s / 16.9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b/>
                <w:bCs/>
                <w:sz w:val="20"/>
              </w:rPr>
              <w:t xml:space="preserve">6.6-7.2 s / 3.2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112.8 s / 7.1 GB</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sz w:val="20"/>
              </w:rPr>
              <w:t xml:space="preserve">11.4-12.3 s / 7.4-9.5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b/>
                <w:bCs/>
                <w:sz w:val="20"/>
              </w:rPr>
              <w:t xml:space="preserve">38.2-41.3 s / 6.5-6.9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1,923 s / 22.1 GB</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sz w:val="20"/>
              </w:rPr>
              <w:t xml:space="preserve">43.7-45.4 s / 21-44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sz w:val="20"/>
              </w:rPr>
              <w:t xml:space="preserve">9,047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82.0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b/>
                <w:bCs/>
                <w:sz w:val="20"/>
              </w:rPr>
              <w:t xml:space="preserve">6,728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91.0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8" name="Picture"/>
            <a:graphic>
              <a:graphicData uri="http://schemas.openxmlformats.org/drawingml/2006/picture">
                <pic:pic>
                  <pic:nvPicPr>
                    <pic:cNvPr descr="figures/figure4_efficiency.png" id="49" name="Picture"/>
                    <pic:cNvPicPr>
                      <a:picLocks noChangeArrowheads="1" noChangeAspect="1"/>
                    </pic:cNvPicPr>
                  </pic:nvPicPr>
                  <pic:blipFill>
                    <a:blip r:embed="rId47"/>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101 s for Selphi 2 (native pileup with base alignment quality) against 334 s for GLIMPSE2 (chunking, phasing and ligation), 3.3</w:t>
      </w:r>
      <m:oMath>
        <m:r>
          <m:rPr>
            <m:sty m:val="p"/>
          </m:rPr>
          <m:t>×</m:t>
        </m:r>
      </m:oMath>
      <w:r>
        <w:rPr>
          <w:rFonts w:ascii="Times New Roman" w:hAnsi="Times New Roman" w:cs="Times New Roman" w:eastAsia="Times New Roman"/>
          <w:sz w:val="20"/>
        </w:rPr>
        <w:t xml:space="preserve">, and six samples in one run 170 s against 386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107 s for Selphi 2 against 278 s for GLIMPSE2 (its 15 native chunks plus ligation) and 1,701 s for QUILT2 (tiled across the chromosome), 2.6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Each cluster was timed in one session. (b) Whole-genome wall time and (c) peak memory on the consumer-array benchmark (six samples against the 75,552-haplotype panel, all 22 autosomes, 16 threads, one chromosome at a time): Selphi 2's default diploid engine completes the genome in 18.3 min versus Beagle 5.5's 29.9 min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6.8 GB versus 41.9-55.1 GB peak memory (Table 5b).</w:t>
      </w:r>
    </w:p>
    <w:p>
      <w:pPr>
        <w:pStyle w:val="BodyText"/>
        <w:jc w:val="both"/>
      </w:pPr>
      <w:r>
        <w:rPr>
          <w:rFonts w:ascii="Times New Roman" w:hAnsi="Times New Roman" w:cs="Times New Roman" w:eastAsia="Times New Roman"/>
        </w:rPr>
        <w:t xml:space="preserve">The per-sample Selphi 2 to GLIMPSE2 speed ratios in this paper each hold under their own conditions and should not be compared: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 the BAM on the capture libraries (101 s against 334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six samples per run (170 s against 386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(307 s against 451 s), 2.8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 coverage (117 s against 332 s; Table 2; 4,478-haplotype SNP panel), and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iteration count the six-sample capture run takes 75 s with unchanged accuracy.</w:t>
      </w:r>
    </w:p>
    <w:p>
      <w:pPr>
        <w:pStyle w:val="BodyText"/>
        <w:jc w:val="both"/>
      </w:pPr>
      <w:r>
        <w:rPr>
          <w:rFonts w:ascii="Times New Roman" w:hAnsi="Times New Roman" w:cs="Times New Roman" w:eastAsia="Times New Roman"/>
        </w:rPr>
        <w:t xml:space="preserve">Selphi 2 is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on the GIAB imputation-only workloads and 28-52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chromosomes, and the gap holds at genome scale: on the benchmark behind Figure 3a (801 samples, 20 autosomes, imputation-only, 16 threads) Selphi 2 imputes and scores the full set in 0.95 h against ≈36 h for Selphi 1.5.3, which peaks near 34 GB. Selphi 2's peak memory is 1.5-6.8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below Beagle's on the 1000 Genomes imputation and GIAB workloads (Table 7). On the TOPMed biobank-scale run Selphi 2 is slower than Beagle 5.5 (9,047 against 6,728 s, 1.34</w:t>
      </w:r>
      <m:oMath>
        <m:r>
          <m:rPr>
            <m:sty m:val="p"/>
          </m:rPr>
          <m:t>×</m:t>
        </m:r>
      </m:oMath>
      <w:r>
        <w:rPr>
          <w:rFonts w:ascii="Times New Roman" w:hAnsi="Times New Roman" w:cs="Times New Roman" w:eastAsia="Times New Roman"/>
        </w:rPr>
        <w:t xml:space="preserve">) and uses less memory (82.0 against 91.0 GB). The extra time buys the larger candidate set kept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against Beagle's window-local composite haplotypes), and with it +0.0293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a lead across the MAF spectrum. A change to the PBWT scan in the shipped build (Methods) cut this run from 10,767 to 9,047 s with byte-identical output.</w:t>
      </w:r>
    </w:p>
    <w:p>
      <w:pPr>
        <w:pStyle w:val="BodyText"/>
        <w:jc w:val="both"/>
      </w:pPr>
      <w:r>
        <w:rPr>
          <w:rFonts w:ascii="Times New Roman" w:hAnsi="Times New Roman" w:cs="Times New Roman" w:eastAsia="Times New Roman"/>
        </w:rPr>
        <w:t xml:space="preserve">To show the single-command whole-genome workflow on a public benchmark, we merged the 22 per-chromosome 1000 Genomes panels into one multi-chromosome SRP file (4.3 GB) and imputed 50 held-out 1000 Genomes samples across all 22 autosomes in one invocation, prefetching each next chromosome during the current one's HMM. The run wrote one indexed VCF spanning 22 contigs (70.8 million imputed variants) in 9 min 34 s at 8.8 GB peak memory on the 16-thread node with the default two-member phase ensemble (6 min 35 s at 8.0 GB with one member). It needed no per-chromosome splitting, no panel-format conversion, no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writes every output format from one interpolation pass (Methods), so the format does not change the imputed values. On the 1000 Genomes chromosome-22 benchmark (801 samples, 1,070,401 variants) we compared</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dosages (all 801 samples over one megabase). They are identical across VCF, BCF, Apache Parquet and PLINK2 PGEN up to each format's precision: BCF, Parquet and SelfDecode carry the full 32-bit dosage (Parquet against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step), and VCF 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 calls follow each format's documented convention (Methods). Output is bit-reproducible: two runs of the full chromosome on the same hardware gave byte-identical VCF.gz (identical MD5), as the fixed-seed iteration orders imply (Methods). The panel codec is lossless: decoding the SRP panel to BCF, re-encoding it and decoding again reproduced the genotypes byte for byte (identical genotype-matrix MD5 over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built-in converters replace the external bref3, xcf and msav round trips without loss. The capture-library results are also deterministic: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Selphi 2 is a Rust tool built around a genotype-likelihood-aware Li-Stephens engine for sequencing at low or uneven depth, combined with array phasing and imputation in one whole-genome binary. On real capture-plus-low-pass libraries of six GIAB samples, imputing from likelihoods instead of array-equivalent hard calls raises non-reference concordance at untyped chromosome-22 sites by 25.09 pp and heterozygote recall by 39.17 pp in every sample. Against GLIMPSE2 on identical site lists the engine leads non-reference concordance in six of six samples with its native pileup (+0.19 pp) and from bcftools likelihoods (+0.20 pp). The lead replicates on chromosomes 20, 10 and 1 (six of six on each; pooled +0.22 pp) and grows toward rare variants on the larger chromosomes, and the engine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genomes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samples (0.9501 against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has the highest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three tools at every depth.</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imputes a whole genome in one command against one multi-chromosome panel, and replaces Selphi 1's fixed per-variant match caps with a per-target candidate-set size that adapts to the panel. On the 1000 Genomes Phase 3 panel its full pipeline exceeds Beagle 5.5's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0.0198 on chromosome 22 and 0.0197 on chromosome 1, in every frequency bin, though it is slower there (Table 7). On the TOPMed panel it exceeds Beagle 5.5 by 0.0293 on the admixed MESA cohort and leads in all four ancestry groups (Figure 3b), an advantage that comes from the larger candidate set kept per target. The adaptive sizing recovers +0.0535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 set of 2,500, more at rarer frequencies and most in the most admixed groups (Tables 4 and 4b). On leak-free GIAB truth against a panel containing the full 1000 Genomes cohort, Selphi 2 leads Beagle 5.5 on both chromosomes tested (+0.0067 and +0.0014 on common variants) at less than half its peak memory, and runs 17-48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w:t>
      </w:r>
    </w:p>
    <w:p>
      <w:pPr>
        <w:pStyle w:val="BodyText"/>
        <w:jc w:val="both"/>
      </w:pPr>
      <w:r>
        <w:rPr>
          <w:rFonts w:ascii="Times New Roman" w:hAnsi="Times New Roman" w:cs="Times New Roman" w:eastAsia="Times New Roman"/>
        </w:rPr>
        <w:t xml:space="preserve">Selphi 2 differs in scope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one Java process and is the most widely deployed end-to-end tool, but it processes one chromosome at a time, writes only VCF, needs its panel in bref3 format, and uses an effective population size that does not adapt to panel size. On the 1000 Genomes benchmarks it trails Selphi 2 by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the admixed biobank cohort by 0.029.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scales sub-linearly through PBWT selection but needs phased input from an external phaser and runs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engine behind the Michigan and TOPMed servers, has one of the smallest memory footprints but also needs phased input and runs per chromosome. Given the same phased target and panel on 1000 Genomes chromosome 22, both trail Selphi 2, whether it imputes from that phasing (0.4761) or runs its full pipeline (0.4864), against 0.4613 for Minimac4 and 0.4587 for IMPUTE5 (Table 3), the ordering Selphi 1 reported against the same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phases only; its two-stage common-then-rare strategy inspired the rare-variant pass of our diploid engine. On the 54-trio benchmark, with identical testable sites for every tool, the diploid engine has lower switch error than the full SHAPEIT5 pipeline on chromosome 22 (2.528% against 2.607%) and chromosome 1 (1.879% against 1.929%) in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wall time (343 s against 607 s on chromosome 1). Beagle 5.5's phasing is level with it (chromosome 22 2.548% against 2.528%; chromosome 1 1.865% against 1.879%); neither leads on both chromosomes, but Selphi 2 uses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wall time.</w:t>
      </w:r>
    </w:p>
    <w:p>
      <w:pPr>
        <w:pStyle w:val="BodyText"/>
        <w:jc w:val="both"/>
      </w:pPr>
      <w:r>
        <w:rPr>
          <w:rFonts w:ascii="Times New Roman" w:hAnsi="Times New Roman" w:cs="Times New Roman" w:eastAsia="Times New Roman"/>
        </w:rPr>
        <w:t xml:space="preserve">Handling both kinds of input in one tool has precedent: Beagle 4.1</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accepted genotype likelihoods alongside called genotypes, a mode dropped in Beagle 5. Today no array imputer reads likelihoods, and GLIMPSE2 and QUILT2 have no path for called genotypes. What is new is one binary that routes each input to a dedicated engine and matches or exceeds the specialist tool in both regimes. Phased haplotypes also pass in memory to the Li-Stephens forward-backward, with no intermediate VCF. From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the design keeps the long-range PBWT scan, now run in large overlapping windows (80 cM by default) instead of one chromosome-wide pass. An ablation on chromosome 22 (Supplementary Table S10) quantifies it: an IMPUTE5-like 8 cM window costs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adds 0.009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Chromosome 22 is shorter than 80 cM, so there the default window covers the whole chromosome, as Selphi 1 did. The main additions are the integrated phasing engines, the adaptive candidate-set sizing, the single-pass multi-chromosome workflow, and panel input in BCF, VCF or BREF3 with multi-format output.</w:t>
      </w:r>
    </w:p>
    <w:p>
      <w:pPr>
        <w:pStyle w:val="BodyText"/>
        <w:jc w:val="both"/>
      </w:pPr>
      <w:r>
        <w:rPr>
          <w:rFonts w:ascii="Times New Roman" w:hAnsi="Times New Roman" w:cs="Times New Roman" w:eastAsia="Times New Roman"/>
        </w:rPr>
        <w:t xml:space="preserve">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low-coverage sequencing, and there Selphi 2 is directly comparable. On real capture-plus-low-pass libraries it leads GLIMPSE2 in non-reference concordance in six of six samples on chromosome 22 with either pileup and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and it is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from the BAM. Below 0.5% MAF on chromosome 22 the per-sample ordering in the capture libraries is not consistent and GLIMPSE2 is marginally ahead on the downsampled genomes (Tables 1c and 2), whereas on chromosomes 10 and 1 the rare stratum carries Selphi 2's largest and unanimous lead (Table 1d); in the coverage sweep the two are level in this stratum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separate the phaser's contribution from the imputer's. In a full phaser</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on a 1000 Genomes array target (801 samples),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0.003</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at most a quarter of the imputer effect.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+0.013 to +0.014 in favour of Selphi 2 whatever the phasing (Supplementary Table S7). This fits the near-equal switch error on common variants (Table 6): array sites are mostly common, where modern phasers agree, so phasing does not limit array imputation and Selphi 2's advantage belongs to its imputer. Re-phasing an already well-phased panel with Selphi 2 raised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slightly for both imputers (+0.0019 for Selphi 2, +0.0034 for Beagle 5.5, no bin lower), so keeping a panel's published phasing, as we do throughout, costs little (Supplementary Table S8). Family information is the exception (Table 6c): when phasing adds information, here the parental genotypes, downstream imputation improves against an independent truth (+0.018 to +0.024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Phasing helps imputation through the information it adds, not through the choice among comparable phasers.</w:t>
      </w:r>
    </w:p>
    <w:p>
      <w:pPr>
        <w:pStyle w:val="BodyText"/>
        <w:jc w:val="both"/>
      </w:pPr>
      <w:r>
        <w:rPr>
          <w:rFonts w:ascii="Times New Roman" w:hAnsi="Times New Roman" w:cs="Times New Roman" w:eastAsia="Times New Roman"/>
        </w:rPr>
        <w:t xml:space="preserve">The low-coverage experiments make the matching point about the input. The 25.09 pp gap between the array-equivalent route and the likelihood engine on the same libraries is information, the off-target background and deep flanking coverage that a hard-called array VCF cannot carry. The two routes share the binary, the panel and the truth and differ only in what the target file can express; what an imputer can recover is bounded first by what its input keeps. The same experiments set a reporting rule we apply throughout. Aggregates dominated by homozygous-reference sites (94.4-94.8% of the evaluated sites here, and the monomorphic sites inside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move by hundredths of a point when rare-variant behaviour moves by whole points. We therefore report every aggregate with its strata below 0.5%, 0.5-5% and 5% or more, and take the like-for-like arm, not the better of two pipelines, as the engine's result.</w:t>
      </w:r>
    </w:p>
    <w:p>
      <w:pPr>
        <w:pStyle w:val="BodyText"/>
        <w:jc w:val="both"/>
      </w:pPr>
      <w:r>
        <w:rPr>
          <w:rFonts w:ascii="Times New Roman" w:hAnsi="Times New Roman" w:cs="Times New Roman" w:eastAsia="Times New Roman"/>
        </w:rPr>
        <w:t xml:space="preserve">The work has several limitations. First, in the rarest 1000 Genomes bin (0.05-0.1%) of the genome-wide imputation-only comparison Minimac4 narrowly leads Selphi 2 (0.3491 against 0.3479; Supplementary Table S9), though Selphi 2 leads Beagle 5.5 and IMPUTE5 there and leads every tool in every other bin. The chromosome-wide PBWT statistic behind candidate selection favours long matches and may underweight single-carrier haplotypes whose informative segment is short. As deployed, with its own phasing, Selphi 2 leads in this bin as well on chromosomes 22 and 1 (Table 3). Second, the diploid engine, the default, exceeds the haploid engine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(+0.0020 genome-wide on the consumer arrays), has equal or lower switch error (the two differ by 0.003 points on chromosome 1), and phases the trio benchmark 4.7-5.1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because rare variants are phased in a separate pass, but the default intra-run phase ensemble (Methods) reverses that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against 0.7910 on the consumer arrays). We therefore use the diploid engine for all inputs and expose the haploid one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--phasing-engine haploid</w:t>
      </w:r>
      <w:r>
        <w:rPr>
          <w:rFonts w:ascii="Times New Roman" w:hAnsi="Times New Roman" w:cs="Times New Roman" w:eastAsia="Times New Roman"/>
        </w:rPr>
        <w:t xml:space="preserve">; no current rule predicts the better engine from cohort admixture alone. Third, the adaptive sizing rule (Methods, Candidate selection and HMM) has two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tuned on three panels (1000 Genomes, a UK Biobank subset, TOPMed); we have not validated them on a panel materially different from these. Fourth, keeping 78% of a 171,054-haplotype panel as candidates is costly on biobank-scale runs (1.34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where rare-variant accuracy is not the priority,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runs faster. Fifth, the consumer-array set has only six individuals, so per-sample variance is appreciable and the smallest differences (below 0.001) are not resolved. Finally, the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covers chromosome 20 only, the GIAB validation chromosomes 21 and 1 and the 1000 Genomes per-chromosome tables chromosomes 22 and 1, although the 1000 Genomes and HGDP results (Figure 3a; Table 4c) are also given genome-wide; the sizing rule on the X chromosome under sex-aware phasing remains to be characterised.</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instrument and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they use different panels (4,796 against 4,478 and 6,332 haplotypes), site lists and denominators, and we do not combine them. Third, the capture libraries are capture-plus-background rather than uniform low-pass sequencing: 54.5-61.6% of the chromosome-22 panel SNP sites carry no read, and the array-equivalent route's absolute values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panel-monomorphic sites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we instead pre-filtered the panel, for GLIMPSE2 on chromosome 22 and for both tools on chromosomes 20, 10 and 1. Selphi 2 accepts the unfiltered panel, and GLIMPSE2's VCF-likelihood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carrying genotype-only indel records loses accuracy (chromosome 20, HG004: 92.49% against 98.07% non-reference concordance with those records removed); likelihood files should contain only records with likelihoods, as here, or the BAM path should be used. Sixth, heterozygote precision on chromosome 10 is lower than GLIMPSE2's in both Selphi 2 arms (native -0.48 pp, three of six samples), the one metric on one chromosome in Table 1d where Selphi 2 does not lead. Seventh, QUILT2 was not run on the capture libraries. Eighth, under default settings the low-coverage engine's conditioning set is largely independent of the target: the PBWT-selected union is capped in haplotype-index order and, because it covers nearly the whole panel, the cap keeps an almost fixed low-index subset, so the per-haplotype rare-carrier augmentation carries the target-specific information (Methods). A rank-order cap recovers the rarest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but lowers other bins; a cap that keeps both the diversity of the fixed subset and the local specificity of the PBWT ranking remains to be designed and measured.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leak information about the reference panel: each dosage is a deterministic function of the panel haplotypes the model copies, and adaptively chosen queries can reconstruct panel haplotypes from an imputation server's output</w:t>
      </w:r>
      <w:hyperlink w:anchor="ref31">
        <w:r>
          <w:rPr>
            <w:rFonts w:ascii="Times New Roman" w:hAnsi="Times New Roman" w:cs="Times New Roman" w:eastAsia="Times New Roman"/>
            <w:color w:val="0563C1"/>
            <w:vertAlign w:val="superscript"/>
          </w:rPr>
          <w:t xml:space="preserve">31</w:t>
        </w:r>
      </w:hyperlink>
      <w:r>
        <w:rPr>
          <w:rFonts w:ascii="Times New Roman" w:hAnsi="Times New Roman" w:cs="Times New Roman" w:eastAsia="Times New Roman"/>
        </w:rPr>
        <w:t xml:space="preserve">. Two features of Selphi 2 bear on this. Unlike Selphi 1's whole-chromosome PBWT pass, Selphi 2 matches within large overlapping windows (80 cM by default), which bounds the longest contiguous panel segment one query can expose, the quantity segment-linking attacks exploit. For sensitive panels, the panel can also be held under controlled access, as the TOPMed and MESA data used here are, and per-query output aggregated or rate-limited. We did not perform a formal privacy analysis; quantifying the reconstruction risk of windowed matching against a whole-chromosome scan is a question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Browning BL, Browning SR. Genotype imputation with millions of reference samples.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2016;98(1):116-126.</w:t>
      </w:r>
      <w:bookmarkEnd w:id="4030"/>
    </w:p>
    <w:p>
      <w:pPr>
        <w:pStyle w:val="Compact"/>
        <w:numPr>
          <w:ilvl w:val="0"/>
          <w:numId w:val="1001"/>
        </w:numPr>
        <w:jc w:val="both"/>
      </w:pPr>
      <w:bookmarkStart w:id="4031" w:name="ref31"/>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31"/>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sz w:val="20"/>
        </w:rPr>
        <w:t xml:space="preserve">Table S1. Imputation accuracy (R²) - 1KG Phase 3, chip to WGS</w:t>
      </w:r>
    </w:p>
    <w:p>
      <w:pPr>
        <w:pStyle w:val="FirstParagraph"/>
        <w:jc w:val="both"/>
      </w:pPr>
      <w:r>
        <w:rPr>
          <w:rFonts w:ascii="Times New Roman" w:hAnsi="Times New Roman" w:cs="Times New Roman" w:eastAsia="Times New Roman"/>
          <w:sz w:val="20"/>
        </w:rPr>
        <w:t xml:space="preserve">Panel: 1KG Phase 3, 4,802 haplotypes. Targets: 801 held-out samples, chr22 and chr1. 16 threads.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PHASED = impute-only (phased input, both tools given the same phasing); UNPHASED = full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phase-plus-impute pipeline, both tools in one session. Reference: Beagle 5.5 (03Oct25), given a</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bref3 file built from the same SRP. Every value scored by one evaluator on the same sites,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untyped sites polymorphic in the panel (1,016,325 on chr22, 5,482,279 on chr1; Beagle's phased-input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output lacks 2 and 21 of them); MAF bins by frequency in the 801 truth genomes.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852"/>
        <w:gridCol w:w="1668"/>
        <w:gridCol w:w="2811"/>
        <w:gridCol w:w="1342"/>
        <w:gridCol w:w="1342"/>
        <w:gridCol w:w="1345"/>
      </w:tblGrid>
      <w:tr>
        <w:trPr>
          <w:tblHeader w:val="on"/>
        </w:trPr>
        <w:tc>
          <w:tcPr>
            <w:shd w:val="clear" w:color="auto" w:fill="595959"/>
            <w:vAlign w:val="center"/>
            <w:tcW w:type="dxa" w:w="852"/>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668"/>
          </w:tcPr>
          <w:p>
            <w:pPr>
              <w:pStyle w:val="Compact"/>
              <w:spacing w:before="0" w:after="0"/>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811"/>
          </w:tcPr>
          <w:p>
            <w:pPr>
              <w:pStyle w:val="Compact"/>
              <w:spacing w:before="0" w:after="0"/>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342"/>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42"/>
          </w:tcPr>
          <w:p>
            <w:pPr>
              <w:pStyle w:val="Compact"/>
              <w:spacing w:before="0" w:after="0"/>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4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0.4761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0.4633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0.9166</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0.9088</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0.2626</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0.2583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0.3156</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0.3062</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0.5-1%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0.4847</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20-50%</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0.8424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0.8313</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0.4864</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0.4666</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0.9175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0.9062</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0.2800</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0.2673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0.5624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0.5510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0.9572</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0.9529</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0.3405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0.3370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0.1-0.2%</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0.3999</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0.3880</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0.6085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0.5910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0.9311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0.9249</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0.5755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0.5558</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0.9579</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0.9518</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0.3624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0.3466</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rPr>
        <w:t xml:space="preserve">Selphi 2 leads Beagle 5.5 in all nine MAF bins in all four chromosome-by-mode cells.</w:t>
      </w:r>
    </w:p>
    <w:p>
      <w:pPr>
        <w:pStyle w:val="Heading2"/>
        <w:jc w:val="both"/>
      </w:pPr>
      <w:r>
        <w:rPr>
          <w:rFonts w:ascii="Times New Roman" w:hAnsi="Times New Roman" w:cs="Times New Roman" w:eastAsia="Times New Roman"/>
          <w:sz w:val="20"/>
        </w:rPr>
        <w:t xml:space="preserve">Table S2. Imputation accuracy (R²) - biobank-scale MESA × TOPMed</w:t>
      </w:r>
    </w:p>
    <w:p>
      <w:pPr>
        <w:pStyle w:val="FirstParagraph"/>
        <w:jc w:val="both"/>
      </w:pPr>
      <w:r>
        <w:rPr>
          <w:rFonts w:ascii="Times New Roman" w:hAnsi="Times New Roman" w:cs="Times New Roman" w:eastAsia="Times New Roman"/>
          <w:sz w:val="20"/>
        </w:rPr>
        <w:t xml:space="preserve">Target: MESA admixed cohort, chr20, 5,000 samples. Panel: TOPMed Freeze 8, 171,054 haplotypes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(85,527 samples; disjoint from the target).</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mc</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per-target candidate-set size. Every row was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scored by one evaluator on the same 11,085,368 sites, the variants polymorphic in the panel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(6,815,267 of the 17.9 M panel variants have no alternate allele among its haplotypes). Selphi 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rows: shipped binary, default diploid engine, full phase-and-impute pipeline;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(03Oct25) at its defaults. Per-MAF values for all tools are in Table S11, per-ancestry values in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S11b and Table 4b, and the 500-sample candidate-size ablation in Table 4.</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177"/>
        <w:gridCol w:w="2070"/>
        <w:gridCol w:w="2581"/>
        <w:gridCol w:w="1049"/>
        <w:gridCol w:w="1049"/>
        <w:gridCol w:w="1434"/>
      </w:tblGrid>
      <w:tr>
        <w:trPr>
          <w:tblHeader w:val="on"/>
        </w:trPr>
        <w:tc>
          <w:tcPr>
            <w:shd w:val="clear" w:color="auto" w:fill="595959"/>
            <w:vAlign w:val="center"/>
            <w:tcW w:type="dxa" w:w="1177"/>
          </w:tcPr>
          <w:p>
            <w:pPr>
              <w:pStyle w:val="Compact"/>
              <w:spacing w:before="0" w:after="0"/>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70"/>
          </w:tcPr>
          <w:p>
            <w:pPr>
              <w:pStyle w:val="Compact"/>
              <w:spacing w:before="0" w:after="0"/>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581"/>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434"/>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0.6209</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0.5916</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0.9016</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0.8842</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0.05-0.1% (rarest)</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0.5300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0.4956</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0.6599</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0.6305</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0.6657</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0.6503</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2,500 (fixed)</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0.5725</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0.5916</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2,500 (fixed)</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0.8982</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0.8842</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S3. Leak-free GIAB validation - chip to WGS</w:t>
      </w:r>
    </w:p>
    <w:p>
      <w:pPr>
        <w:pStyle w:val="FirstParagraph"/>
        <w:jc w:val="both"/>
      </w:pPr>
      <w:r>
        <w:rPr>
          <w:rFonts w:ascii="Times New Roman" w:hAnsi="Times New Roman" w:cs="Times New Roman" w:eastAsia="Times New Roman"/>
          <w:sz w:val="20"/>
        </w:rPr>
        <w:t xml:space="preserve">6 GIAB samples (HG002-007), 75,552-haplotype reference panel (37,776 samples), leak-free,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16 threads, impute-only from the same phased chip input. Beagle 5.5 (03Oct25) received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bref3 file the Selphi 2 SRP was built from, so both tools used the same panel content. Both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were scored by one evaluator on the same sites (69,806 on chr21, 409,391 on chr1; GIAB v4.2.1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high-confidence, MAF 5-50%). Timings: same session, one job at a time, four runs per tool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(range; Beagle's first run on each chromosome was cold-cache and is given separately).</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728"/>
        <w:gridCol w:w="1844"/>
        <w:gridCol w:w="1844"/>
        <w:gridCol w:w="3796"/>
        <w:gridCol w:w="1148"/>
      </w:tblGrid>
      <w:tr>
        <w:trPr>
          <w:tblHeader w:val="on"/>
        </w:trPr>
        <w:tc>
          <w:tcPr>
            <w:shd w:val="clear" w:color="auto" w:fill="595959"/>
            <w:vAlign w:val="center"/>
            <w:tcW w:type="dxa" w:w="728"/>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844"/>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844"/>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3796"/>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4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R²</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0.9700</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0.9633</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concordance</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0.9803</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0.9783</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wall</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6.6-7.2 s</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11.4-12.3 s (15.4 s cold)</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peak RAM</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3.2 GB</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7.4-9.5 GB</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R²</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0.9771</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0.9757</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concordance</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0.9864</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0.9860</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wall</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38.2-41.3 s</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43.7-45.4 s (95.2 s cold)</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peak RAM</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6.5-6.9 GB</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21-44 GB</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S4a. Array-equivalent route versus the likelihood engine, per sample (= main-text Table 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Same binary, same panel, same six libraries, chromosome 22. Array-equivalent route: genotypes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called by bcftools only at the GSA sites (no-calls dropped; 8,672-8,721 called chromosome-22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per sample) and imputed with the standard phase-and-impute path; likelihood (GL) engine: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at all 929,834 chromosome-22 panel SNP sites. Scored 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Selphi's own site list, which is larger than the head-to-head list of S4b, on untyped sites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only. Typed-site concordance of the array route against GIAB is 99.57-99.72% (mean 99.66%) at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call rate of 95.6-96.2% on 8,042-8,320 evaluable typed sites; per-sample values are in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086"/>
        <w:gridCol w:w="937"/>
        <w:gridCol w:w="1110"/>
        <w:gridCol w:w="764"/>
        <w:gridCol w:w="764"/>
        <w:gridCol w:w="851"/>
        <w:gridCol w:w="764"/>
        <w:gridCol w:w="764"/>
        <w:gridCol w:w="851"/>
        <w:gridCol w:w="937"/>
        <w:gridCol w:w="937"/>
        <w:gridCol w:w="764"/>
        <w:gridCol w:w="764"/>
        <w:gridCol w:w="764"/>
        <w:gridCol w:w="903"/>
      </w:tblGrid>
      <w:tr>
        <w:trPr>
          <w:tblHeader w:val="on"/>
        </w:trPr>
        <w:tc>
          <w:tcPr>
            <w:shd w:val="clear" w:color="auto" w:fill="595959"/>
            <w:vAlign w:val="center"/>
            <w:tcW w:type="dxa" w:w="1086"/>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Untyped sites evaluated</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16"/>
              </w:rPr>
              <w:t xml:space="preserve">Typed-site concordance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Non-ref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Non-ref % GL engine</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Het recall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Het recall % GL engine</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Het precision % array route</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Het precision % GL engine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Overall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Overall % GL engine</w:t>
            </w:r>
          </w:p>
        </w:tc>
        <w:tc>
          <w:tcPr>
            <w:shd w:val="clear" w:color="auto" w:fill="595959"/>
            <w:vAlign w:val="center"/>
            <w:tcW w:type="dxa" w:w="903"/>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723,251</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99.7115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71.4389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98.1728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+26.7339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57.8827</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97.5148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+39.6321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93.1890</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97.7506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+4.5616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98.4131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99.8396</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713,863</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99.6845</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73.3695</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98.1048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+24.7353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61.6314</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97.5117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+35.8803</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93.0707</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97.5468</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+4.4761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98.4770</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99.8267</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711,235</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99.7194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68.2695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97.8610</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+29.5915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52.5936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97.3017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+44.7081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92.7814</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97.2325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+4.4511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98.3150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99.8257</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700,109</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99.7016</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73.3720</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97.7136</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+24.3416</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58.0941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96.9163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+38.8222</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91.7668</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97.6362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+5.8694</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98.5192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99.8317</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707,197</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99.5794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74.8632</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98.0764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+23.2132</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55.8584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97.0916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+41.2332</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91.9756</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97.2386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+5.2630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98.6333</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99.8447</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706,411</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99.5659</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75.3753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97.3235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+21.9482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61.6517</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96.3844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+34.7327</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93.7386</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96.9839</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+3.2453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98.6271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99.7881</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937"/>
          </w:tcPr>
          <w:p>
            <w:pPr>
              <w:pStyle w:val="Compact"/>
              <w:spacing w:before="0" w:after="0"/>
              <w:jc w:val="center"/>
            </w:pPr>
          </w:p>
        </w:tc>
        <w:tc>
          <w:tcPr>
            <w:shd w:val="clear" w:color="auto" w:fill="FFFFFF"/>
            <w:vAlign w:val="center"/>
            <w:tcW w:type="dxa" w:w="1110"/>
          </w:tcPr>
          <w:p>
            <w:pPr>
              <w:pStyle w:val="Compact"/>
              <w:spacing w:before="0" w:after="0"/>
              <w:jc w:val="center"/>
            </w:pP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72.7814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97.8753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+25.0939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57.9520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97.1201</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+39.1681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92.7537</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97.3981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+4.6444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98.4975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99.8261</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 (6/6)</w:t>
            </w:r>
          </w:p>
        </w:tc>
      </w:tr>
    </w:tbl>
    <w:p>
      <w:pPr>
        <w:pStyle w:val="BodyText"/>
        <w:jc w:val="both"/>
      </w:pPr>
      <w:r>
        <w:rPr>
          <w:rFonts w:ascii="Times New Roman" w:hAnsi="Times New Roman" w:cs="Times New Roman" w:eastAsia="Times New Roman"/>
          <w:sz w:val="20"/>
        </w:rPr>
        <w:t xml:space="preserve">Means by reference-panel MAF stratum for the same comparison. Site counts are per sample 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Selphi's own list; the rare stratum is larger here than in S4c because the own list carries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more rare sites, which is why the GL engine's rare non-reference value here (86.76) is lower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than the same engine's value on GLIMPSE2's list in S4c (87.99): the two denominators must not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be mixed.</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060"/>
        <w:gridCol w:w="1780"/>
        <w:gridCol w:w="916"/>
        <w:gridCol w:w="916"/>
        <w:gridCol w:w="916"/>
        <w:gridCol w:w="808"/>
        <w:gridCol w:w="808"/>
        <w:gridCol w:w="916"/>
        <w:gridCol w:w="1240"/>
      </w:tblGrid>
      <w:tr>
        <w:trPr>
          <w:tblHeader w:val="on"/>
        </w:trPr>
        <w:tc>
          <w:tcPr>
            <w:shd w:val="clear" w:color="auto" w:fill="595959"/>
            <w:vAlign w:val="center"/>
            <w:tcW w:type="dxa" w:w="1060"/>
          </w:tcPr>
          <w:p>
            <w:pPr>
              <w:pStyle w:val="Compact"/>
              <w:spacing w:before="0" w:after="0"/>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780"/>
          </w:tcPr>
          <w:p>
            <w:pPr>
              <w:pStyle w:val="Compact"/>
              <w:spacing w:before="0" w:after="0"/>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060"/>
          </w:tcPr>
          <w:p>
            <w:pPr>
              <w:pStyle w:val="Compact"/>
              <w:spacing w:before="0" w:after="0"/>
              <w:jc w:val="center"/>
            </w:pPr>
            <w:r>
              <w:rPr>
                <w:rFonts w:ascii="Times New Roman" w:hAnsi="Times New Roman" w:cs="Times New Roman" w:eastAsia="Times New Roman"/>
                <w:sz w:val="20"/>
              </w:rPr>
              <w:t xml:space="preserve">MAF &gt;= 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79,011-81,583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74.189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98.580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+24.391</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60.340</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98.270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+37.929</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r>
        <w:tc>
          <w:tcPr>
            <w:shd w:val="clear" w:color="auto" w:fill="E7E6E6"/>
            <w:vAlign w:val="center"/>
            <w:tcW w:type="dxa" w:w="1060"/>
          </w:tcPr>
          <w:p>
            <w:pPr>
              <w:pStyle w:val="Compact"/>
              <w:spacing w:before="0" w:after="0"/>
              <w:jc w:val="center"/>
            </w:pPr>
            <w:r>
              <w:rPr>
                <w:rFonts w:ascii="Times New Roman" w:hAnsi="Times New Roman" w:cs="Times New Roman" w:eastAsia="Times New Roman"/>
                <w:sz w:val="20"/>
              </w:rPr>
              <w:t xml:space="preserve">MAF 0.5-5%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108,544-112,031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65.672</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95.423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+29.750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20"/>
              </w:rPr>
              <w:t xml:space="preserve">44.000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93.034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+49.034</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r>
        <w:tc>
          <w:tcPr>
            <w:shd w:val="clear" w:color="auto" w:fill="FFFFFF"/>
            <w:vAlign w:val="center"/>
            <w:tcW w:type="dxa" w:w="1060"/>
          </w:tcPr>
          <w:p>
            <w:pPr>
              <w:pStyle w:val="Compact"/>
              <w:spacing w:before="0" w:after="0"/>
              <w:jc w:val="center"/>
            </w:pPr>
            <w:r>
              <w:rPr>
                <w:rFonts w:ascii="Times New Roman" w:hAnsi="Times New Roman" w:cs="Times New Roman" w:eastAsia="Times New Roman"/>
                <w:sz w:val="20"/>
              </w:rPr>
              <w:t xml:space="preserve">MAF &lt; 0.5%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512,554-529,637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54.654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86.764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+32.110</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30.853</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79.872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+49.019</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sz w:val="20"/>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97.7050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98.1694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98.1882</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98.0888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+0.4644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+0.4832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97.9265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98.1225</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98.1251</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98.0431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+0.1960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+0.1986</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97.7072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97.9235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97.8774</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97.9235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+0.2163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+0.1702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97.6243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97.7301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97.8191</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97.6355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+0.1058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+0.1948</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98.0913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98.1760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98.1534</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98.0348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+0.0847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+0.0621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97.3787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97.4489</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97.4516</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97.4597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+0.0702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+0.0729</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97.7388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97.9284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97.9358</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97.8642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+0.1896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+0.1970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sz w:val="20"/>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96.8436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97.5018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97.5427</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97.3996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+0.6582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+0.6991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97.2667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97.5548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97.5468</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97.4428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+0.2881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+0.2801</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97.1006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97.4168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97.3278</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97.4168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+0.3162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+0.2272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96.8550</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96.9758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97.0919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96.8503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+0.1208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+0.2369</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97.0875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97.2493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97.2285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97.0092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+0.1618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+0.1410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96.4924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96.6172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96.5949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96.6573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+0.1248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+0.1025</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96.9410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97.2193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97.2221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97.1293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+0.2783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+0.2811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sz w:val="20"/>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156"/>
        <w:gridCol w:w="916"/>
        <w:gridCol w:w="1024"/>
        <w:gridCol w:w="916"/>
        <w:gridCol w:w="1024"/>
        <w:gridCol w:w="1240"/>
        <w:gridCol w:w="916"/>
        <w:gridCol w:w="1024"/>
        <w:gridCol w:w="1144"/>
      </w:tblGrid>
      <w:tr>
        <w:trPr>
          <w:tblHeader w:val="on"/>
        </w:trPr>
        <w:tc>
          <w:tcPr>
            <w:shd w:val="clear" w:color="auto" w:fill="595959"/>
            <w:vAlign w:val="center"/>
            <w:tcW w:type="dxa" w:w="1156"/>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144"/>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97.7427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97.8660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97.7506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97.6992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+0.1233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+0.0079</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97.5517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97.6917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97.5468</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97.6147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+0.1400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-0.0049</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96.6786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97.0623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97.2325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97.1227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+0.3837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+0.5539</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97.2798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97.4966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97.6362</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97.3023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+0.2168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+0.3564</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97.2195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97.2747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97.2386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97.2529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+0.0552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+0.0191</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97.1636</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97.0367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96.9839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97.0726</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-0.1269</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-0.1797</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97.2726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97.4047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97.3981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97.3441</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+0.1320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+0.1255</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sz w:val="20"/>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99.8063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99.8341</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99.8313</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99.8245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+0.0278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+0.0250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99.8064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99.8236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99.8180</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99.8162</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+0.0116</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99.7898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99.8138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99.8166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99.8160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+0.0240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+0.0268</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99.8087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99.8197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99.8280</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99.8093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+0.0110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+0.0193</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99.8359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99.8417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99.8401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99.8342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+0.0058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+0.0042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99.7858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99.7858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99.7833</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99.7881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+0.0000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-0.0025</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tie</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99.8055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99.8198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99.8195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99.8147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+0.0143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+0.0141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sz w:val="20"/>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042"/>
        <w:gridCol w:w="1456"/>
        <w:gridCol w:w="851"/>
        <w:gridCol w:w="678"/>
        <w:gridCol w:w="851"/>
        <w:gridCol w:w="1024"/>
        <w:gridCol w:w="783"/>
        <w:gridCol w:w="920"/>
        <w:gridCol w:w="939"/>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16"/>
              </w:rPr>
              <w:t xml:space="preserve">Stratum</w:t>
            </w:r>
          </w:p>
        </w:tc>
        <w:tc>
          <w:tcPr>
            <w:shd w:val="clear" w:color="auto" w:fill="595959"/>
            <w:vAlign w:val="center"/>
            <w:tcW w:type="dxa" w:w="1042"/>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1456"/>
          </w:tcPr>
          <w:p>
            <w:pPr>
              <w:pStyle w:val="Compact"/>
              <w:spacing w:before="0" w:after="0"/>
              <w:jc w:val="center"/>
            </w:pPr>
            <w:r>
              <w:rPr>
                <w:rFonts w:ascii="Times New Roman" w:hAnsi="Times New Roman" w:cs="Times New Roman" w:eastAsia="Times New Roman"/>
                <w:b/>
                <w:color w:val="FFFFFF"/>
                <w:sz w:val="16"/>
              </w:rPr>
              <w:t xml:space="preserve">Sites</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GLIMPSE2</w:t>
            </w:r>
          </w:p>
        </w:tc>
        <w:tc>
          <w:tcPr>
            <w:shd w:val="clear" w:color="auto" w:fill="595959"/>
            <w:vAlign w:val="center"/>
            <w:tcW w:type="dxa" w:w="678"/>
          </w:tcPr>
          <w:p>
            <w:pPr>
              <w:pStyle w:val="Compact"/>
              <w:spacing w:before="0" w:after="0"/>
              <w:jc w:val="center"/>
            </w:pPr>
            <w:r>
              <w:rPr>
                <w:rFonts w:ascii="Times New Roman" w:hAnsi="Times New Roman" w:cs="Times New Roman" w:eastAsia="Times New Roman"/>
                <w:b/>
                <w:color w:val="FFFFFF"/>
                <w:sz w:val="16"/>
              </w:rPr>
              <w:t xml:space="preserve">Selphi 2 native (BAQ)</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Selphi 2 bcftools GL</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16"/>
              </w:rPr>
              <w:t xml:space="preserve">Selphi 2 native, no BAQ (ablation)</w:t>
            </w:r>
          </w:p>
        </w:tc>
        <w:tc>
          <w:tcPr>
            <w:shd w:val="clear" w:color="auto" w:fill="595959"/>
            <w:vAlign w:val="center"/>
            <w:tcW w:type="dxa" w:w="783"/>
          </w:tcPr>
          <w:p>
            <w:pPr>
              <w:pStyle w:val="Compact"/>
              <w:spacing w:before="0" w:after="0"/>
              <w:jc w:val="center"/>
            </w:pPr>
            <w:r>
              <w:rPr>
                <w:rFonts w:ascii="Times New Roman" w:hAnsi="Times New Roman" w:cs="Times New Roman" w:eastAsia="Times New Roman"/>
                <w:b/>
                <w:color w:val="FFFFFF"/>
                <w:sz w:val="16"/>
              </w:rPr>
              <w:t xml:space="preserve">Delta native (BAQ) pp</w:t>
            </w:r>
          </w:p>
        </w:tc>
        <w:tc>
          <w:tcPr>
            <w:shd w:val="clear" w:color="auto" w:fill="595959"/>
            <w:vAlign w:val="center"/>
            <w:tcW w:type="dxa" w:w="920"/>
          </w:tcPr>
          <w:p>
            <w:pPr>
              <w:pStyle w:val="Compact"/>
              <w:spacing w:before="0" w:after="0"/>
              <w:jc w:val="center"/>
            </w:pPr>
            <w:r>
              <w:rPr>
                <w:rFonts w:ascii="Times New Roman" w:hAnsi="Times New Roman" w:cs="Times New Roman" w:eastAsia="Times New Roman"/>
                <w:b/>
                <w:color w:val="FFFFFF"/>
                <w:sz w:val="16"/>
              </w:rPr>
              <w:t xml:space="preserve">Delta bcftools pp</w:t>
            </w:r>
          </w:p>
        </w:tc>
        <w:tc>
          <w:tcPr>
            <w:shd w:val="clear" w:color="auto" w:fill="595959"/>
            <w:vAlign w:val="center"/>
            <w:tcW w:type="dxa" w:w="939"/>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98.314</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98.758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98.774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98.677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+0.444</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+0.460</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80,535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98.599</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98.744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98.747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98.676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+0.145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80,307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98.271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98.517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98.461</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98.527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+0.246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+0.190</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79,005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98.242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98.376</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98.420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98.264</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+0.134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+0.178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79,799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98.758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98.818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98.815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98.705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+0.060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+0.057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98.160</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98.259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98.256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98.283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+0.099</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+0.096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79,005-81,576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98.391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98.579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98.579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98.522</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+0.188 (6/6)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+0.188 (6/6)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94.892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95.590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95.590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95.553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+0.698</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+0.698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110,574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94.961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95.453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95.453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95.166</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+0.492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+0.492</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110,143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95.071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95.108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95.217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95.217</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+0.037</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108,535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95.971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95.885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96.442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95.799</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-0.086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+0.471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109,718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95.195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95.420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95.420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95.375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+0.225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+0.225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109,445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94.831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94.539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94.414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94.581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-0.292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-0.417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108,535-112,020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95.153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95.333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95.423</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95.282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+0.179 (4/6)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+0.269 (5/6)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88.951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89.441</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89.580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89.301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+0.490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+0.629</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484,105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86.842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87.767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87.767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87.767</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+0.925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+0.925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482,329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90.517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90.445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90.302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90.014</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-0.072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-0.215</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474,710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87.240</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87.044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87.370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87.305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-0.196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+0.130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479,498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87.997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88.409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87.929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87.517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+0.412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-0.068</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479,149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84.695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84.695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85.016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84.373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+0.000</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+0.321</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474,710-490,546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87.707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87.967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87.994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87.713</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+0.260 (3/6)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+0.287 (4/6)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bl>
    <w:p>
      <w:pPr>
        <w:pStyle w:val="BodyText"/>
        <w:jc w:val="both"/>
      </w:pPr>
      <w:r>
        <w:rPr>
          <w:rFonts w:ascii="Times New Roman" w:hAnsi="Times New Roman" w:cs="Times New Roman" w:eastAsia="Times New Roman"/>
          <w:i/>
          <w:iCs/>
          <w:sz w:val="20"/>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042"/>
        <w:gridCol w:w="1456"/>
        <w:gridCol w:w="851"/>
        <w:gridCol w:w="678"/>
        <w:gridCol w:w="851"/>
        <w:gridCol w:w="1024"/>
        <w:gridCol w:w="783"/>
        <w:gridCol w:w="920"/>
        <w:gridCol w:w="939"/>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16"/>
              </w:rPr>
              <w:t xml:space="preserve">Stratum</w:t>
            </w:r>
          </w:p>
        </w:tc>
        <w:tc>
          <w:tcPr>
            <w:shd w:val="clear" w:color="auto" w:fill="595959"/>
            <w:vAlign w:val="center"/>
            <w:tcW w:type="dxa" w:w="1042"/>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1456"/>
          </w:tcPr>
          <w:p>
            <w:pPr>
              <w:pStyle w:val="Compact"/>
              <w:spacing w:before="0" w:after="0"/>
              <w:jc w:val="center"/>
            </w:pPr>
            <w:r>
              <w:rPr>
                <w:rFonts w:ascii="Times New Roman" w:hAnsi="Times New Roman" w:cs="Times New Roman" w:eastAsia="Times New Roman"/>
                <w:b/>
                <w:color w:val="FFFFFF"/>
                <w:sz w:val="16"/>
              </w:rPr>
              <w:t xml:space="preserve">Sites</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GLIMPSE2</w:t>
            </w:r>
          </w:p>
        </w:tc>
        <w:tc>
          <w:tcPr>
            <w:shd w:val="clear" w:color="auto" w:fill="595959"/>
            <w:vAlign w:val="center"/>
            <w:tcW w:type="dxa" w:w="678"/>
          </w:tcPr>
          <w:p>
            <w:pPr>
              <w:pStyle w:val="Compact"/>
              <w:spacing w:before="0" w:after="0"/>
              <w:jc w:val="center"/>
            </w:pPr>
            <w:r>
              <w:rPr>
                <w:rFonts w:ascii="Times New Roman" w:hAnsi="Times New Roman" w:cs="Times New Roman" w:eastAsia="Times New Roman"/>
                <w:b/>
                <w:color w:val="FFFFFF"/>
                <w:sz w:val="16"/>
              </w:rPr>
              <w:t xml:space="preserve">Selphi 2 native (BAQ)</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Selphi 2 bcftools GL</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16"/>
              </w:rPr>
              <w:t xml:space="preserve">Selphi 2 native, no BAQ (ablation)</w:t>
            </w:r>
          </w:p>
        </w:tc>
        <w:tc>
          <w:tcPr>
            <w:shd w:val="clear" w:color="auto" w:fill="595959"/>
            <w:vAlign w:val="center"/>
            <w:tcW w:type="dxa" w:w="783"/>
          </w:tcPr>
          <w:p>
            <w:pPr>
              <w:pStyle w:val="Compact"/>
              <w:spacing w:before="0" w:after="0"/>
              <w:jc w:val="center"/>
            </w:pPr>
            <w:r>
              <w:rPr>
                <w:rFonts w:ascii="Times New Roman" w:hAnsi="Times New Roman" w:cs="Times New Roman" w:eastAsia="Times New Roman"/>
                <w:b/>
                <w:color w:val="FFFFFF"/>
                <w:sz w:val="16"/>
              </w:rPr>
              <w:t xml:space="preserve">Delta native (BAQ) pp</w:t>
            </w:r>
          </w:p>
        </w:tc>
        <w:tc>
          <w:tcPr>
            <w:shd w:val="clear" w:color="auto" w:fill="595959"/>
            <w:vAlign w:val="center"/>
            <w:tcW w:type="dxa" w:w="920"/>
          </w:tcPr>
          <w:p>
            <w:pPr>
              <w:pStyle w:val="Compact"/>
              <w:spacing w:before="0" w:after="0"/>
              <w:jc w:val="center"/>
            </w:pPr>
            <w:r>
              <w:rPr>
                <w:rFonts w:ascii="Times New Roman" w:hAnsi="Times New Roman" w:cs="Times New Roman" w:eastAsia="Times New Roman"/>
                <w:b/>
                <w:color w:val="FFFFFF"/>
                <w:sz w:val="16"/>
              </w:rPr>
              <w:t xml:space="preserve">Delta bcftools pp</w:t>
            </w:r>
          </w:p>
        </w:tc>
        <w:tc>
          <w:tcPr>
            <w:shd w:val="clear" w:color="auto" w:fill="595959"/>
            <w:vAlign w:val="center"/>
            <w:tcW w:type="dxa" w:w="939"/>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97.778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98.398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98.435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98.297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+0.620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+0.657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80,535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98.267</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98.470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98.466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98.395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+0.203</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+0.199</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80,307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97.969</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98.313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98.212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98.339</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+0.344</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+0.243</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79,005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97.945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98.117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98.154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97.966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+0.172</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+0.209</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79,799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98.283</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98.400</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98.429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98.201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+0.117</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+0.146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97.773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97.952</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97.917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97.992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+0.179</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+0.144</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79,005-81,576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98.002</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98.275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98.269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98.198</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+0.273 (6/6)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+0.266 (6/6)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92.465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93.541</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93.598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93.484</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+1.076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+1.133</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110,574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92.380</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93.249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93.182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92.781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+0.869</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+0.802</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110,143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93.425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93.699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93.808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93.699</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+0.274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+0.383</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108,535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93.228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93.078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94.056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92.927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-0.150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+0.828</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109,718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91.758</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92.262</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92.178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92.178</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+0.504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+0.420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109,445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92.180</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91.528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91.383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91.890</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-0.652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-0.797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108,535-112,020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92.573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92.893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93.034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92.826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+0.320 (4/6)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+0.462 (5/6)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82.892</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83.664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83.775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83.444</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+0.772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+0.883</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484,105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79.771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81.257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81.257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80.800</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+1.486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+1.486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482,329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85.327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85.102</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84.876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84.537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-0.225</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-0.451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474,710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81.171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80.683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81.171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81.073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-0.488</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+0.000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479,498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81.567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82.119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81.236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80.905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+0.552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-0.331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479,149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77.422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77.519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77.907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77.132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+0.097</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+0.485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474,710-490,546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81.358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81.724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81.704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81.315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+0.366 (4/6)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+0.345 (3/6)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bl>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S4d. Replication across chromosomes (= main-text Table 1d).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Chromosomes 20, 10 and 1 with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same six samples, the same panel construction (2,398 samples; NA12878 trio removed; alleles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longer than 250 bp and sites monomorphic in the retained samples dropped, the latter required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GLIMPSE2's</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--bam-file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path) and the same scoring (GLIMPSE2's per-sample site list, typed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GSA sites excluded, GIAB v4.2.1 high-confidence regions); chromosome 22 is repeated from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S4b-S4c as the reference row. Paired over n = 6 samples: mean Delta in pp, paired t and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wins. The pooled rows weight each sample's four chromosomes by site count before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pairing (6,573,691-6,703,394 evaluated untyped sites per sample). The pre-BAQ ablation was run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 chromosomes 22, 20 and 10 only. The like-for-like arm leads non-reference concordance in six</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 six samples on every chromosome, and the advantage grows toward rare variants on the larger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chromosomes (MAF &lt; 0.5%: +0.41 pp, 6/6, on chromosome 10; +0.66 pp, 6/6, on chromosome 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Heterozygote precision on chromosome 10 is the one metric whose mean difference is negative in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651"/>
        <w:gridCol w:w="2006"/>
        <w:gridCol w:w="1176"/>
        <w:gridCol w:w="937"/>
        <w:gridCol w:w="840"/>
        <w:gridCol w:w="869"/>
        <w:gridCol w:w="869"/>
        <w:gridCol w:w="1062"/>
        <w:gridCol w:w="869"/>
        <w:gridCol w:w="869"/>
        <w:gridCol w:w="869"/>
        <w:gridCol w:w="943"/>
      </w:tblGrid>
      <w:tr>
        <w:trPr>
          <w:tblHeader w:val="on"/>
        </w:trPr>
        <w:tc>
          <w:tcPr>
            <w:shd w:val="clear" w:color="auto" w:fill="595959"/>
            <w:vAlign w:val="center"/>
            <w:tcW w:type="dxa" w:w="1651"/>
          </w:tcPr>
          <w:p>
            <w:pPr>
              <w:pStyle w:val="Compact"/>
              <w:spacing w:before="0" w:after="0"/>
              <w:jc w:val="center"/>
            </w:pPr>
            <w:r>
              <w:rPr>
                <w:rFonts w:ascii="Times New Roman" w:hAnsi="Times New Roman" w:cs="Times New Roman" w:eastAsia="Times New Roman"/>
                <w:b/>
                <w:color w:val="FFFFFF"/>
                <w:sz w:val="18"/>
              </w:rPr>
              <w:t xml:space="preserve">Chr</w:t>
            </w:r>
          </w:p>
        </w:tc>
        <w:tc>
          <w:tcPr>
            <w:shd w:val="clear" w:color="auto" w:fill="595959"/>
            <w:vAlign w:val="center"/>
            <w:tcW w:type="dxa" w:w="2006"/>
          </w:tcPr>
          <w:p>
            <w:pPr>
              <w:pStyle w:val="Compact"/>
              <w:spacing w:before="0" w:after="0"/>
              <w:jc w:val="center"/>
            </w:pPr>
            <w:r>
              <w:rPr>
                <w:rFonts w:ascii="Times New Roman" w:hAnsi="Times New Roman" w:cs="Times New Roman" w:eastAsia="Times New Roman"/>
                <w:b/>
                <w:color w:val="FFFFFF"/>
                <w:sz w:val="18"/>
              </w:rPr>
              <w:t xml:space="preserve">Sites per sample</w:t>
            </w:r>
          </w:p>
        </w:tc>
        <w:tc>
          <w:tcPr>
            <w:shd w:val="clear" w:color="auto" w:fill="595959"/>
            <w:vAlign w:val="center"/>
            <w:tcW w:type="dxa" w:w="1176"/>
          </w:tcPr>
          <w:p>
            <w:pPr>
              <w:pStyle w:val="Compact"/>
              <w:spacing w:before="0" w:after="0"/>
              <w:jc w:val="center"/>
            </w:pPr>
            <w:r>
              <w:rPr>
                <w:rFonts w:ascii="Times New Roman" w:hAnsi="Times New Roman" w:cs="Times New Roman" w:eastAsia="Times New Roman"/>
                <w:b/>
                <w:color w:val="FFFFFF"/>
                <w:sz w:val="18"/>
              </w:rPr>
              <w:t xml:space="preserve">Arm</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8"/>
              </w:rPr>
              <w:t xml:space="preserve">Non-ref % GLIMPSE2</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Non-ref % Selphi 2</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het recall pp (t; wins)</w:t>
            </w:r>
          </w:p>
        </w:tc>
        <w:tc>
          <w:tcPr>
            <w:shd w:val="clear" w:color="auto" w:fill="595959"/>
            <w:vAlign w:val="center"/>
            <w:tcW w:type="dxa" w:w="1062"/>
          </w:tcPr>
          <w:p>
            <w:pPr>
              <w:pStyle w:val="Compact"/>
              <w:spacing w:before="0" w:after="0"/>
              <w:jc w:val="center"/>
            </w:pPr>
            <w:r>
              <w:rPr>
                <w:rFonts w:ascii="Times New Roman" w:hAnsi="Times New Roman" w:cs="Times New Roman" w:eastAsia="Times New Roman"/>
                <w:b/>
                <w:color w:val="FFFFFF"/>
                <w:sz w:val="18"/>
              </w:rPr>
              <w:t xml:space="preserve">Delta het precision pp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&gt;= 5%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0.5-5%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&lt; 0.5% (t; wins)</w:t>
            </w:r>
          </w:p>
        </w:tc>
        <w:tc>
          <w:tcPr>
            <w:shd w:val="clear" w:color="auto" w:fill="595959"/>
            <w:vAlign w:val="center"/>
            <w:tcW w:type="dxa" w:w="943"/>
          </w:tcPr>
          <w:p>
            <w:pPr>
              <w:pStyle w:val="Compact"/>
              <w:spacing w:before="0" w:after="0"/>
              <w:jc w:val="center"/>
            </w:pPr>
            <w:r>
              <w:rPr>
                <w:rFonts w:ascii="Times New Roman" w:hAnsi="Times New Roman" w:cs="Times New Roman" w:eastAsia="Times New Roman"/>
                <w:b/>
                <w:color w:val="FFFFFF"/>
                <w:sz w:val="18"/>
              </w:rPr>
              <w:t xml:space="preserve">Winner</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97.9284</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+0.1896 (t = 3.15;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+0.2783 (t = 3.34;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+0.1320 (t = 1.91;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+0.1880 (t = 3.29;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+0.1790 (t = 1.19;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+0.2598 (t = 1.50;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97.9358</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+0.1970 (t = 3.16;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+0.2811 (t = 3.20;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+0.1255 (t = 1.13;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+0.1882 (t = 3.24;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+0.2692 (t = 1.69;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+0.2870 (t = 1.63; 4/6)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97.8642</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+0.1254 (t = 1.96;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+0.1884 (t = 2.02; 4/6)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+0.0714 (t = 0.92;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+0.1313 (t = 2.09;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+0.1283 (t = 0.97;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+0.0058 (t = 0.03;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97.9082</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+0.1834 (t = 2.79;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+0.2004 (t = 1.62; 5/6)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+0.1681 (t = 2.72;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+0.1620 (t = 2.64;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+0.2843 (t = 2.00;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+0.4822 (t = 1.70; 4/6)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97.9301</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+0.2053 (t = 2.77;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+0.2422 (t = 1.86;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+0.1318 (t = 2.01;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+0.1688 (t = 2.42;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+0.3905 (t = 2.14;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+0.6613 (t = 3.12;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97.8359</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+0.1111 (t = 1.52;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+0.1490 (t = 1.08; 4/6)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-0.0166 (t = -0.22;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+0.1112 (t = 1.69;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+0.1673 (t = 1.06;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+0.0038 (t = 0.01; 3/6)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98.4198</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+0.2082 (t = 3.90;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+0.3153 (t = 2.51;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-0.4773 (t = -0.87; 3/6)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+0.1955 (t = 3.94;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+0.2388 (t = 2.35;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+0.4125 (t = 3.47;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98.4383</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+0.2267 (t = 4.10;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+0.3403 (t = 2.71;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-0.4712 (t = -0.86;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+0.2160 (t = 4.04;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+0.2263 (t = 2.32;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+0.4587 (t = 4.75; 6/6)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98.3668</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+0.1552 (t = 3.28;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+0.2575 (t = 2.14; 5/6)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-0.6470 (t = -1.17; 1/6)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+0.1617 (t = 3.58;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+0.1257 (t = 2.13;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+0.0828 (t = 0.66;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98.4624</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+0.2608 (t = 3.20;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+0.3750 (t = 2.92;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+0.1309 (t = 2.15;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+0.2272 (t = 2.97;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+0.3730 (t = 2.70;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+0.6553 (t = 4.50; 6/6)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98.4611</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+0.2595 (t = 3.33;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+0.3701 (t = 2.97;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+0.1139 (t = 2.17;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+0.2323 (t = 3.23;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+0.3423 (t = 2.33;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+0.5967 (t = 5.16;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22+20+10+1 pooled (site-weighted)</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6,573,691-6,703,394</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n/a</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+0.2198 (t = 3.49;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+0.3117 (t = 2.61;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22+20+10+1 pooled (site-weighted)</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6,573,691-6,703,394</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n/a</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+0.2311 (t = 3.67;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+0.3273 (t = 2.76;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bl>
    <w:p>
      <w:pPr>
        <w:pStyle w:val="BodyText"/>
        <w:jc w:val="both"/>
      </w:pPr>
      <w:r>
        <w:rPr>
          <w:rFonts w:ascii="Times New Roman" w:hAnsi="Times New Roman" w:cs="Times New Roman" w:eastAsia="Times New Roman"/>
          <w:b/>
          <w:bCs/>
          <w:sz w:val="20"/>
        </w:rPr>
        <w:t xml:space="preserve">S4e. Per-sample downsampled-GIAB accuracy (= main-text Table 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(HG002-HG007), NovaSeq PCR-free 30</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genomes uniformly downsampled to ~1.8</w:t>
      </w:r>
      <m:oMath>
        <m:r>
          <m:rPr>
            <m:sty m:val="p"/>
          </m:rPr>
          <m:t>×</m:t>
        </m:r>
      </m:oMath>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 22, imputed independently against the 4,478-haplotype (2,239-sample) no-trios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1000 Genomes panel. Per-sample dosage R² over the high-confidence variant sites carrying a</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non-reference allele (36,930-40,170 per sample), identical site set and identical 861,018-site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file for both tools.</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205"/>
        <w:gridCol w:w="2205"/>
        <w:gridCol w:w="2742"/>
        <w:gridCol w:w="2208"/>
      </w:tblGrid>
      <w:tr>
        <w:trPr>
          <w:tblHeader w:val="on"/>
        </w:trPr>
        <w:tc>
          <w:tcPr>
            <w:shd w:val="clear" w:color="auto" w:fill="595959"/>
            <w:vAlign w:val="center"/>
            <w:tcW w:type="dxa" w:w="2205"/>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05"/>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42"/>
          </w:tcPr>
          <w:p>
            <w:pPr>
              <w:pStyle w:val="Compact"/>
              <w:spacing w:before="0" w:after="0"/>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0.9457</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0.9389</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0.9522</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0.9447</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0.9489</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0.9440</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0.9465</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0.9416</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0.9546</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0.9496</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0.9526</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0.9504</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0.9501</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0.9449</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sz w:val="20"/>
        </w:rPr>
        <w:t xml:space="preserve">S4f. Three-way coverage sweep (= main-text Table 2b).</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HG002/HG003/HG004</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downsampled to each depth over chr22:20-30 Mb; all three tools imputed the same region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a leak-free 1000 Genomes panel (6,332 haplotypes) and were scored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(reference-homozygous sites as dosage zero) on the per-sample set of sites imputed by all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three. OVERALL is the mean per-sample R²; the ultra-rare row (MAF 0-0.5%) is pooled over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three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380"/>
        <w:gridCol w:w="2865"/>
        <w:gridCol w:w="1110"/>
        <w:gridCol w:w="1380"/>
        <w:gridCol w:w="1110"/>
        <w:gridCol w:w="1515"/>
      </w:tblGrid>
      <w:tr>
        <w:trPr>
          <w:tblHeader w:val="on"/>
        </w:trPr>
        <w:tc>
          <w:tcPr>
            <w:shd w:val="clear" w:color="auto" w:fill="595959"/>
            <w:vAlign w:val="center"/>
            <w:tcW w:type="dxa" w:w="1380"/>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65"/>
          </w:tcPr>
          <w:p>
            <w:pPr>
              <w:pStyle w:val="Compact"/>
              <w:spacing w:before="0" w:after="0"/>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0"/>
          </w:tcPr>
          <w:p>
            <w:pPr>
              <w:pStyle w:val="Compact"/>
              <w:spacing w:before="0" w:after="0"/>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0.5×</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0.9921</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0.9916</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0.9950</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0.9945</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2×</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0.9970</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0.9967</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4×</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0.9978</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0.9975</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0.5×</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0.9014</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b/>
                <w:bCs/>
                <w:sz w:val="20"/>
              </w:rPr>
              <w:t xml:space="preserve">0.9023</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tie</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2×</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0.9510</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0.9495</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4×</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0.9703</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0.9638</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sz w:val="20"/>
        </w:rPr>
        <w:t xml:space="preserve">Earlier lcWGS benchmark rounds (simulated 54-sample chr22 sets, and a 75,552-haplotype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large-panel multi-coverage sweep) were superseded for accuracy by the real-read measurements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above, so their accuracy is not reproduced here and the downsampled-GIAB numbers are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R² reported in the paper; the large-panel run's wall time and peak memory are retained as an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efficiency data point in Table S6.</w:t>
      </w:r>
    </w:p>
    <w:p>
      <w:pPr>
        <w:pStyle w:val="Heading2"/>
        <w:jc w:val="both"/>
      </w:pPr>
      <w:r>
        <w:rPr>
          <w:rFonts w:ascii="Times New Roman" w:hAnsi="Times New Roman" w:cs="Times New Roman" w:eastAsia="Times New Roman"/>
          <w:sz w:val="20"/>
        </w:rPr>
        <w:t xml:space="preserve">Supplementary Figure S1. Replication of the capture-library head-to-head across chromosomes</w:t>
      </w:r>
    </w:p>
    <w:p>
      <w:pPr>
        <w:pStyle w:val="FirstParagraph"/>
        <w:jc w:val="center"/>
      </w:pPr>
      <w:r>
        <w:rPr>
          <w:rFonts w:ascii="Times New Roman" w:hAnsi="Times New Roman" w:cs="Times New Roman" w:eastAsia="Times New Roman"/>
        </w:rPr>
        <w:drawing>
          <wp:inline>
            <wp:extent cx="5334000" cy="1693529"/>
            <wp:effectExtent b="0" l="0" r="0" t="0"/>
            <wp:docPr descr="Supplementary Figure S1" title="" id="64" name="Picture"/>
            <a:graphic>
              <a:graphicData uri="http://schemas.openxmlformats.org/drawingml/2006/picture">
                <pic:pic>
                  <pic:nvPicPr>
                    <pic:cNvPr descr="figures/figureS_replication.png" id="65" name="Picture"/>
                    <pic:cNvPicPr>
                      <a:picLocks noChangeArrowheads="1" noChangeAspect="1"/>
                    </pic:cNvPicPr>
                  </pic:nvPicPr>
                  <pic:blipFill>
                    <a:blip r:embed="rId63"/>
                    <a:stretch>
                      <a:fillRect/>
                    </a:stretch>
                  </pic:blipFill>
                  <pic:spPr bwMode="auto">
                    <a:xfrm>
                      <a:off x="0" y="0"/>
                      <a:ext cx="5334000" cy="169352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Supplementary Figure S1. Replication of the capture-library head-to-head across chromosomes.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Paired difference in non-reference concordance, Selphi 2 native pileup with base alignment quality minus GLIMPSE2, in percentage points, for the six GIAB capture libraries (HG002-HG007) on chromosomes 22 (a), 20 (b), 10 (c) and 1 (d), overall and by panel minor-allele-frequency stratum (≥ 5%, 0.5-5%, &lt; 0.5%). Bars are the mean over the six samples, points the individual samples, and k/6 the number of samples in which Selphi 2 is ahead. Both tools were scored on identical per-sample site lists inside the GIAB v4.2.1 high-confidence regions with typed array sites excluded; the number of evaluated sites per sample is given in each panel. The means and win counts are those of Table 1d: overall and at MAF ≥ 5% Selphi 2 leads in six of six samples on every chromosome (+0.18 to +0.26 pp), and at MAF &lt; 0.5% the margin is inconsistent on chromosome 22 (+0.26 pp, three of six) but grows and becomes unanimous on chromosomes 10 and 1 (+0.41 and +0.66 pp, six of six).</w:t>
      </w:r>
    </w:p>
    <w:p>
      <w:pPr>
        <w:pStyle w:val="Heading2"/>
        <w:jc w:val="both"/>
      </w:pPr>
      <w:r>
        <w:rPr>
          <w:rFonts w:ascii="Times New Roman" w:hAnsi="Times New Roman" w:cs="Times New Roman" w:eastAsia="Times New Roman"/>
          <w:sz w:val="20"/>
        </w:rPr>
        <w:t xml:space="preserve">Table S5. Phasing accuracy - switch-error rate (SER %)</w:t>
      </w:r>
    </w:p>
    <w:p>
      <w:pPr>
        <w:pStyle w:val="FirstParagraph"/>
        <w:jc w:val="both"/>
      </w:pPr>
      <w:r>
        <w:rPr>
          <w:rFonts w:ascii="Times New Roman" w:hAnsi="Times New Roman" w:cs="Times New Roman" w:eastAsia="Times New Roman"/>
          <w:sz w:val="20"/>
        </w:rPr>
        <w:t xml:space="preserve">1KG 54-trio benchmark, no-trios panel (~2,239 samples). Lower is better.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731"/>
        <w:gridCol w:w="1383"/>
        <w:gridCol w:w="1220"/>
        <w:gridCol w:w="1220"/>
        <w:gridCol w:w="1546"/>
        <w:gridCol w:w="1710"/>
        <w:gridCol w:w="1550"/>
      </w:tblGrid>
      <w:tr>
        <w:trPr>
          <w:tblHeader w:val="on"/>
        </w:trPr>
        <w:tc>
          <w:tcPr>
            <w:shd w:val="clear" w:color="auto" w:fill="595959"/>
            <w:vAlign w:val="center"/>
            <w:tcW w:type="dxa" w:w="731"/>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83"/>
          </w:tcPr>
          <w:p>
            <w:pPr>
              <w:pStyle w:val="Compact"/>
              <w:spacing w:before="0" w:after="0"/>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20"/>
          </w:tcPr>
          <w:p>
            <w:pPr>
              <w:pStyle w:val="Compact"/>
              <w:spacing w:before="0" w:after="0"/>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20"/>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46"/>
          </w:tcPr>
          <w:p>
            <w:pPr>
              <w:pStyle w:val="Compact"/>
              <w:spacing w:before="0" w:after="0"/>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710"/>
          </w:tcPr>
          <w:p>
            <w:pPr>
              <w:pStyle w:val="Compact"/>
              <w:spacing w:before="0" w:after="0"/>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50"/>
          </w:tcPr>
          <w:p>
            <w:pPr>
              <w:pStyle w:val="Compact"/>
              <w:spacing w:before="0" w:after="0"/>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31"/>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383"/>
          </w:tcPr>
          <w:p>
            <w:pPr>
              <w:pStyle w:val="Compact"/>
              <w:spacing w:before="0" w:after="0"/>
              <w:jc w:val="center"/>
            </w:pPr>
            <w:r>
              <w:rPr>
                <w:rFonts w:ascii="Times New Roman" w:hAnsi="Times New Roman" w:cs="Times New Roman" w:eastAsia="Times New Roman"/>
                <w:sz w:val="20"/>
              </w:rPr>
              <w:t xml:space="preserve">diploid</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b/>
                <w:bCs/>
                <w:sz w:val="20"/>
              </w:rPr>
              <w:t xml:space="preserve">2.528</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sz w:val="20"/>
              </w:rPr>
              <w:t xml:space="preserve">2.548</w:t>
            </w:r>
          </w:p>
        </w:tc>
        <w:tc>
          <w:tcPr>
            <w:shd w:val="clear" w:color="auto" w:fill="FFFFFF"/>
            <w:vAlign w:val="center"/>
            <w:tcW w:type="dxa" w:w="1546"/>
          </w:tcPr>
          <w:p>
            <w:pPr>
              <w:pStyle w:val="Compact"/>
              <w:spacing w:before="0" w:after="0"/>
              <w:jc w:val="center"/>
            </w:pPr>
            <w:r>
              <w:rPr>
                <w:rFonts w:ascii="Times New Roman" w:hAnsi="Times New Roman" w:cs="Times New Roman" w:eastAsia="Times New Roman"/>
                <w:sz w:val="20"/>
              </w:rPr>
              <w:t xml:space="preserve">2.607</w:t>
            </w:r>
          </w:p>
        </w:tc>
        <w:tc>
          <w:tcPr>
            <w:shd w:val="clear" w:color="auto" w:fill="FFFFFF"/>
            <w:vAlign w:val="center"/>
            <w:tcW w:type="dxa" w:w="1710"/>
          </w:tcPr>
          <w:p>
            <w:pPr>
              <w:pStyle w:val="Compact"/>
              <w:spacing w:before="0" w:after="0"/>
              <w:jc w:val="center"/>
            </w:pPr>
            <w:r>
              <w:rPr>
                <w:rFonts w:ascii="Times New Roman" w:hAnsi="Times New Roman" w:cs="Times New Roman" w:eastAsia="Times New Roman"/>
                <w:sz w:val="20"/>
              </w:rPr>
              <w:t xml:space="preserve">Selphi</w:t>
            </w:r>
          </w:p>
        </w:tc>
        <w:tc>
          <w:tcPr>
            <w:shd w:val="clear" w:color="auto" w:fill="FFFFFF"/>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31"/>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383"/>
          </w:tcPr>
          <w:p>
            <w:pPr>
              <w:pStyle w:val="Compact"/>
              <w:spacing w:before="0" w:after="0"/>
              <w:jc w:val="center"/>
            </w:pPr>
            <w:r>
              <w:rPr>
                <w:rFonts w:ascii="Times New Roman" w:hAnsi="Times New Roman" w:cs="Times New Roman" w:eastAsia="Times New Roman"/>
                <w:sz w:val="20"/>
              </w:rPr>
              <w:t xml:space="preserve">haploid</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sz w:val="20"/>
              </w:rPr>
              <w:t xml:space="preserve">2.569</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b/>
                <w:bCs/>
                <w:sz w:val="20"/>
              </w:rPr>
              <w:t xml:space="preserve">2.548</w:t>
            </w:r>
          </w:p>
        </w:tc>
        <w:tc>
          <w:tcPr>
            <w:shd w:val="clear" w:color="auto" w:fill="E7E6E6"/>
            <w:vAlign w:val="center"/>
            <w:tcW w:type="dxa" w:w="1546"/>
          </w:tcPr>
          <w:p>
            <w:pPr>
              <w:pStyle w:val="Compact"/>
              <w:spacing w:before="0" w:after="0"/>
              <w:jc w:val="center"/>
            </w:pPr>
            <w:r>
              <w:rPr>
                <w:rFonts w:ascii="Times New Roman" w:hAnsi="Times New Roman" w:cs="Times New Roman" w:eastAsia="Times New Roman"/>
                <w:sz w:val="20"/>
              </w:rPr>
              <w:t xml:space="preserve">2.607</w:t>
            </w:r>
          </w:p>
        </w:tc>
        <w:tc>
          <w:tcPr>
            <w:shd w:val="clear" w:color="auto" w:fill="E7E6E6"/>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E7E6E6"/>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31"/>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383"/>
          </w:tcPr>
          <w:p>
            <w:pPr>
              <w:pStyle w:val="Compact"/>
              <w:spacing w:before="0" w:after="0"/>
              <w:jc w:val="center"/>
            </w:pPr>
            <w:r>
              <w:rPr>
                <w:rFonts w:ascii="Times New Roman" w:hAnsi="Times New Roman" w:cs="Times New Roman" w:eastAsia="Times New Roman"/>
                <w:sz w:val="20"/>
              </w:rPr>
              <w:t xml:space="preserve">diploid</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FFFFFF"/>
            <w:vAlign w:val="center"/>
            <w:tcW w:type="dxa" w:w="1546"/>
          </w:tcPr>
          <w:p>
            <w:pPr>
              <w:pStyle w:val="Compact"/>
              <w:spacing w:before="0" w:after="0"/>
              <w:jc w:val="center"/>
            </w:pPr>
            <w:r>
              <w:rPr>
                <w:rFonts w:ascii="Times New Roman" w:hAnsi="Times New Roman" w:cs="Times New Roman" w:eastAsia="Times New Roman"/>
                <w:sz w:val="20"/>
              </w:rPr>
              <w:t xml:space="preserve">1.929</w:t>
            </w:r>
          </w:p>
        </w:tc>
        <w:tc>
          <w:tcPr>
            <w:shd w:val="clear" w:color="auto" w:fill="FFFFFF"/>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FFFFFF"/>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31"/>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383"/>
          </w:tcPr>
          <w:p>
            <w:pPr>
              <w:pStyle w:val="Compact"/>
              <w:spacing w:before="0" w:after="0"/>
              <w:jc w:val="center"/>
            </w:pPr>
            <w:r>
              <w:rPr>
                <w:rFonts w:ascii="Times New Roman" w:hAnsi="Times New Roman" w:cs="Times New Roman" w:eastAsia="Times New Roman"/>
                <w:sz w:val="20"/>
              </w:rPr>
              <w:t xml:space="preserve">haploid</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sz w:val="20"/>
              </w:rPr>
              <w:t xml:space="preserve">1.876</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E7E6E6"/>
            <w:vAlign w:val="center"/>
            <w:tcW w:type="dxa" w:w="1546"/>
          </w:tcPr>
          <w:p>
            <w:pPr>
              <w:pStyle w:val="Compact"/>
              <w:spacing w:before="0" w:after="0"/>
              <w:jc w:val="center"/>
            </w:pPr>
            <w:r>
              <w:rPr>
                <w:rFonts w:ascii="Times New Roman" w:hAnsi="Times New Roman" w:cs="Times New Roman" w:eastAsia="Times New Roman"/>
                <w:sz w:val="20"/>
              </w:rPr>
              <w:t xml:space="preserve">1.929</w:t>
            </w:r>
          </w:p>
        </w:tc>
        <w:tc>
          <w:tcPr>
            <w:shd w:val="clear" w:color="auto" w:fill="E7E6E6"/>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E7E6E6"/>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S6. Speed &amp; memory</w:t>
      </w:r>
    </w:p>
    <w:p>
      <w:pPr>
        <w:pStyle w:val="FirstParagraph"/>
        <w:jc w:val="both"/>
      </w:pPr>
      <w:r>
        <w:rPr>
          <w:rFonts w:ascii="Times New Roman" w:hAnsi="Times New Roman" w:cs="Times New Roman" w:eastAsia="Times New Roman"/>
          <w:sz w:val="20"/>
        </w:rPr>
        <w:t xml:space="preserve">16 threads unless noted. Array rows: Selphi 2 (shipped binary) and Beagle 5.5 timed one job at a time, with the panel in the page cache; ranges are over repeated runs.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038"/>
        <w:gridCol w:w="1423"/>
        <w:gridCol w:w="1323"/>
        <w:gridCol w:w="1941"/>
        <w:gridCol w:w="1635"/>
      </w:tblGrid>
      <w:tr>
        <w:trPr>
          <w:tblHeader w:val="on"/>
        </w:trPr>
        <w:tc>
          <w:tcPr>
            <w:shd w:val="clear" w:color="auto" w:fill="595959"/>
            <w:vAlign w:val="center"/>
            <w:tcW w:type="dxa" w:w="3038"/>
          </w:tcPr>
          <w:p>
            <w:pPr>
              <w:pStyle w:val="Compact"/>
              <w:spacing w:before="0" w:after="0"/>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423"/>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2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941"/>
          </w:tcPr>
          <w:p>
            <w:pPr>
              <w:pStyle w:val="Compact"/>
              <w:spacing w:before="0" w:after="0"/>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63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6.6-7.2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11.4-12.3 s (15.4 s cold)</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3.2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7.4-9.5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38.2-41.3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43.7-45.4 s (95.2 s cold)</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6.5-6.9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21-44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 (phased / unphased)</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55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112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62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 (phased / unphased)</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9.5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13.9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16.2-21.7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12.5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 (phased / unphased)</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296 s / 602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207 s / 321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chr1 1KG 801s, chip to WGS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 (phased / unphased)</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21.6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23.4-25.5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16.9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TOPMed MESA 5K chr20 (171K-hap, 17.9M var), full pipeline</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9,047 s (2.5 h)</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6,728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TOPMed MESA 5K chr20</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82.0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91.0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105-109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278 s (chunk + phase + ligate); QUILT2: 1,701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101 s</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334 s (chunk + phase + ligate)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4.9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2.1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170 s (28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386 s (64 s/sample)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13.4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8.2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307 s (26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451 s (38 s/sample)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12 samples in one run</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14.8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17.2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75 s (13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386 s (its default 20 iterations)</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117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332 s (chunk + phase + ligate)</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sz w:val="20"/>
              </w:rPr>
              <w:t xml:space="preserve">4.2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1.8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bl>
    <w:p>
      <w:pPr>
        <w:pStyle w:val="BlockText"/>
        <w:jc w:val="both"/>
      </w:pPr>
      <w:r>
        <w:rPr>
          <w:rFonts w:ascii="Times New Roman" w:hAnsi="Times New Roman" w:cs="Times New Roman" w:eastAsia="Times New Roman"/>
          <w:sz w:val="20"/>
        </w:rPr>
        <w:t xml:space="preserve">lcWGS timings: quiet 16-core host, one job at a time, both tools of a row timed in the same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session with the shipped binary,</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/usr/bin/time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wall from BAM in to imputed VCF out;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GLIMPSE2 =</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chunk</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ligate</w:t>
      </w:r>
      <w:r>
        <w:rPr>
          <w:rFonts w:ascii="Times New Roman" w:hAnsi="Times New Roman" w:cs="Times New Roman" w:eastAsia="Times New Roman"/>
          <w:sz w:val="20"/>
        </w:rPr>
        <w:t xml:space="preserve">. Single-sample ratio 3.3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(334 s / 101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two repeats each within 0.7 s); six samples in one run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(386 s / 170 s); twelve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(451 s / 307 s). Above seven samples on 16 threads the chunk-level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parallelism now sizes its waves from the measured memory of the first chunk instead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running chunks sequentially; before that change the 12-sample run took 534 s, and 375 s before the conditioning-pack sharing.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20-iteration row uses GLIMPSE2's default iteration count (5 burn-in + 15 main) instead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2's default schedule (50/25): in the same six-sample run the non-reference Delta versus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GLIMPSE2 is +0.198 pp at 20 iterations versus +0.193 pp at 50/25. GLIMPSE2's six-sample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accuracy equals its single-sample accuracy (+0.0025 pp non-reference, n = 6). Earlier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capture-library timings taken under CPU contention are not reported. The 2.8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downsampled, 4,478-haplotype panel) and 2.6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m:oMath>
        <m:r>
          <m:rPr>
            <m:sty m:val="p"/>
          </m:rPr>
          <m:t>×</m:t>
        </m:r>
      </m:oMath>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6,332-haplotype panel) ratios of the downsampled rows keep their own conditions. The 4.9 GB</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single-sample peak versus 4.2 GB in the downsampled row reflects the 1,070,399-site panel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with indels versus the SNP-only 4,478-haplotype panel.</w:t>
      </w:r>
    </w:p>
    <w:p>
      <w:pPr>
        <w:pStyle w:val="Heading2"/>
        <w:jc w:val="both"/>
      </w:pPr>
      <w:r>
        <w:rPr>
          <w:rFonts w:ascii="Times New Roman" w:hAnsi="Times New Roman" w:cs="Times New Roman" w:eastAsia="Times New Roman"/>
          <w:sz w:val="20"/>
        </w:rPr>
        <w:t xml:space="preserve">Table S7. Phasing × imputer matrix (overall R²) - 1KG, chip to WGS</w:t>
      </w:r>
    </w:p>
    <w:p>
      <w:pPr>
        <w:pStyle w:val="FirstParagraph"/>
        <w:jc w:val="both"/>
      </w:pPr>
      <w:r>
        <w:rPr>
          <w:rFonts w:ascii="Times New Roman" w:hAnsi="Times New Roman" w:cs="Times New Roman" w:eastAsia="Times New Roman"/>
          <w:sz w:val="20"/>
        </w:rPr>
        <w:t xml:space="preserve">A genuinely unphased 1KG array target (801 held-out samples) phased by each of three tools,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then imputed by each of two imputers against the 1000 Genomes Phase 3 panel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received a bref3 file built from the same SRP); overall R² against WGS truth on imputed-only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polymorphic in the panel (1,016,325 on chr22, 5,482,279 on chr1; the Beagle-imputed arms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score 2 and 21 fewer sites, which Beagle does not emit). Within a fixed imputer the three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phasings differ by at most 0.003; switching the imputer from Beagle to Selphi raises R² by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0.013-0.014 whatever the phaser, so the phasers are close to interchangeable for array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imputation and the accuracy gain comes from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35"/>
        <w:gridCol w:w="1706"/>
        <w:gridCol w:w="1706"/>
        <w:gridCol w:w="1706"/>
        <w:gridCol w:w="1707"/>
      </w:tblGrid>
      <w:tr>
        <w:trPr>
          <w:tblHeader w:val="on"/>
        </w:trPr>
        <w:tc>
          <w:tcPr>
            <w:shd w:val="clear" w:color="auto" w:fill="595959"/>
            <w:vAlign w:val="center"/>
            <w:tcW w:type="dxa" w:w="2535"/>
          </w:tcPr>
          <w:p>
            <w:pPr>
              <w:pStyle w:val="Compact"/>
              <w:spacing w:before="0" w:after="0"/>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07"/>
          </w:tcPr>
          <w:p>
            <w:pPr>
              <w:pStyle w:val="Compact"/>
              <w:spacing w:before="0" w:after="0"/>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35"/>
          </w:tcPr>
          <w:p>
            <w:pPr>
              <w:pStyle w:val="Compact"/>
              <w:spacing w:before="0" w:after="0"/>
              <w:jc w:val="center"/>
            </w:pPr>
            <w:r>
              <w:rPr>
                <w:rFonts w:ascii="Times New Roman" w:hAnsi="Times New Roman" w:cs="Times New Roman" w:eastAsia="Times New Roman"/>
                <w:sz w:val="20"/>
              </w:rPr>
              <w:t xml:space="preserve">Selphi 2</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0.4690</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0.4823</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0.5589</w:t>
            </w:r>
          </w:p>
        </w:tc>
        <w:tc>
          <w:tcPr>
            <w:shd w:val="clear" w:color="auto" w:fill="FFFFFF"/>
            <w:vAlign w:val="center"/>
            <w:tcW w:type="dxa" w:w="1707"/>
          </w:tcPr>
          <w:p>
            <w:pPr>
              <w:pStyle w:val="Compact"/>
              <w:spacing w:before="0" w:after="0"/>
              <w:jc w:val="center"/>
            </w:pPr>
            <w:r>
              <w:rPr>
                <w:rFonts w:ascii="Times New Roman" w:hAnsi="Times New Roman" w:cs="Times New Roman" w:eastAsia="Times New Roman"/>
                <w:b/>
                <w:bCs/>
                <w:sz w:val="20"/>
              </w:rPr>
              <w:t xml:space="preserve">0.5720</w:t>
            </w:r>
          </w:p>
        </w:tc>
      </w:tr>
      <w:tr>
        <w:tc>
          <w:tcPr>
            <w:shd w:val="clear" w:color="auto" w:fill="E7E6E6"/>
            <w:vAlign w:val="center"/>
            <w:tcW w:type="dxa" w:w="2535"/>
          </w:tcPr>
          <w:p>
            <w:pPr>
              <w:pStyle w:val="Compact"/>
              <w:spacing w:before="0" w:after="0"/>
              <w:jc w:val="center"/>
            </w:pPr>
            <w:r>
              <w:rPr>
                <w:rFonts w:ascii="Times New Roman" w:hAnsi="Times New Roman" w:cs="Times New Roman" w:eastAsia="Times New Roman"/>
                <w:sz w:val="20"/>
              </w:rPr>
              <w:t xml:space="preserve">Beagle 5.5</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0.4666</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0.4796</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0.5560</w:t>
            </w:r>
          </w:p>
        </w:tc>
        <w:tc>
          <w:tcPr>
            <w:shd w:val="clear" w:color="auto" w:fill="E7E6E6"/>
            <w:vAlign w:val="center"/>
            <w:tcW w:type="dxa" w:w="1707"/>
          </w:tcPr>
          <w:p>
            <w:pPr>
              <w:pStyle w:val="Compact"/>
              <w:spacing w:before="0" w:after="0"/>
              <w:jc w:val="center"/>
            </w:pPr>
            <w:r>
              <w:rPr>
                <w:rFonts w:ascii="Times New Roman" w:hAnsi="Times New Roman" w:cs="Times New Roman" w:eastAsia="Times New Roman"/>
                <w:sz w:val="20"/>
              </w:rPr>
              <w:t xml:space="preserve">0.5690</w:t>
            </w:r>
          </w:p>
        </w:tc>
      </w:tr>
      <w:tr>
        <w:tc>
          <w:tcPr>
            <w:shd w:val="clear" w:color="auto" w:fill="FFFFFF"/>
            <w:vAlign w:val="center"/>
            <w:tcW w:type="dxa" w:w="2535"/>
          </w:tcPr>
          <w:p>
            <w:pPr>
              <w:pStyle w:val="Compact"/>
              <w:spacing w:before="0" w:after="0"/>
              <w:jc w:val="center"/>
            </w:pPr>
            <w:r>
              <w:rPr>
                <w:rFonts w:ascii="Times New Roman" w:hAnsi="Times New Roman" w:cs="Times New Roman" w:eastAsia="Times New Roman"/>
                <w:sz w:val="20"/>
              </w:rPr>
              <w:t xml:space="preserve">SHAPEIT5</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0.4665</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0.4807</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0.5566</w:t>
            </w:r>
          </w:p>
        </w:tc>
        <w:tc>
          <w:tcPr>
            <w:shd w:val="clear" w:color="auto" w:fill="FFFFFF"/>
            <w:vAlign w:val="center"/>
            <w:tcW w:type="dxa" w:w="1707"/>
          </w:tcPr>
          <w:p>
            <w:pPr>
              <w:pStyle w:val="Compact"/>
              <w:spacing w:before="0" w:after="0"/>
              <w:jc w:val="center"/>
            </w:pPr>
            <w:r>
              <w:rPr>
                <w:rFonts w:ascii="Times New Roman" w:hAnsi="Times New Roman" w:cs="Times New Roman" w:eastAsia="Times New Roman"/>
                <w:sz w:val="20"/>
              </w:rPr>
              <w:t xml:space="preserve">0.5701</w:t>
            </w:r>
          </w:p>
        </w:tc>
      </w:tr>
    </w:tbl>
    <w:p>
      <w:pPr>
        <w:pStyle w:val="Heading2"/>
        <w:jc w:val="both"/>
      </w:pPr>
      <w:r>
        <w:rPr>
          <w:rFonts w:ascii="Times New Roman" w:hAnsi="Times New Roman" w:cs="Times New Roman" w:eastAsia="Times New Roman"/>
          <w:sz w:val="20"/>
        </w:rPr>
        <w:t xml:space="preserve">Table S8. Reference-panel re-phasing (chr22)</w:t>
      </w:r>
    </w:p>
    <w:p>
      <w:pPr>
        <w:pStyle w:val="FirstParagraph"/>
        <w:jc w:val="both"/>
      </w:pPr>
      <w:r>
        <w:rPr>
          <w:rFonts w:ascii="Times New Roman" w:hAnsi="Times New Roman" w:cs="Times New Roman" w:eastAsia="Times New Roman"/>
          <w:sz w:val="20"/>
        </w:rPr>
        <w:t xml:space="preserve">The 1000 Genomes Phase 3 panel re-phased de novo with Selphi 2 (</w:t>
      </w:r>
      <w:r>
        <w:rPr>
          <w:rFonts w:ascii="Times New Roman" w:hAnsi="Times New Roman" w:cs="Times New Roman" w:eastAsia="Times New Roman"/>
          <w:rStyle w:val="VerbatimChar"/>
          <w:sz w:val="20"/>
        </w:rPr>
        <w:t xml:space="preserve">--phase-panel</w:t>
      </w:r>
      <w:r>
        <w:rPr>
          <w:rFonts w:ascii="Times New Roman" w:hAnsi="Times New Roman" w:cs="Times New Roman" w:eastAsia="Times New Roman"/>
          <w:sz w:val="20"/>
        </w:rPr>
        <w:t xml:space="preserve">, 2,401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1,070,399 sites after removing two records whose alleles exceed the 255-byte limit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panel formats) versus its original published phasing. The same phased target (801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is imputed against each panel by each tool and scored on the identical 1,016,321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panel-polymorphic sites (re-phasing does not change allele counts). Re-phasing raises overall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R² by 0.0019 for Selphi 2 and 0.0034 for Beagle 5.5, and no MAF bin falls for either tool. We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nonetheless use the published phasing throughout this work, because it is the phasing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comparator tools are conventionally run against; these figures bound what that choice costs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0.002 to 0.003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389"/>
        <w:gridCol w:w="1162"/>
        <w:gridCol w:w="1957"/>
        <w:gridCol w:w="1048"/>
        <w:gridCol w:w="1503"/>
        <w:gridCol w:w="2301"/>
      </w:tblGrid>
      <w:tr>
        <w:trPr>
          <w:tblHeader w:val="on"/>
        </w:trPr>
        <w:tc>
          <w:tcPr>
            <w:shd w:val="clear" w:color="auto" w:fill="595959"/>
            <w:vAlign w:val="center"/>
            <w:tcW w:type="dxa" w:w="1389"/>
          </w:tcPr>
          <w:p>
            <w:pPr>
              <w:pStyle w:val="Compact"/>
              <w:spacing w:before="0" w:after="0"/>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62"/>
          </w:tcPr>
          <w:p>
            <w:pPr>
              <w:pStyle w:val="Compact"/>
              <w:spacing w:before="0" w:after="0"/>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57"/>
          </w:tcPr>
          <w:p>
            <w:pPr>
              <w:pStyle w:val="Compact"/>
              <w:spacing w:before="0" w:after="0"/>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48"/>
          </w:tcPr>
          <w:p>
            <w:pPr>
              <w:pStyle w:val="Compact"/>
              <w:spacing w:before="0" w:after="0"/>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03"/>
          </w:tcPr>
          <w:p>
            <w:pPr>
              <w:pStyle w:val="Compact"/>
              <w:spacing w:before="0" w:after="0"/>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301"/>
          </w:tcPr>
          <w:p>
            <w:pPr>
              <w:pStyle w:val="Compact"/>
              <w:spacing w:before="0" w:after="0"/>
              <w:jc w:val="center"/>
            </w:pPr>
            <w:r>
              <w:rPr>
                <w:rFonts w:ascii="Times New Roman" w:hAnsi="Times New Roman" w:cs="Times New Roman" w:eastAsia="Times New Roman"/>
                <w:b/>
                <w:color w:val="FFFFFF"/>
                <w:sz w:val="20"/>
              </w:rPr>
              <w:t xml:space="preserve">smallest bin Δ</w:t>
            </w:r>
          </w:p>
        </w:tc>
      </w:tr>
      <w:tr>
        <w:tc>
          <w:tcPr>
            <w:shd w:val="clear" w:color="auto" w:fill="FFFFFF"/>
            <w:vAlign w:val="center"/>
            <w:tcW w:type="dxa" w:w="1389"/>
          </w:tcPr>
          <w:p>
            <w:pPr>
              <w:pStyle w:val="Compact"/>
              <w:spacing w:before="0" w:after="0"/>
              <w:jc w:val="center"/>
            </w:pPr>
            <w:r>
              <w:rPr>
                <w:rFonts w:ascii="Times New Roman" w:hAnsi="Times New Roman" w:cs="Times New Roman" w:eastAsia="Times New Roman"/>
                <w:sz w:val="20"/>
              </w:rPr>
              <w:t xml:space="preserve">Beagle 5.5</w:t>
            </w:r>
          </w:p>
        </w:tc>
        <w:tc>
          <w:tcPr>
            <w:shd w:val="clear" w:color="auto" w:fill="FFFFFF"/>
            <w:vAlign w:val="center"/>
            <w:tcW w:type="dxa" w:w="1162"/>
          </w:tcPr>
          <w:p>
            <w:pPr>
              <w:pStyle w:val="Compact"/>
              <w:spacing w:before="0" w:after="0"/>
              <w:jc w:val="center"/>
            </w:pPr>
            <w:r>
              <w:rPr>
                <w:rFonts w:ascii="Times New Roman" w:hAnsi="Times New Roman" w:cs="Times New Roman" w:eastAsia="Times New Roman"/>
                <w:sz w:val="20"/>
              </w:rPr>
              <w:t xml:space="preserve">0.4633</w:t>
            </w:r>
          </w:p>
        </w:tc>
        <w:tc>
          <w:tcPr>
            <w:shd w:val="clear" w:color="auto" w:fill="FFFFFF"/>
            <w:vAlign w:val="center"/>
            <w:tcW w:type="dxa" w:w="1957"/>
          </w:tcPr>
          <w:p>
            <w:pPr>
              <w:pStyle w:val="Compact"/>
              <w:spacing w:before="0" w:after="0"/>
              <w:jc w:val="center"/>
            </w:pPr>
            <w:r>
              <w:rPr>
                <w:rFonts w:ascii="Times New Roman" w:hAnsi="Times New Roman" w:cs="Times New Roman" w:eastAsia="Times New Roman"/>
                <w:sz w:val="20"/>
              </w:rPr>
              <w:t xml:space="preserve">0.4667</w:t>
            </w:r>
          </w:p>
        </w:tc>
        <w:tc>
          <w:tcPr>
            <w:shd w:val="clear" w:color="auto" w:fill="FFFFFF"/>
            <w:vAlign w:val="center"/>
            <w:tcW w:type="dxa" w:w="1048"/>
          </w:tcPr>
          <w:p>
            <w:pPr>
              <w:pStyle w:val="Compact"/>
              <w:spacing w:before="0" w:after="0"/>
              <w:jc w:val="center"/>
            </w:pPr>
            <w:r>
              <w:rPr>
                <w:rFonts w:ascii="Times New Roman" w:hAnsi="Times New Roman" w:cs="Times New Roman" w:eastAsia="Times New Roman"/>
                <w:sz w:val="20"/>
              </w:rPr>
              <w:t xml:space="preserve">+0.0034</w:t>
            </w:r>
          </w:p>
        </w:tc>
        <w:tc>
          <w:tcPr>
            <w:shd w:val="clear" w:color="auto" w:fill="FFFFFF"/>
            <w:vAlign w:val="center"/>
            <w:tcW w:type="dxa" w:w="1503"/>
          </w:tcPr>
          <w:p>
            <w:pPr>
              <w:pStyle w:val="Compact"/>
              <w:spacing w:before="0" w:after="0"/>
              <w:jc w:val="center"/>
            </w:pPr>
            <w:r>
              <w:rPr>
                <w:rFonts w:ascii="Times New Roman" w:hAnsi="Times New Roman" w:cs="Times New Roman" w:eastAsia="Times New Roman"/>
                <w:sz w:val="20"/>
              </w:rPr>
              <w:t xml:space="preserve">+0.0040</w:t>
            </w:r>
          </w:p>
        </w:tc>
        <w:tc>
          <w:tcPr>
            <w:shd w:val="clear" w:color="auto" w:fill="FFFFFF"/>
            <w:vAlign w:val="center"/>
            <w:tcW w:type="dxa" w:w="2301"/>
          </w:tcPr>
          <w:p>
            <w:pPr>
              <w:pStyle w:val="Compact"/>
              <w:spacing w:before="0" w:after="0"/>
              <w:jc w:val="center"/>
            </w:pPr>
            <w:r>
              <w:rPr>
                <w:rFonts w:ascii="Times New Roman" w:hAnsi="Times New Roman" w:cs="Times New Roman" w:eastAsia="Times New Roman"/>
                <w:sz w:val="20"/>
              </w:rPr>
              <w:t xml:space="preserve">+0.0013 (5-10%)</w:t>
            </w:r>
          </w:p>
        </w:tc>
      </w:tr>
      <w:tr>
        <w:tc>
          <w:tcPr>
            <w:shd w:val="clear" w:color="auto" w:fill="E7E6E6"/>
            <w:vAlign w:val="center"/>
            <w:tcW w:type="dxa" w:w="1389"/>
          </w:tcPr>
          <w:p>
            <w:pPr>
              <w:pStyle w:val="Compact"/>
              <w:spacing w:before="0" w:after="0"/>
              <w:jc w:val="center"/>
            </w:pPr>
            <w:r>
              <w:rPr>
                <w:rFonts w:ascii="Times New Roman" w:hAnsi="Times New Roman" w:cs="Times New Roman" w:eastAsia="Times New Roman"/>
                <w:sz w:val="20"/>
              </w:rPr>
              <w:t xml:space="preserve">Selphi 2</w:t>
            </w:r>
          </w:p>
        </w:tc>
        <w:tc>
          <w:tcPr>
            <w:shd w:val="clear" w:color="auto" w:fill="E7E6E6"/>
            <w:vAlign w:val="center"/>
            <w:tcW w:type="dxa" w:w="1162"/>
          </w:tcPr>
          <w:p>
            <w:pPr>
              <w:pStyle w:val="Compact"/>
              <w:spacing w:before="0" w:after="0"/>
              <w:jc w:val="center"/>
            </w:pPr>
            <w:r>
              <w:rPr>
                <w:rFonts w:ascii="Times New Roman" w:hAnsi="Times New Roman" w:cs="Times New Roman" w:eastAsia="Times New Roman"/>
                <w:sz w:val="20"/>
              </w:rPr>
              <w:t xml:space="preserve">0.4761</w:t>
            </w:r>
          </w:p>
        </w:tc>
        <w:tc>
          <w:tcPr>
            <w:shd w:val="clear" w:color="auto" w:fill="E7E6E6"/>
            <w:vAlign w:val="center"/>
            <w:tcW w:type="dxa" w:w="1957"/>
          </w:tcPr>
          <w:p>
            <w:pPr>
              <w:pStyle w:val="Compact"/>
              <w:spacing w:before="0" w:after="0"/>
              <w:jc w:val="center"/>
            </w:pPr>
            <w:r>
              <w:rPr>
                <w:rFonts w:ascii="Times New Roman" w:hAnsi="Times New Roman" w:cs="Times New Roman" w:eastAsia="Times New Roman"/>
                <w:b/>
                <w:bCs/>
                <w:sz w:val="20"/>
              </w:rPr>
              <w:t xml:space="preserve">0.4780</w:t>
            </w:r>
          </w:p>
        </w:tc>
        <w:tc>
          <w:tcPr>
            <w:shd w:val="clear" w:color="auto" w:fill="E7E6E6"/>
            <w:vAlign w:val="center"/>
            <w:tcW w:type="dxa" w:w="1048"/>
          </w:tcPr>
          <w:p>
            <w:pPr>
              <w:pStyle w:val="Compact"/>
              <w:spacing w:before="0" w:after="0"/>
              <w:jc w:val="center"/>
            </w:pPr>
            <w:r>
              <w:rPr>
                <w:rFonts w:ascii="Times New Roman" w:hAnsi="Times New Roman" w:cs="Times New Roman" w:eastAsia="Times New Roman"/>
                <w:sz w:val="20"/>
              </w:rPr>
              <w:t xml:space="preserve">+0.0019</w:t>
            </w:r>
          </w:p>
        </w:tc>
        <w:tc>
          <w:tcPr>
            <w:shd w:val="clear" w:color="auto" w:fill="E7E6E6"/>
            <w:vAlign w:val="center"/>
            <w:tcW w:type="dxa" w:w="1503"/>
          </w:tcPr>
          <w:p>
            <w:pPr>
              <w:pStyle w:val="Compact"/>
              <w:spacing w:before="0" w:after="0"/>
              <w:jc w:val="center"/>
            </w:pPr>
            <w:r>
              <w:rPr>
                <w:rFonts w:ascii="Times New Roman" w:hAnsi="Times New Roman" w:cs="Times New Roman" w:eastAsia="Times New Roman"/>
                <w:sz w:val="20"/>
              </w:rPr>
              <w:t xml:space="preserve">+0.0030</w:t>
            </w:r>
          </w:p>
        </w:tc>
        <w:tc>
          <w:tcPr>
            <w:shd w:val="clear" w:color="auto" w:fill="E7E6E6"/>
            <w:vAlign w:val="center"/>
            <w:tcW w:type="dxa" w:w="2301"/>
          </w:tcPr>
          <w:p>
            <w:pPr>
              <w:pStyle w:val="Compact"/>
              <w:spacing w:before="0" w:after="0"/>
              <w:jc w:val="center"/>
            </w:pPr>
            <w:r>
              <w:rPr>
                <w:rFonts w:ascii="Times New Roman" w:hAnsi="Times New Roman" w:cs="Times New Roman" w:eastAsia="Times New Roman"/>
                <w:sz w:val="20"/>
              </w:rPr>
              <w:t xml:space="preserve">+0.0005 (0.1-0.2%)</w:t>
            </w:r>
          </w:p>
        </w:tc>
      </w:tr>
    </w:tbl>
    <w:p>
      <w:pPr>
        <w:pStyle w:val="Heading2"/>
        <w:jc w:val="both"/>
      </w:pPr>
      <w:r>
        <w:rPr>
          <w:rFonts w:ascii="Times New Roman" w:hAnsi="Times New Roman" w:cs="Times New Roman" w:eastAsia="Times New Roman"/>
          <w:sz w:val="20"/>
        </w:rPr>
        <w:t xml:space="preserve">Table S9. Genome-wide per-MAF R² underlying Figure 3a (1KG, four-way, imputation-only)</w:t>
      </w:r>
    </w:p>
    <w:p>
      <w:pPr>
        <w:pStyle w:val="FirstParagraph"/>
        <w:jc w:val="both"/>
      </w:pPr>
      <w:r>
        <w:rPr>
          <w:rFonts w:ascii="Times New Roman" w:hAnsi="Times New Roman" w:cs="Times New Roman" w:eastAsia="Times New Roman"/>
          <w:sz w:val="20"/>
        </w:rPr>
        <w:t xml:space="preserve">Source data for Figure 3a: n-weighted imputation R² by MAF bin, aggregated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across 20 autosomes (chromosomes 8 and 11 excluded because Beagle aborted on a duplicate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marker, so all tools span the identical chromosome set). 801 held-out 1000 Genomes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imputed against the 1000 Genomes Phase 3 panel (2,401 samples / 4,802 haplotypes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 chromosome), scored against WGS truth by one evaluator on the same sites, the untyped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polymorphic in the panel (60,289,940 for Selphi 2 and 60,289,950 for the other tools;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omits 10 sites). This is a like-for-like</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imputation-only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comparison: every tool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receives the identical phased target haplotypes (the same input file) and the same reference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because the target is fully phased and contains no missing genotypes,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likewise imputes without re-estimating phase. Bold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marks the per-row maximum. Selphi 2's full phase-and-impute pipeline is compared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with Beagle 5.5's in the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229"/>
        <w:gridCol w:w="1633"/>
        <w:gridCol w:w="1633"/>
        <w:gridCol w:w="2030"/>
        <w:gridCol w:w="1835"/>
      </w:tblGrid>
      <w:tr>
        <w:trPr>
          <w:tblHeader w:val="on"/>
        </w:trPr>
        <w:tc>
          <w:tcPr>
            <w:shd w:val="clear" w:color="auto" w:fill="595959"/>
            <w:vAlign w:val="center"/>
            <w:tcW w:type="dxa" w:w="2229"/>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3"/>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2030"/>
          </w:tcPr>
          <w:p>
            <w:pPr>
              <w:pStyle w:val="Compact"/>
              <w:spacing w:before="0" w:after="0"/>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835"/>
          </w:tcPr>
          <w:p>
            <w:pPr>
              <w:pStyle w:val="Compact"/>
              <w:spacing w:before="0" w:after="0"/>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0.3479</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0.3434</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b/>
                <w:bCs/>
                <w:sz w:val="20"/>
              </w:rPr>
              <w:t xml:space="preserve">0.3491</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0.3440</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0.4206</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0.4088</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0.4111</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0.4052</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0.5238</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0.5076</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0.5042</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0.5002</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0.6259</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0.6080</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0.6012</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0.5990</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0.6920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0.6742</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0.6663</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0.6654</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0.7627</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0.7460</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0.7367</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0.7381</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0.8532</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0.8414</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0.8323</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0.8355</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0.8968</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0.8885</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0.8803</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0.8840</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0.9259</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0.9196</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0.9112</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0.9160</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0.5788</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0.5673</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0.5648</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0.5626</w:t>
            </w:r>
          </w:p>
        </w:tc>
      </w:tr>
    </w:tbl>
    <w:p>
      <w:pPr>
        <w:pStyle w:val="Heading2"/>
        <w:jc w:val="both"/>
      </w:pPr>
      <w:r>
        <w:rPr>
          <w:rFonts w:ascii="Times New Roman" w:hAnsi="Times New Roman" w:cs="Times New Roman" w:eastAsia="Times New Roman"/>
          <w:sz w:val="20"/>
        </w:rPr>
        <w:t xml:space="preserve">Table S10. Component ablation (1KG chromosome 22, 801 held-out samples)</w:t>
      </w:r>
    </w:p>
    <w:p>
      <w:pPr>
        <w:pStyle w:val="FirstParagraph"/>
        <w:jc w:val="both"/>
      </w:pPr>
      <w:r>
        <w:rPr>
          <w:rFonts w:ascii="Times New Roman" w:hAnsi="Times New Roman" w:cs="Times New Roman" w:eastAsia="Times New Roman"/>
          <w:sz w:val="20"/>
        </w:rPr>
        <w:t xml:space="preserve">Each component is varied from the Selphi 2 default with phasing and everything else held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fixed (impute-only against the phased target, so the effect is isolated from phasing), scored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 the 1,016,325 panel-polymorphic sites. The "Default" row equals the chromosome-22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impute-only result of Table S1. The long-range PBWT scan realised as an 80 cM window is worth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+0.020 overall R² over a short IMPUTE5-like 8 cM window; because chromosome 22 is shorter than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80 cM, the 80 cM and whole-chromosome rows coincide by construction. The panel-adaptive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effective population size is worth +0.009 over a fixed Ne = 20,000. The candidate-set-size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component is ablated separately in Tables 4 and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049"/>
        <w:gridCol w:w="1077"/>
        <w:gridCol w:w="1311"/>
        <w:gridCol w:w="960"/>
        <w:gridCol w:w="963"/>
      </w:tblGrid>
      <w:tr>
        <w:trPr>
          <w:tblHeader w:val="on"/>
        </w:trPr>
        <w:tc>
          <w:tcPr>
            <w:shd w:val="clear" w:color="auto" w:fill="595959"/>
            <w:vAlign w:val="center"/>
            <w:tcW w:type="dxa" w:w="5049"/>
          </w:tcPr>
          <w:p>
            <w:pPr>
              <w:pStyle w:val="Compact"/>
              <w:spacing w:before="0" w:after="0"/>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1077"/>
          </w:tcPr>
          <w:p>
            <w:pPr>
              <w:pStyle w:val="Compact"/>
              <w:spacing w:before="0" w:after="0"/>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311"/>
          </w:tcPr>
          <w:p>
            <w:pPr>
              <w:pStyle w:val="Compact"/>
              <w:spacing w:before="0" w:after="0"/>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960"/>
          </w:tcPr>
          <w:p>
            <w:pPr>
              <w:pStyle w:val="Compact"/>
              <w:spacing w:before="0" w:after="0"/>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963"/>
          </w:tcPr>
          <w:p>
            <w:pPr>
              <w:pStyle w:val="Compact"/>
              <w:spacing w:before="0" w:after="0"/>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049"/>
          </w:tcPr>
          <w:p>
            <w:pPr>
              <w:pStyle w:val="Compact"/>
              <w:spacing w:before="0" w:after="0"/>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1077"/>
          </w:tcPr>
          <w:p>
            <w:pPr>
              <w:pStyle w:val="Compact"/>
              <w:spacing w:before="0" w:after="0"/>
              <w:jc w:val="center"/>
            </w:pPr>
            <w:r>
              <w:rPr>
                <w:rFonts w:ascii="Times New Roman" w:hAnsi="Times New Roman" w:cs="Times New Roman" w:eastAsia="Times New Roman"/>
                <w:b/>
                <w:bCs/>
                <w:sz w:val="20"/>
              </w:rPr>
              <w:t xml:space="preserve">0.4761</w:t>
            </w:r>
          </w:p>
        </w:tc>
        <w:tc>
          <w:tcPr>
            <w:shd w:val="clear" w:color="auto" w:fill="FFFFFF"/>
            <w:vAlign w:val="center"/>
            <w:tcW w:type="dxa" w:w="1311"/>
          </w:tcPr>
          <w:p>
            <w:pPr>
              <w:pStyle w:val="Compact"/>
              <w:spacing w:before="0" w:after="0"/>
              <w:jc w:val="center"/>
            </w:pPr>
            <w:r>
              <w:rPr>
                <w:rFonts w:ascii="Times New Roman" w:hAnsi="Times New Roman" w:cs="Times New Roman" w:eastAsia="Times New Roman"/>
                <w:sz w:val="20"/>
              </w:rPr>
              <w:t xml:space="preserve">0.2626</w:t>
            </w:r>
          </w:p>
        </w:tc>
        <w:tc>
          <w:tcPr>
            <w:shd w:val="clear" w:color="auto" w:fill="FFFFFF"/>
            <w:vAlign w:val="center"/>
            <w:tcW w:type="dxa" w:w="960"/>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FFFFFF"/>
            <w:vAlign w:val="center"/>
            <w:tcW w:type="dxa" w:w="963"/>
          </w:tcPr>
          <w:p>
            <w:pPr>
              <w:pStyle w:val="Compact"/>
              <w:spacing w:before="0" w:after="0"/>
              <w:jc w:val="center"/>
            </w:pPr>
            <w:r>
              <w:rPr>
                <w:rFonts w:ascii="Times New Roman" w:hAnsi="Times New Roman" w:cs="Times New Roman" w:eastAsia="Times New Roman"/>
                <w:b/>
                <w:bCs/>
                <w:sz w:val="20"/>
              </w:rPr>
              <w:t xml:space="preserve">0.8424</w:t>
            </w:r>
          </w:p>
        </w:tc>
      </w:tr>
      <w:tr>
        <w:tc>
          <w:tcPr>
            <w:shd w:val="clear" w:color="auto" w:fill="E7E6E6"/>
            <w:vAlign w:val="center"/>
            <w:tcW w:type="dxa" w:w="5049"/>
          </w:tcPr>
          <w:p>
            <w:pPr>
              <w:pStyle w:val="Compact"/>
              <w:spacing w:before="0" w:after="0"/>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1077"/>
          </w:tcPr>
          <w:p>
            <w:pPr>
              <w:pStyle w:val="Compact"/>
              <w:spacing w:before="0" w:after="0"/>
              <w:jc w:val="center"/>
            </w:pPr>
            <w:r>
              <w:rPr>
                <w:rFonts w:ascii="Times New Roman" w:hAnsi="Times New Roman" w:cs="Times New Roman" w:eastAsia="Times New Roman"/>
                <w:sz w:val="20"/>
              </w:rPr>
              <w:t xml:space="preserve">0.4559</w:t>
            </w:r>
          </w:p>
        </w:tc>
        <w:tc>
          <w:tcPr>
            <w:shd w:val="clear" w:color="auto" w:fill="E7E6E6"/>
            <w:vAlign w:val="center"/>
            <w:tcW w:type="dxa" w:w="1311"/>
          </w:tcPr>
          <w:p>
            <w:pPr>
              <w:pStyle w:val="Compact"/>
              <w:spacing w:before="0" w:after="0"/>
              <w:jc w:val="center"/>
            </w:pPr>
            <w:r>
              <w:rPr>
                <w:rFonts w:ascii="Times New Roman" w:hAnsi="Times New Roman" w:cs="Times New Roman" w:eastAsia="Times New Roman"/>
                <w:sz w:val="20"/>
              </w:rPr>
              <w:t xml:space="preserve">0.2498</w:t>
            </w:r>
          </w:p>
        </w:tc>
        <w:tc>
          <w:tcPr>
            <w:shd w:val="clear" w:color="auto" w:fill="E7E6E6"/>
            <w:vAlign w:val="center"/>
            <w:tcW w:type="dxa" w:w="960"/>
          </w:tcPr>
          <w:p>
            <w:pPr>
              <w:pStyle w:val="Compact"/>
              <w:spacing w:before="0" w:after="0"/>
              <w:jc w:val="center"/>
            </w:pPr>
            <w:r>
              <w:rPr>
                <w:rFonts w:ascii="Times New Roman" w:hAnsi="Times New Roman" w:cs="Times New Roman" w:eastAsia="Times New Roman"/>
                <w:sz w:val="20"/>
              </w:rPr>
              <w:t xml:space="preserve">0.4779</w:t>
            </w:r>
          </w:p>
        </w:tc>
        <w:tc>
          <w:tcPr>
            <w:shd w:val="clear" w:color="auto" w:fill="E7E6E6"/>
            <w:vAlign w:val="center"/>
            <w:tcW w:type="dxa" w:w="963"/>
          </w:tcPr>
          <w:p>
            <w:pPr>
              <w:pStyle w:val="Compact"/>
              <w:spacing w:before="0" w:after="0"/>
              <w:jc w:val="center"/>
            </w:pPr>
            <w:r>
              <w:rPr>
                <w:rFonts w:ascii="Times New Roman" w:hAnsi="Times New Roman" w:cs="Times New Roman" w:eastAsia="Times New Roman"/>
                <w:sz w:val="20"/>
              </w:rPr>
              <w:t xml:space="preserve">0.8263</w:t>
            </w:r>
          </w:p>
        </w:tc>
      </w:tr>
      <w:tr>
        <w:tc>
          <w:tcPr>
            <w:shd w:val="clear" w:color="auto" w:fill="FFFFFF"/>
            <w:vAlign w:val="center"/>
            <w:tcW w:type="dxa" w:w="5049"/>
          </w:tcPr>
          <w:p>
            <w:pPr>
              <w:pStyle w:val="Compact"/>
              <w:spacing w:before="0" w:after="0"/>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1077"/>
          </w:tcPr>
          <w:p>
            <w:pPr>
              <w:pStyle w:val="Compact"/>
              <w:spacing w:before="0" w:after="0"/>
              <w:jc w:val="center"/>
            </w:pPr>
            <w:r>
              <w:rPr>
                <w:rFonts w:ascii="Times New Roman" w:hAnsi="Times New Roman" w:cs="Times New Roman" w:eastAsia="Times New Roman"/>
                <w:sz w:val="20"/>
              </w:rPr>
              <w:t xml:space="preserve">0.4761</w:t>
            </w:r>
          </w:p>
        </w:tc>
        <w:tc>
          <w:tcPr>
            <w:shd w:val="clear" w:color="auto" w:fill="FFFFFF"/>
            <w:vAlign w:val="center"/>
            <w:tcW w:type="dxa" w:w="1311"/>
          </w:tcPr>
          <w:p>
            <w:pPr>
              <w:pStyle w:val="Compact"/>
              <w:spacing w:before="0" w:after="0"/>
              <w:jc w:val="center"/>
            </w:pPr>
            <w:r>
              <w:rPr>
                <w:rFonts w:ascii="Times New Roman" w:hAnsi="Times New Roman" w:cs="Times New Roman" w:eastAsia="Times New Roman"/>
                <w:sz w:val="20"/>
              </w:rPr>
              <w:t xml:space="preserve">0.2626</w:t>
            </w:r>
          </w:p>
        </w:tc>
        <w:tc>
          <w:tcPr>
            <w:shd w:val="clear" w:color="auto" w:fill="FFFFFF"/>
            <w:vAlign w:val="center"/>
            <w:tcW w:type="dxa" w:w="960"/>
          </w:tcPr>
          <w:p>
            <w:pPr>
              <w:pStyle w:val="Compact"/>
              <w:spacing w:before="0" w:after="0"/>
              <w:jc w:val="center"/>
            </w:pPr>
            <w:r>
              <w:rPr>
                <w:rFonts w:ascii="Times New Roman" w:hAnsi="Times New Roman" w:cs="Times New Roman" w:eastAsia="Times New Roman"/>
                <w:sz w:val="20"/>
              </w:rPr>
              <w:t xml:space="preserve">0.5043</w:t>
            </w:r>
          </w:p>
        </w:tc>
        <w:tc>
          <w:tcPr>
            <w:shd w:val="clear" w:color="auto" w:fill="FFFFFF"/>
            <w:vAlign w:val="center"/>
            <w:tcW w:type="dxa" w:w="963"/>
          </w:tcPr>
          <w:p>
            <w:pPr>
              <w:pStyle w:val="Compact"/>
              <w:spacing w:before="0" w:after="0"/>
              <w:jc w:val="center"/>
            </w:pPr>
            <w:r>
              <w:rPr>
                <w:rFonts w:ascii="Times New Roman" w:hAnsi="Times New Roman" w:cs="Times New Roman" w:eastAsia="Times New Roman"/>
                <w:sz w:val="20"/>
              </w:rPr>
              <w:t xml:space="preserve">0.8424</w:t>
            </w:r>
          </w:p>
        </w:tc>
      </w:tr>
      <w:tr>
        <w:tc>
          <w:tcPr>
            <w:shd w:val="clear" w:color="auto" w:fill="E7E6E6"/>
            <w:vAlign w:val="center"/>
            <w:tcW w:type="dxa" w:w="5049"/>
          </w:tcPr>
          <w:p>
            <w:pPr>
              <w:pStyle w:val="Compact"/>
              <w:spacing w:before="0" w:after="0"/>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1077"/>
          </w:tcPr>
          <w:p>
            <w:pPr>
              <w:pStyle w:val="Compact"/>
              <w:spacing w:before="0" w:after="0"/>
              <w:jc w:val="center"/>
            </w:pPr>
            <w:r>
              <w:rPr>
                <w:rFonts w:ascii="Times New Roman" w:hAnsi="Times New Roman" w:cs="Times New Roman" w:eastAsia="Times New Roman"/>
                <w:sz w:val="20"/>
              </w:rPr>
              <w:t xml:space="preserve">0.4672</w:t>
            </w:r>
          </w:p>
        </w:tc>
        <w:tc>
          <w:tcPr>
            <w:shd w:val="clear" w:color="auto" w:fill="E7E6E6"/>
            <w:vAlign w:val="center"/>
            <w:tcW w:type="dxa" w:w="1311"/>
          </w:tcPr>
          <w:p>
            <w:pPr>
              <w:pStyle w:val="Compact"/>
              <w:spacing w:before="0" w:after="0"/>
              <w:jc w:val="center"/>
            </w:pPr>
            <w:r>
              <w:rPr>
                <w:rFonts w:ascii="Times New Roman" w:hAnsi="Times New Roman" w:cs="Times New Roman" w:eastAsia="Times New Roman"/>
                <w:b/>
                <w:bCs/>
                <w:sz w:val="20"/>
              </w:rPr>
              <w:t xml:space="preserve">0.2633</w:t>
            </w:r>
          </w:p>
        </w:tc>
        <w:tc>
          <w:tcPr>
            <w:shd w:val="clear" w:color="auto" w:fill="E7E6E6"/>
            <w:vAlign w:val="center"/>
            <w:tcW w:type="dxa" w:w="960"/>
          </w:tcPr>
          <w:p>
            <w:pPr>
              <w:pStyle w:val="Compact"/>
              <w:spacing w:before="0" w:after="0"/>
              <w:jc w:val="center"/>
            </w:pPr>
            <w:r>
              <w:rPr>
                <w:rFonts w:ascii="Times New Roman" w:hAnsi="Times New Roman" w:cs="Times New Roman" w:eastAsia="Times New Roman"/>
                <w:sz w:val="20"/>
              </w:rPr>
              <w:t xml:space="preserve">0.4897</w:t>
            </w:r>
          </w:p>
        </w:tc>
        <w:tc>
          <w:tcPr>
            <w:shd w:val="clear" w:color="auto" w:fill="E7E6E6"/>
            <w:vAlign w:val="center"/>
            <w:tcW w:type="dxa" w:w="963"/>
          </w:tcPr>
          <w:p>
            <w:pPr>
              <w:pStyle w:val="Compact"/>
              <w:spacing w:before="0" w:after="0"/>
              <w:jc w:val="center"/>
            </w:pPr>
            <w:r>
              <w:rPr>
                <w:rFonts w:ascii="Times New Roman" w:hAnsi="Times New Roman" w:cs="Times New Roman" w:eastAsia="Times New Roman"/>
                <w:sz w:val="20"/>
              </w:rPr>
              <w:t xml:space="preserve">0.8320</w:t>
            </w:r>
          </w:p>
        </w:tc>
      </w:tr>
    </w:tbl>
    <w:p>
      <w:pPr>
        <w:pStyle w:val="Heading2"/>
        <w:jc w:val="both"/>
      </w:pPr>
      <w:r>
        <w:rPr>
          <w:rFonts w:ascii="Times New Roman" w:hAnsi="Times New Roman" w:cs="Times New Roman" w:eastAsia="Times New Roman"/>
          <w:sz w:val="20"/>
        </w:rPr>
        <w:t xml:space="preserve">Table S11. Biobank-scale MESA × TOPMed, per-MAF, five imputers</w:t>
      </w:r>
    </w:p>
    <w:p>
      <w:pPr>
        <w:pStyle w:val="FirstParagraph"/>
        <w:jc w:val="both"/>
      </w:pPr>
      <w:r>
        <w:rPr>
          <w:rFonts w:ascii="Times New Roman" w:hAnsi="Times New Roman" w:cs="Times New Roman" w:eastAsia="Times New Roman"/>
          <w:sz w:val="20"/>
        </w:rPr>
        <w:t xml:space="preserve">MESA cohort (5,000 samples, chr20) imputed against the TOPMed Freeze 8 panel (171,054</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haplotypes), all tools scored by one evaluator on the same 11,085,368 panel-polymorphic sites.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uses its panel-adaptive candidate set (mc = 132,676) and its own phasing;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its full pipeline at defaults; IMPUTE5 (L = 4 conditioning states), Minimac4 (block-based state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reduction) and Selphi 1.5.3 at their defaults, impute-only from an external phasing of the same target. Selphi 2 leads every tool in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628"/>
        <w:gridCol w:w="1254"/>
        <w:gridCol w:w="1254"/>
        <w:gridCol w:w="1254"/>
        <w:gridCol w:w="1407"/>
        <w:gridCol w:w="1563"/>
      </w:tblGrid>
      <w:tr>
        <w:trPr>
          <w:tblHeader w:val="on"/>
        </w:trPr>
        <w:tc>
          <w:tcPr>
            <w:shd w:val="clear" w:color="auto" w:fill="595959"/>
            <w:vAlign w:val="center"/>
            <w:tcW w:type="dxa" w:w="2628"/>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407"/>
          </w:tcPr>
          <w:p>
            <w:pPr>
              <w:pStyle w:val="Compact"/>
              <w:spacing w:before="0" w:after="0"/>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1563"/>
          </w:tcPr>
          <w:p>
            <w:pPr>
              <w:pStyle w:val="Compact"/>
              <w:spacing w:before="0" w:after="0"/>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0.5300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0.4956</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0.3338</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0.3565</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0.3495</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0.5748</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0.5404</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0.4027</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0.4080</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0.3967</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0.6205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0.5867</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0.4753</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0.4688</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0.4530</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0.6599</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0.6305</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0.5446</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0.5342</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0.5150</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0.6749</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0.6475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0.5799</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0.5694</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0.5494</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0.6648</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0.6403</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0.5853</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0.5753</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0.5567</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0.6822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0.6589</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0.6187</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0.6084</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0.5909</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0.7361</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0.7107</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0.6856</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0.6720</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0.6538</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0.6657</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0.6503</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0.6394</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0.6249</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0.6084</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0.6209</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0.5916</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0.4957</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0.4947</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0.4802</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0.9016</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0.8842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0.8320</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0.8158</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0.8066</w:t>
            </w:r>
          </w:p>
        </w:tc>
      </w:tr>
    </w:tbl>
    <w:p>
      <w:pPr>
        <w:pStyle w:val="Heading2"/>
        <w:jc w:val="both"/>
      </w:pPr>
      <w:r>
        <w:rPr>
          <w:rFonts w:ascii="Times New Roman" w:hAnsi="Times New Roman" w:cs="Times New Roman" w:eastAsia="Times New Roman"/>
          <w:sz w:val="20"/>
        </w:rPr>
        <w:t xml:space="preserve">Table S11b. MESA per-sample R² by self-reported ancestry (source data for Figure 3b)</w:t>
      </w:r>
    </w:p>
    <w:p>
      <w:pPr>
        <w:pStyle w:val="FirstParagraph"/>
        <w:jc w:val="both"/>
      </w:pPr>
      <w:r>
        <w:rPr>
          <w:rFonts w:ascii="Times New Roman" w:hAnsi="Times New Roman" w:cs="Times New Roman" w:eastAsia="Times New Roman"/>
          <w:sz w:val="20"/>
        </w:rPr>
        <w:t xml:space="preserve">Per-sample mean R² over the labelled MESA samples imputed against the TOPMed panel (chr20, full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phase-and-impute pipeline, Selphi 2 at its panel-adaptive mc = 132,676; Beagle 5.5 at its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defaults; both scored on the same panel-polymorphic sites). 3,948 of the 5,000 samples carry an ancestry label. Bold marks the higher value.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544"/>
        <w:gridCol w:w="1542"/>
        <w:gridCol w:w="1542"/>
        <w:gridCol w:w="1732"/>
      </w:tblGrid>
      <w:tr>
        <w:trPr>
          <w:tblHeader w:val="on"/>
        </w:trPr>
        <w:tc>
          <w:tcPr>
            <w:shd w:val="clear" w:color="auto" w:fill="595959"/>
            <w:vAlign w:val="center"/>
            <w:tcW w:type="dxa" w:w="4544"/>
          </w:tcPr>
          <w:p>
            <w:pPr>
              <w:pStyle w:val="Compact"/>
              <w:spacing w:before="0" w:after="0"/>
              <w:jc w:val="center"/>
            </w:pPr>
            <w:r>
              <w:rPr>
                <w:rFonts w:ascii="Times New Roman" w:hAnsi="Times New Roman" w:cs="Times New Roman" w:eastAsia="Times New Roman"/>
                <w:b/>
                <w:color w:val="FFFFFF"/>
                <w:sz w:val="20"/>
              </w:rPr>
              <w:t xml:space="preserve">Group (n)</w:t>
            </w:r>
          </w:p>
        </w:tc>
        <w:tc>
          <w:tcPr>
            <w:shd w:val="clear" w:color="auto" w:fill="595959"/>
            <w:vAlign w:val="center"/>
            <w:tcW w:type="dxa" w:w="1542"/>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42"/>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32"/>
          </w:tcPr>
          <w:p>
            <w:pPr>
              <w:pStyle w:val="Compact"/>
              <w:spacing w:before="0" w:after="0"/>
              <w:jc w:val="center"/>
            </w:pPr>
            <w:r>
              <w:rPr>
                <w:rFonts w:ascii="Times New Roman" w:hAnsi="Times New Roman" w:cs="Times New Roman" w:eastAsia="Times New Roman"/>
                <w:b/>
                <w:color w:val="FFFFFF"/>
                <w:sz w:val="20"/>
              </w:rPr>
              <w:t xml:space="preserve">Δ</w:t>
            </w:r>
          </w:p>
        </w:tc>
      </w:tr>
      <w:tr>
        <w:tc>
          <w:tcPr>
            <w:shd w:val="clear" w:color="auto" w:fill="FFFFFF"/>
            <w:vAlign w:val="center"/>
            <w:tcW w:type="dxa" w:w="4544"/>
          </w:tcPr>
          <w:p>
            <w:pPr>
              <w:pStyle w:val="Compact"/>
              <w:spacing w:before="0" w:after="0"/>
              <w:jc w:val="left"/>
            </w:pPr>
            <w:r>
              <w:rPr>
                <w:rFonts w:ascii="Times New Roman" w:hAnsi="Times New Roman" w:cs="Times New Roman" w:eastAsia="Times New Roman"/>
                <w:sz w:val="20"/>
              </w:rPr>
              <w:t xml:space="preserve">African-American (924)</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b/>
                <w:bCs/>
                <w:sz w:val="20"/>
              </w:rPr>
              <w:t xml:space="preserve">0.8972</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sz w:val="20"/>
              </w:rPr>
              <w:t xml:space="preserve">0.8823</w:t>
            </w:r>
          </w:p>
        </w:tc>
        <w:tc>
          <w:tcPr>
            <w:shd w:val="clear" w:color="auto" w:fill="FFFFFF"/>
            <w:vAlign w:val="center"/>
            <w:tcW w:type="dxa" w:w="1732"/>
          </w:tcPr>
          <w:p>
            <w:pPr>
              <w:pStyle w:val="Compact"/>
              <w:spacing w:before="0" w:after="0"/>
              <w:jc w:val="center"/>
            </w:pPr>
            <w:r>
              <w:rPr>
                <w:rFonts w:ascii="Times New Roman" w:hAnsi="Times New Roman" w:cs="Times New Roman" w:eastAsia="Times New Roman"/>
                <w:sz w:val="20"/>
              </w:rPr>
              <w:t xml:space="preserve">+0.0149</w:t>
            </w:r>
          </w:p>
        </w:tc>
      </w:tr>
      <w:tr>
        <w:tc>
          <w:tcPr>
            <w:shd w:val="clear" w:color="auto" w:fill="E7E6E6"/>
            <w:vAlign w:val="center"/>
            <w:tcW w:type="dxa" w:w="4544"/>
          </w:tcPr>
          <w:p>
            <w:pPr>
              <w:pStyle w:val="Compact"/>
              <w:spacing w:before="0" w:after="0"/>
              <w:jc w:val="left"/>
            </w:pPr>
            <w:r>
              <w:rPr>
                <w:rFonts w:ascii="Times New Roman" w:hAnsi="Times New Roman" w:cs="Times New Roman" w:eastAsia="Times New Roman"/>
                <w:sz w:val="20"/>
              </w:rPr>
              <w:t xml:space="preserve">Hispanic (859)</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b/>
                <w:bCs/>
                <w:sz w:val="20"/>
              </w:rPr>
              <w:t xml:space="preserve">0.9016</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sz w:val="20"/>
              </w:rPr>
              <w:t xml:space="preserve">0.8853</w:t>
            </w:r>
          </w:p>
        </w:tc>
        <w:tc>
          <w:tcPr>
            <w:shd w:val="clear" w:color="auto" w:fill="E7E6E6"/>
            <w:vAlign w:val="center"/>
            <w:tcW w:type="dxa" w:w="1732"/>
          </w:tcPr>
          <w:p>
            <w:pPr>
              <w:pStyle w:val="Compact"/>
              <w:spacing w:before="0" w:after="0"/>
              <w:jc w:val="center"/>
            </w:pPr>
            <w:r>
              <w:rPr>
                <w:rFonts w:ascii="Times New Roman" w:hAnsi="Times New Roman" w:cs="Times New Roman" w:eastAsia="Times New Roman"/>
                <w:sz w:val="20"/>
              </w:rPr>
              <w:t xml:space="preserve">+0.0163</w:t>
            </w:r>
          </w:p>
        </w:tc>
      </w:tr>
      <w:tr>
        <w:tc>
          <w:tcPr>
            <w:shd w:val="clear" w:color="auto" w:fill="FFFFFF"/>
            <w:vAlign w:val="center"/>
            <w:tcW w:type="dxa" w:w="4544"/>
          </w:tcPr>
          <w:p>
            <w:pPr>
              <w:pStyle w:val="Compact"/>
              <w:spacing w:before="0" w:after="0"/>
              <w:jc w:val="left"/>
            </w:pPr>
            <w:r>
              <w:rPr>
                <w:rFonts w:ascii="Times New Roman" w:hAnsi="Times New Roman" w:cs="Times New Roman" w:eastAsia="Times New Roman"/>
                <w:sz w:val="20"/>
              </w:rPr>
              <w:t xml:space="preserve">White (1,631)</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b/>
                <w:bCs/>
                <w:sz w:val="20"/>
              </w:rPr>
              <w:t xml:space="preserve">0.9064</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sz w:val="20"/>
              </w:rPr>
              <w:t xml:space="preserve">0.8908</w:t>
            </w:r>
          </w:p>
        </w:tc>
        <w:tc>
          <w:tcPr>
            <w:shd w:val="clear" w:color="auto" w:fill="FFFFFF"/>
            <w:vAlign w:val="center"/>
            <w:tcW w:type="dxa" w:w="1732"/>
          </w:tcPr>
          <w:p>
            <w:pPr>
              <w:pStyle w:val="Compact"/>
              <w:spacing w:before="0" w:after="0"/>
              <w:jc w:val="center"/>
            </w:pPr>
            <w:r>
              <w:rPr>
                <w:rFonts w:ascii="Times New Roman" w:hAnsi="Times New Roman" w:cs="Times New Roman" w:eastAsia="Times New Roman"/>
                <w:sz w:val="20"/>
              </w:rPr>
              <w:t xml:space="preserve">+0.0155</w:t>
            </w:r>
          </w:p>
        </w:tc>
      </w:tr>
      <w:tr>
        <w:tc>
          <w:tcPr>
            <w:shd w:val="clear" w:color="auto" w:fill="E7E6E6"/>
            <w:vAlign w:val="center"/>
            <w:tcW w:type="dxa" w:w="4544"/>
          </w:tcPr>
          <w:p>
            <w:pPr>
              <w:pStyle w:val="Compact"/>
              <w:spacing w:before="0" w:after="0"/>
              <w:jc w:val="left"/>
            </w:pPr>
            <w:r>
              <w:rPr>
                <w:rFonts w:ascii="Times New Roman" w:hAnsi="Times New Roman" w:cs="Times New Roman" w:eastAsia="Times New Roman"/>
                <w:sz w:val="20"/>
              </w:rPr>
              <w:t xml:space="preserve">Chinese-American (534)</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b/>
                <w:bCs/>
                <w:sz w:val="20"/>
              </w:rPr>
              <w:t xml:space="preserve">0.8982</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sz w:val="20"/>
              </w:rPr>
              <w:t xml:space="preserve">0.8657</w:t>
            </w:r>
          </w:p>
        </w:tc>
        <w:tc>
          <w:tcPr>
            <w:shd w:val="clear" w:color="auto" w:fill="E7E6E6"/>
            <w:vAlign w:val="center"/>
            <w:tcW w:type="dxa" w:w="1732"/>
          </w:tcPr>
          <w:p>
            <w:pPr>
              <w:pStyle w:val="Compact"/>
              <w:spacing w:before="0" w:after="0"/>
              <w:jc w:val="center"/>
            </w:pPr>
            <w:r>
              <w:rPr>
                <w:rFonts w:ascii="Times New Roman" w:hAnsi="Times New Roman" w:cs="Times New Roman" w:eastAsia="Times New Roman"/>
                <w:sz w:val="20"/>
              </w:rPr>
              <w:t xml:space="preserve">+0.0324</w:t>
            </w:r>
          </w:p>
        </w:tc>
      </w:tr>
    </w:tbl>
    <w:p>
      <w:pPr>
        <w:pStyle w:val="Heading2"/>
        <w:jc w:val="both"/>
      </w:pPr>
      <w:r>
        <w:rPr>
          <w:rFonts w:ascii="Times New Roman" w:hAnsi="Times New Roman" w:cs="Times New Roman" w:eastAsia="Times New Roman"/>
          <w:sz w:val="20"/>
        </w:rPr>
        <w:t xml:space="preserve">Table S12. Per-MAF imputation R² versus effective population size (1KG Phase 3 chr22)</w:t>
      </w:r>
    </w:p>
    <w:p>
      <w:pPr>
        <w:pStyle w:val="FirstParagraph"/>
        <w:jc w:val="both"/>
      </w:pPr>
      <w:r>
        <w:rPr>
          <w:rFonts w:ascii="Times New Roman" w:hAnsi="Times New Roman" w:cs="Times New Roman" w:eastAsia="Times New Roman"/>
          <w:sz w:val="20"/>
        </w:rPr>
        <w:t xml:space="preserve">801 held-out samples, impute-only against the 4,802-haplotype panel, at a fixed base effective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population size (</w:t>
      </w:r>
      <w:r>
        <w:rPr>
          <w:rFonts w:ascii="Times New Roman" w:hAnsi="Times New Roman" w:cs="Times New Roman" w:eastAsia="Times New Roman"/>
          <w:rStyle w:val="VerbatimChar"/>
          <w:sz w:val="20"/>
        </w:rPr>
        <w:t xml:space="preserve">--est-ne</w:t>
      </w:r>
      <w:r>
        <w:rPr>
          <w:rFonts w:ascii="Times New Roman" w:hAnsi="Times New Roman" w:cs="Times New Roman" w:eastAsia="Times New Roman"/>
          <w:sz w:val="20"/>
        </w:rPr>
        <w:t xml:space="preserve">), scored on the 1,016,325 panel-polymorphic sites.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panel-adaptive formula selects Ne = 36.4 × n_ref ≈ 175,000 for this panel (the "auto" row,</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identical to the Ne = 175,000 row). Overall R² is highest at the formula's value; rare variants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favour a lower Ne (≈50,000) and common variants a higher one (≈350,000), so the formula's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choice balances the rare-common tradeoff. Bold marks each column's 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346"/>
        <w:gridCol w:w="1432"/>
        <w:gridCol w:w="1049"/>
        <w:gridCol w:w="1049"/>
        <w:gridCol w:w="1304"/>
        <w:gridCol w:w="1180"/>
      </w:tblGrid>
      <w:tr>
        <w:trPr>
          <w:tblHeader w:val="on"/>
        </w:trPr>
        <w:tc>
          <w:tcPr>
            <w:shd w:val="clear" w:color="auto" w:fill="595959"/>
            <w:vAlign w:val="center"/>
            <w:tcW w:type="dxa" w:w="3346"/>
          </w:tcPr>
          <w:p>
            <w:pPr>
              <w:pStyle w:val="Compact"/>
              <w:spacing w:before="0" w:after="0"/>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432"/>
          </w:tcPr>
          <w:p>
            <w:pPr>
              <w:pStyle w:val="Compact"/>
              <w:spacing w:before="0" w:after="0"/>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304"/>
          </w:tcPr>
          <w:p>
            <w:pPr>
              <w:pStyle w:val="Compact"/>
              <w:spacing w:before="0" w:after="0"/>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1180"/>
          </w:tcPr>
          <w:p>
            <w:pPr>
              <w:pStyle w:val="Compact"/>
              <w:spacing w:before="0" w:after="0"/>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20,000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0.2633</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0.4897</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0.6610</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sz w:val="20"/>
              </w:rPr>
              <w:t xml:space="preserve">0.8320</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0.4672</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50,000</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b/>
                <w:bCs/>
                <w:sz w:val="20"/>
              </w:rPr>
              <w:t xml:space="preserve">0.2650</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0.4972</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0.6678</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0.8369</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sz w:val="20"/>
              </w:rPr>
              <w:t xml:space="preserve">0.4723</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100,000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0.2647</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0.5020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0.6727</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sz w:val="20"/>
              </w:rPr>
              <w:t xml:space="preserve">0.8403</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0.4753</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175,000 (formula / auto)</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sz w:val="20"/>
              </w:rPr>
              <w:t xml:space="preserve">0.2626</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0.6756</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0.8424</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b/>
                <w:bCs/>
                <w:sz w:val="20"/>
              </w:rPr>
              <w:t xml:space="preserve">0.4761</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350,000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0.2554</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0.5033</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0.6768</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b/>
                <w:bCs/>
                <w:sz w:val="20"/>
              </w:rPr>
              <w:t xml:space="preserve">0.8436</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0.4733</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700,000</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sz w:val="20"/>
              </w:rPr>
              <w:t xml:space="preserve">0.2421</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0.4969</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0.6745</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0.8430</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sz w:val="20"/>
              </w:rPr>
              <w:t xml:space="preserve">0.4654</w:t>
            </w:r>
          </w:p>
        </w:tc>
      </w:tr>
    </w:tbl>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2" Type="http://schemas.openxmlformats.org/officeDocument/2006/relationships/image" Target="media/rId32.png"/><Relationship Id="rId40" Type="http://schemas.openxmlformats.org/officeDocument/2006/relationships/image" Target="media/rId40.png"/><Relationship Id="rId47" Type="http://schemas.openxmlformats.org/officeDocument/2006/relationships/image" Target="media/rId47.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2026-10-09T15:43:55Z</dcterms:created>
  <dcterms:modified xsi:type="dcterms:W3CDTF">2026-10-09T15:43:55Z</dcterms:modified>
</cp:coreProperties>
</file>

<file path=docProps/custom.xml><?xml version="1.0" encoding="utf-8"?>
<Properties xmlns="http://schemas.openxmlformats.org/officeDocument/2006/custom-properties" xmlns:vt="http://schemas.openxmlformats.org/officeDocument/2006/docPropsVTypes"/>
</file>