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One binary, whole genome: Selphi 2 unifies phasing, imputation, and low-coverage sequencing</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End-to-end genotype imputation today requires chaining multiple specialized tools, Eagle2 or SHAPEIT5 for phasing, Beagle, IMPUTE5, or Minimac4 for imputation, dedicated reference panel converters, bcftools for indexing, and per-format writers, each operating on per-chromosome inputs and emitting intermediate VCF files between stages. Here we present Selphi 2, a complete reimplementation of the Selphi genotype imputation framework in Rust that integrates the full workflow into a single tool. Selphi 2 adds two phasing engines (a diploid genotype-graph engine with MCMC sampling, used by default, and a haploid composite HMM) and imputes whole-genome targets against a single multi-chromosome reference panel in one command, eliminating per-chromosome file splitting and output concatenation. Selphi 2 reduces wall time by an order of magnitude relative to Selphi 1 and reduces peak memory by 39-58% relative to Beagle 5.5, while matching or exceeding Selphi 1's accuracy: on homogeneous reference panels accuracy is preserved, and on admixed cohorts imputed against biobank-scale panels a panel-adaptive candidate-set sizing rule, derived from reference panel size and haplotype-pattern diversity, improves rare-variant accuracy over a fixed candidate-set size, which on very large panels retains too few of the haplotypes that carry rare alleles in minority ancestries. On six held-out individuals, each with a consumer genotyping array and a matched high-coverage genome (imputed against a 75,552-haplotype reference panel), Selphi 2's imputer matches or exceeds Beagle 5.5 at equal phasing on both SNPs and indels, and with its own default diploid phasing (which averages a small intra-run phase ensemble for one extra imputation pass and no extra phasing) exceeds Beagle's full pipeline on both SNPs and indels. The same binary additionally provides a low-coverage sequencing (lcWGS) imputation engine: a genotype-likelihood-aware Li-Stephens model that imputes directly from soft-called sequencing data. Benchmarked against GLIMPSE2 on real low-coverage sequencing of six Genome in a Bottle reference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it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variant sites on five of the six (tied on the sixth) while imputing each sample independently against the panel without ever materializing the full-chromosome reference panel; run one sample at a time (its native mode),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current imputation ecosystem is fragmented across multiple specialized tools. A standard end-to-end workflow phases the target with a dedicated phaser such as Eagle2</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or an earlier biobank-scale haplotype estimator</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imputes the phased target with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or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and processed one chromosome at a time.</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complete reimplementation of the Selphi algorithm in Rust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number of reference haplotypes retained per target is set by a panel-adaptive sizing formula derived from the reference panel size and the haplotype-pattern diversity of the panel; on admixed cohorts imputed against biobank-scale panels this preserves rare-variant accuracy that a fixed candidate-set size loses by retaining too few rare-allele-carrying haplotypes from minority ancestries.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Selphi 2 further provides a dedicated low-coverage sequencing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in the same binary, applying a genotype-likelihood-aware Li-Stephens model to soft-called sequencing input, so that array and low-coverage-sequencing imputation are served by one tool. In this paper, we describe the algorithmic components of Selphi 2 (Methods), benchmark its imputation accuracy and resource consumption against Selphi 1</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compare its phasing accuracy against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and compare its low-coverage engine against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Genome in a Bottle sequencing</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validated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low-coverage sequencing input (0.5-2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depth),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 diplotype-mosaic phase-commitment step in a Gibbs schedule,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statically compiled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3;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the averaged weights yield the exact mean dosage over the N phasings, marginalising phase uncertainty in dosage space.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3).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color w:val="0563C1"/>
          <w:vertAlign w:val="superscript"/>
        </w:rPr>
        <w:t xml:space="preserve">,</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and FNV-1a hashing is used for steps spanning more than 20 SNPs.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The forward pass uses 32-bit floating-point arithmetic for 2x cache density and SIMD throughput; the backward pass uses 64-bit precision to maintain numerical stability in the recombination probability computation. The per-site recombination probability follows the standard Li-Stephens formulation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fixed constant typically calibrated on a single reference panel (e.g.,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 in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or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in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subset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(multi-ethnic global panel, European-only cohort, and multi-ethnic clinical cohort, respectively).</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example</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color w:val="0563C1"/>
          <w:vertAlign w:val="superscript"/>
        </w:rPr>
        <w:t xml:space="preserv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To accelerate VCF output formatting, a fast path is employed for samples with trivial dosages: when both haplotype probabilities are below 0.005 (homozygous reference) or above 0.995 (homozygous alternate), a pre-compiled constant string is written directly, bypassing all floating-point-to-string conversion. For rare variants (MAF &lt; 1%), more than 99% of samples follow this fast path.</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(capacity 64 blocks), decoupling interpolation throughput from I/O throughput.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most sites carry no confident call but a soft genotype likelihood (GL) derived from one or two reads.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Indel panel sites are imputed flat from the haplotype scaffold by default, as in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 bit-packed conditioning representation loads 16 reference alleles directly as a mask register), with a scalar fallback on other hosts;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decoded genotypes are byte-identical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3),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13% of raw calls on average across the six samples (9% to 14% per sample; e.g. 4.98M to 4.34M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 "Beagle-phased" rows, both Selphi 2 and Selphi 1.5.3 were given Beagle's phase-only output as their phased input, isolating the imputation step from phasing quality; the "haploid"/"diploid" 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We evaluated Selphi 2 against Beagle 5.5 and the original Selphi 1.5.3 on three reference panels spanning two orders of magnitude in size: the 1000 Genomes Phase 3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reference panel containing the full 1000 Genomes cohort.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all evaluated against the identical 1000 Genomes reference panel and truth (Selphi 2 and Beagle 5.5 run as full phase-and-impute pipelines from the unphased chip; IMPUTE5 and Minimac4, which require pre-phased input, given the identical phased target, as detailed in the Table 1 caption).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1). Aggregated genome-wide across 20 autosomes (chromosomes 8 and 11 excluded, where Beagle aborted on a duplicate panel marker, so all four tools span the identical chromosome set), the same ordering holds: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0.5838 versus 0.5764 (Beagle 5.5), 0.5668 (Minimac4) and 0.5635 (IMPUTE5), and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0.9548 versus 0.9503, 0.9481 and 0.9471 respectively, leading every MAF bin above the rarest (Figure 2a). Minimac4 and IMPUTE5 were imputed on all 22 autosomes against the identical phased target and 1000 Genomes panel; their call sets were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(the genome-wide aggregate above and in Figure 2a spans the 20-autosome set; Table 1 reports their per-MAF detail on chromosome 22). Selphi 2 and Beagle 5.5 were additionally re-run genome-wide with the current release. Extended per-MAF detail is in Supplementary Table S1 (chr22 and chr1) and Supplementary Table S9 (the genome-wide four-way breakdown underlying Figure 2a).</w:t>
      </w:r>
    </w:p>
    <w:p>
      <w:pPr>
        <w:pStyle w:val="BodyText"/>
        <w:jc w:val="both"/>
      </w:pPr>
      <w:r>
        <w:rPr>
          <w:rFonts w:ascii="Times New Roman" w:hAnsi="Times New Roman" w:cs="Times New Roman" w:eastAsia="Times New Roman"/>
          <w:b/>
          <w:bCs/>
        </w:rPr>
        <w:t xml:space="preserve">Table 1.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and Minimac4 were each given the identical phased target and the identical 1000 Genomes reference panel and were evaluated on chromosome 22; Beagle 5.5 and Selphi 2 were additionally evaluated on chromosome 1. Bold marks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47"/>
        <w:gridCol w:w="1214"/>
        <w:gridCol w:w="1214"/>
        <w:gridCol w:w="1357"/>
        <w:gridCol w:w="1500"/>
        <w:gridCol w:w="1214"/>
        <w:gridCol w:w="1214"/>
      </w:tblGrid>
      <w:tr>
        <w:trPr>
          <w:tblHeader w:val="on"/>
        </w:trPr>
        <w:tc>
          <w:tcPr>
            <w:shd w:val="clear" w:color="auto" w:fill="595959"/>
            <w:vAlign w:val="center"/>
            <w:tcW w:type="dxa" w:w="164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357"/>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500"/>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A fixed per-target candidate-set size retains a panel-relative fraction that shrinks sharply as the panel grows, so a size adequate for a small panel retains only a small fraction of a biobank-scale panel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retains 1.5% of the 171,054-haplotype TOPMed panel), systematically excluding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2's default diploid engine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0.6148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+0.0227).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2b).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only a marginal additional gain, confirming the diminishing-returns regime captured by the formula (the full candidate-set-size sweep is in Supplementary Table S2).</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(a representative fixed candidate-set size).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2).</w:t>
      </w:r>
    </w:p>
    <w:p>
      <w:pPr>
        <w:pStyle w:val="BodyText"/>
        <w:jc w:val="both"/>
      </w:pPr>
      <w:r>
        <w:rPr>
          <w:rFonts w:ascii="Times New Roman" w:hAnsi="Times New Roman" w:cs="Times New Roman" w:eastAsia="Times New Roman"/>
          <w:b/>
          <w:bCs/>
        </w:rPr>
        <w:t xml:space="preserve">Table 2.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2b).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is a representative fixed candidate-set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7"/>
        <w:gridCol w:w="2093"/>
        <w:gridCol w:w="2340"/>
        <w:gridCol w:w="2340"/>
      </w:tblGrid>
      <w:tr>
        <w:trPr>
          <w:tblHeader w:val="on"/>
        </w:trPr>
        <w:tc>
          <w:tcPr>
            <w:shd w:val="clear" w:color="auto" w:fill="595959"/>
            <w:vAlign w:val="center"/>
            <w:tcW w:type="dxa" w:w="258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093"/>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2340"/>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2340"/>
          </w:tcPr>
          <w:p>
            <w:pPr>
              <w:pStyle w:val="Compact"/>
              <w:jc w:val="center"/>
            </w:pPr>
            <m:oMath>
              <m:r>
                <m:rPr>
                  <m:sty m:val="p"/>
                </m:rPr>
                <m:t>Δ</m:t>
              </m:r>
            </m:oMath>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candidate-set size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2b):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2b). The monotonic decay from rare to common variants, and the ordering by population admixture and divergence, are the signature of the proposed mechanism: a fixed candidate cap, dominated by the panel's majority-ancestry haplotypes,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2b.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2529"/>
        <w:gridCol w:w="1433"/>
        <w:gridCol w:w="1297"/>
        <w:gridCol w:w="252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433"/>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297"/>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+0.1391</w:t>
            </w:r>
          </w:p>
        </w:tc>
        <w:tc>
          <w:tcPr>
            <w:shd w:val="clear" w:color="auto" w:fill="FFFFFF"/>
            <w:vAlign w:val="center"/>
            <w:tcW w:type="dxa" w:w="1433"/>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+0.1211</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+0.0123</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+0.0885</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+0.0642</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+0.0008</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+0.0528</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-0.0034</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+0.0343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+0.0266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-0.0059</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-0.0038</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+0.0874</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2c).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1).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2c.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5307"/>
            <wp:effectExtent b="0" l="0" r="0" t="0"/>
            <wp:docPr descr="Figure 2" title="" id="30" name="Picture"/>
            <a:graphic>
              <a:graphicData uri="http://schemas.openxmlformats.org/drawingml/2006/picture">
                <pic:pic>
                  <pic:nvPicPr>
                    <pic:cNvPr descr="figures/figure2_accuracy.png" id="31" name="Picture"/>
                    <pic:cNvPicPr>
                      <a:picLocks noChangeArrowheads="1" noChangeAspect="1"/>
                    </pic:cNvPicPr>
                  </pic:nvPicPr>
                  <pic:blipFill>
                    <a:blip r:embed="rId29"/>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four tools use the identical chromosome set):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versus Beagle 5.5, Minimac4 and IMPUTE5; Selphi 2 leads at every bin above the rarest.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internal candidate-sizing ablation behind this gain is in Table 2b.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2c);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6b).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6b)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 (Supplementary Table S3).</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3).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exact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3.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 "Beagle-phased" rows feed both imputers the identical Beagle phase-only output (isolating the imputation step); "haploid/diploid" 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3b).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3b.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845"/>
        <w:gridCol w:w="1520"/>
        <w:gridCol w:w="995"/>
      </w:tblGrid>
      <w:tr>
        <w:trPr>
          <w:tblHeader w:val="on"/>
        </w:trPr>
        <w:tc>
          <w:tcPr>
            <w:shd w:val="clear" w:color="auto" w:fill="595959"/>
            <w:vAlign w:val="center"/>
            <w:tcW w:type="dxa" w:w="68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6845"/>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27.7 min</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W w:type="dxa" w:w="6845"/>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("no-trios" 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4; Supplementary Table S5).</w:t>
      </w:r>
    </w:p>
    <w:p>
      <w:pPr>
        <w:pStyle w:val="BodyText"/>
        <w:jc w:val="both"/>
      </w:pPr>
      <w:r>
        <w:rPr>
          <w:rFonts w:ascii="Times New Roman" w:hAnsi="Times New Roman" w:cs="Times New Roman" w:eastAsia="Times New Roman"/>
          <w:b/>
          <w:bCs/>
        </w:rPr>
        <w:t xml:space="preserve">Table 4.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20"/>
        <w:gridCol w:w="785"/>
        <w:gridCol w:w="785"/>
        <w:gridCol w:w="995"/>
        <w:gridCol w:w="785"/>
        <w:gridCol w:w="995"/>
        <w:gridCol w:w="995"/>
      </w:tblGrid>
      <w:tr>
        <w:trPr>
          <w:tblHeader w:val="on"/>
        </w:trPr>
        <w:tc>
          <w:tcPr>
            <w:shd w:val="clear" w:color="auto" w:fill="595959"/>
            <w:vAlign w:val="center"/>
            <w:tcW w:type="dxa" w:w="402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4020"/>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W w:type="dxa" w:w="785"/>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W w:type="dxa" w:w="4020"/>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(a 66% reduction),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4b).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1.876%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4)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on the SHAPEIT5 run reported in Table 4b, within the ≤0.012 pp run-to-run range of Table 4's headline value; 95% CI [-0.104, -0.053], 44 of 54 trios), while on chromosome 1 Beagle 5.5 is marginally lowest but again not significantly different from Selphi 2 (Δ = +0.013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4c).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4b.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4 (Selphi 2 and Beagle 5.5 identical; SHAPEIT5 within 0.012 pp of Table 4's independent run); paired significance is given in the text. Pedigree-aware SER is partially circular (see text); the no-pedigree columns are the unconfounded comparison and Table 4c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960"/>
        <w:gridCol w:w="1100"/>
        <w:gridCol w:w="1100"/>
        <w:gridCol w:w="1100"/>
        <w:gridCol w:w="1100"/>
      </w:tblGrid>
      <w:tr>
        <w:trPr>
          <w:tblHeader w:val="on"/>
        </w:trPr>
        <w:tc>
          <w:tcPr>
            <w:shd w:val="clear" w:color="auto" w:fill="595959"/>
            <w:vAlign w:val="center"/>
            <w:tcW w:type="dxa" w:w="496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2.521</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0.335</w:t>
            </w:r>
          </w:p>
        </w:tc>
      </w:tr>
      <w:tr>
        <w:tc>
          <w:tcPr>
            <w:shd w:val="clear" w:color="auto" w:fill="E7E6E6"/>
            <w:vAlign w:val="center"/>
            <w:tcW w:type="dxa" w:w="496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2.599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4c.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528"/>
        <w:gridCol w:w="1458"/>
        <w:gridCol w:w="1458"/>
        <w:gridCol w:w="1458"/>
        <w:gridCol w:w="1458"/>
      </w:tblGrid>
      <w:tr>
        <w:trPr>
          <w:tblHeader w:val="on"/>
        </w:trPr>
        <w:tc>
          <w:tcPr>
            <w:shd w:val="clear" w:color="auto" w:fill="595959"/>
            <w:vAlign w:val="center"/>
            <w:tcW w:type="dxa" w:w="35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35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5 summarizes wall time and peak resident memory for Selphi 2, Selphi 1.5.3, and Beagle on the three reference panels evaluated above, on the same machine (16 threads) and on identical inputs; a fuller per-benchmark breakdown, including the lcWGS runs, is in Supplementary Table S6.</w:t>
      </w:r>
    </w:p>
    <w:p>
      <w:pPr>
        <w:pStyle w:val="BodyText"/>
        <w:jc w:val="both"/>
      </w:pPr>
      <w:r>
        <w:rPr>
          <w:rFonts w:ascii="Times New Roman" w:hAnsi="Times New Roman" w:cs="Times New Roman" w:eastAsia="Times New Roman"/>
          <w:b/>
          <w:bCs/>
        </w:rPr>
        <w:t xml:space="preserve">Table 5.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40274"/>
            <wp:effectExtent b="0" l="0" r="0" t="0"/>
            <wp:docPr descr="Figure 3" title="" id="37" name="Picture"/>
            <a:graphic>
              <a:graphicData uri="http://schemas.openxmlformats.org/drawingml/2006/picture">
                <pic:pic>
                  <pic:nvPicPr>
                    <pic:cNvPr descr="figures/figure3_efficiency.png" id="38" name="Picture"/>
                    <pic:cNvPicPr>
                      <a:picLocks noChangeArrowheads="1" noChangeAspect="1"/>
                    </pic:cNvPicPr>
                  </pic:nvPicPr>
                  <pic:blipFill>
                    <a:blip r:embed="rId36"/>
                    <a:stretch>
                      <a:fillRect/>
                    </a:stretch>
                  </pic:blipFill>
                  <pic:spPr bwMode="auto">
                    <a:xfrm>
                      <a:off x="0" y="0"/>
                      <a:ext cx="5334000" cy="1640274"/>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Whole-genome wall time and (b)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3b). (c) Per-sample low-coverage wall time for chromosome 22, all three tools measured on the entire chromosome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coverage, 16 threads, same machine; log scale): 115 s for Selphi 2 versus 287 s for GLIMPSE2 (its 15 native chunks plus ligation) and 1,729 s for QUILT2 (tiled across the chromosome), so Selphi 2 is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GLIMPSE2 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QUILT2 (Table 6b).</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its peak memory is 39-58% lower than Beagle's on the 1000 Genomes chromosome 22 and both GIAB benchmarks, and comparable to Beagle on 1000 Genomes chromosome 1 (21.9 GB versus 20.2 GB). On the TOPMed biobank-scale run, Selphi 2 is slower than Beagle 5.5 (3.0</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+0.0227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with Selphi 2 leading Beagle across the MAF spectrum.</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w:t>
      </w:r>
    </w:p>
    <w:p>
      <w:pPr>
        <w:pStyle w:val="Heading2"/>
        <w:jc w:val="both"/>
      </w:pPr>
      <w:r>
        <w:rPr>
          <w:rFonts w:ascii="Times New Roman" w:hAnsi="Times New Roman" w:cs="Times New Roman" w:eastAsia="Times New Roman"/>
          <w:b/>
          <w:bCs/>
        </w:rPr>
        <w:t xml:space="preserve">Low-coverage sequencing imputation</w:t>
      </w:r>
    </w:p>
    <w:p>
      <w:pPr>
        <w:pStyle w:val="FirstParagraph"/>
        <w:jc w:val="both"/>
      </w:pPr>
      <w:r>
        <w:rPr>
          <w:rFonts w:ascii="Times New Roman" w:hAnsi="Times New Roman" w:cs="Times New Roman" w:eastAsia="Times New Roman"/>
        </w:rPr>
        <w:t xml:space="preserve">We assessed the lcWGS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on real low-coverage sequencing of the Genome in a Bottle (GIAB) reference samples HG002-HG007 (the Ashkenazi and Han Chinese trios), none of which are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above,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2's lcWGS engine imputes each target sample independently against the reference panel with a genotype-likelihood-aware Li-Stephens forward-backward: sparse-PBWT conditioning-set selection, a faithful eight-founder phasing HMM re-committed at each Gibbs iteration,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the single change that lifts the ultra-rare bin to parity with or above GLIMPSE2 (Results, Table 6b),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extension feeds each heterozygous rare site's locally-best-matching panel carriers into the per-segment phase commitment, so the rarest carriers are committed without perturbing the global conditioning HMM. The chromosome is processed in overlapping cM windows whose reference bitmatrix is extracted from the SRP and discarded per window, and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so the full-chromosome reference panel is never materialized in memory.</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6).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6b, Figure 2d). Because each sample is imputed independently against the panel, the engine's natural mode is one sample at a time: a single chromosome-22 sample completes in approximately 2.0 minutes on 16 cores at a few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The Gibbs iteration count and the cM window size are explicit accuracy/speed controls.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6b; per-sample and coverage-swept detail in Supplementary Table S4).</w:t>
      </w:r>
    </w:p>
    <w:p>
      <w:pPr>
        <w:pStyle w:val="BodyText"/>
        <w:jc w:val="both"/>
      </w:pPr>
      <w:r>
        <w:rPr>
          <w:rFonts w:ascii="Times New Roman" w:hAnsi="Times New Roman" w:cs="Times New Roman" w:eastAsia="Times New Roman"/>
          <w:b/>
          <w:bCs/>
        </w:rPr>
        <w:t xml:space="preserve">Table 6.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149"/>
        <w:gridCol w:w="2149"/>
        <w:gridCol w:w="2657"/>
        <w:gridCol w:w="2405"/>
      </w:tblGrid>
      <w:tr>
        <w:trPr>
          <w:tblHeader w:val="on"/>
        </w:trPr>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657"/>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405"/>
          </w:tcPr>
          <w:p>
            <w:pPr>
              <w:pStyle w:val="Compact"/>
              <w:jc w:val="center"/>
            </w:pPr>
            <m:oMath>
              <m:r>
                <m:rPr>
                  <m:sty m:val="p"/>
                </m:rPr>
                <m:t>Δ</m:t>
              </m:r>
            </m:oMath>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-0.0001</w:t>
            </w:r>
          </w:p>
        </w:tc>
      </w:tr>
      <w:tr>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657"/>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405"/>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At the rarest frequencies (MAF 0-0.5%) Selphi 2's band-mode recombination (default; Methods) places it level with or ahead of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(quantified across the coverage sweep in Table 6b). Single-sample efficiency on chromosome 22: Selphi 2 completes in ≈2.0 minutes at ≈3.3 GB peak memory, never materializing the full-chromosome reference panel, versus ≈5.4 minutes for GLIMPSE2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GLIMPSE2's lower per-sample footprint (≈2.1 GB) reflects its separate one-time panel-splitting step, excluded here from both tools.</w:t>
      </w:r>
    </w:p>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6b).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2d).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3c); QUILT2's runtime grows further with sequencing depth. QUILT2's distinguishing mechanism, a read-level latent-label model that retains within-read linkage rather than collapsing reads to per-site genotype likelihoods, confers an advantage only below approximately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outside the range evaluated here, where all three tools converge.</w:t>
      </w:r>
    </w:p>
    <w:p>
      <w:pPr>
        <w:pStyle w:val="BodyText"/>
        <w:jc w:val="both"/>
      </w:pPr>
      <w:r>
        <w:rPr>
          <w:rFonts w:ascii="Times New Roman" w:hAnsi="Times New Roman" w:cs="Times New Roman" w:eastAsia="Times New Roman"/>
          <w:b/>
          <w:bCs/>
        </w:rPr>
        <w:t xml:space="preserve">Table 6b.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58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586"/>
          </w:tcPr>
          <w:p>
            <w:pPr>
              <w:pStyle w:val="Compact"/>
              <w:jc w:val="center"/>
            </w:pPr>
            <w:r>
              <w:rPr>
                <w:rFonts w:ascii="Times New Roman" w:hAnsi="Times New Roman" w:cs="Times New Roman" w:eastAsia="Times New Roman"/>
                <w:b/>
                <w:bCs/>
                <w:sz w:val="20"/>
              </w:rPr>
              <w:t xml:space="preserve">0.9252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0.9437</w:t>
            </w:r>
          </w:p>
        </w:tc>
      </w:tr>
    </w:tbl>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reimplementation of the Selphi genotype imputation algorithm</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phasing and imputation in a single tool, performs whole-genome imputation in one command against a single multi-chromosome reference panel, and introduces a panel-adaptive candidate-set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0.0227 on the MESA admixed cohort, leading Beagle across all four ancestry groups (Figure 2b); this advantage over Beagle reflects the larger panel-adaptive candidate set retained per target versus Beagle's window-local composite haplotypes. The same panel-adaptive sizing recovers +0.0651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a fixed candidate-set size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a recovery that is monotonically larger at rarer bins and largest for the most admixed groups (Table 2, Table 2b).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(where rare variants are accessible),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color w:val="0563C1"/>
          <w:vertAlign w:val="superscript"/>
        </w:rPr>
        <w:t xml:space="preserve">,</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0.023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1), reproducing for Selphi 2 the accuracy ordering that Selphi 1 reported against the same three tools.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the principal extensions are the integrated phasing engines, the panel-adaptive candidate-set sizing, the multi-chromosome single-pass workflow, and the panel-format-agnostic input (BCF, VCF, BREF3) with multi-format output.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rather than from genotyping arrays. Selphi 2 addresses this regime with its dedicated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(Methods; Results, Low-coverage sequencing imputation), so the two tools are now directly comparable on lcWGS input: on real low-coverage Genome in a Bottle sequencing (six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six samples (mean 0.9493 versus 0.9455) without ever materializing the full-chromosome reference panel; run one sample at a time (its native mode, since each target is imputed independently against the panel),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per sample, and the two tools are effectively tied at the rarest frequencies.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in favour of Selphi 2 regardless of which tool produced the phasing (Supplementary Table S7). This is consistent with the near-tied switch-error rates on common variants (Table 4):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(Supplementary Table S8). The pedigree result (Table 4c)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-0.006 to -0.009</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3),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3):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main panel benchmarks are restricted to chromosomes 1, 21, and 22 (the largest, the smallest, and a representative mid-sized chromosome); the panel-adaptive rule's behavior on shorter chromosomes and on the X chromosome under sex-aware phasing remains to be characterized in a dedicated whole-genome study.</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six consumer-array and matched high-coverage whole-genome sequences used for the consumer-array benchmark (Results, Table 3)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The repository provides the source, a self-contained statically compiled binary, documentation, and the reference-panel preparation utilities required to reproduce the analyses in this work. [Repository URL and archival DOI to be finalized at acceptance.]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1"/>
    </w:p>
    <w:p>
      <w:pPr>
        <w:pStyle w:val="Compact"/>
        <w:numPr>
          <w:ilvl w:val="0"/>
          <w:numId w:val="1001"/>
        </w:numPr>
        <w:jc w:val="both"/>
      </w:pPr>
      <w:bookmarkStart w:id="4002" w:name="ref2"/>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2"/>
    </w:p>
    <w:p>
      <w:pPr>
        <w:pStyle w:val="Compact"/>
        <w:numPr>
          <w:ilvl w:val="0"/>
          <w:numId w:val="1001"/>
        </w:numPr>
        <w:jc w:val="both"/>
      </w:pPr>
      <w:bookmarkStart w:id="4003" w:name="ref3"/>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3"/>
    </w:p>
    <w:p>
      <w:pPr>
        <w:pStyle w:val="Compact"/>
        <w:numPr>
          <w:ilvl w:val="0"/>
          <w:numId w:val="1001"/>
        </w:numPr>
        <w:jc w:val="both"/>
      </w:pPr>
      <w:bookmarkStart w:id="4004" w:name="ref4"/>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4"/>
    </w:p>
    <w:p>
      <w:pPr>
        <w:pStyle w:val="Compact"/>
        <w:numPr>
          <w:ilvl w:val="0"/>
          <w:numId w:val="1001"/>
        </w:numPr>
        <w:jc w:val="both"/>
      </w:pPr>
      <w:bookmarkStart w:id="4005" w:name="ref5"/>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5"/>
    </w:p>
    <w:p>
      <w:pPr>
        <w:pStyle w:val="Compact"/>
        <w:numPr>
          <w:ilvl w:val="0"/>
          <w:numId w:val="1001"/>
        </w:numPr>
        <w:jc w:val="both"/>
      </w:pPr>
      <w:bookmarkStart w:id="4006" w:name="ref6"/>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6"/>
    </w:p>
    <w:p>
      <w:pPr>
        <w:pStyle w:val="Compact"/>
        <w:numPr>
          <w:ilvl w:val="0"/>
          <w:numId w:val="1001"/>
        </w:numPr>
        <w:jc w:val="both"/>
      </w:pPr>
      <w:bookmarkStart w:id="4007" w:name="ref7"/>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7"/>
    </w:p>
    <w:p>
      <w:pPr>
        <w:pStyle w:val="Compact"/>
        <w:numPr>
          <w:ilvl w:val="0"/>
          <w:numId w:val="1001"/>
        </w:numPr>
        <w:jc w:val="both"/>
      </w:pPr>
      <w:bookmarkStart w:id="4008" w:name="ref8"/>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08"/>
    </w:p>
    <w:p>
      <w:pPr>
        <w:pStyle w:val="Compact"/>
        <w:numPr>
          <w:ilvl w:val="0"/>
          <w:numId w:val="1001"/>
        </w:numPr>
        <w:jc w:val="both"/>
      </w:pPr>
      <w:bookmarkStart w:id="4009" w:name="ref9"/>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2023;55(7):1088-1090.</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2025;17(1):524.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8"/>
        <w:gridCol w:w="1394"/>
        <w:gridCol w:w="2327"/>
        <w:gridCol w:w="1128"/>
        <w:gridCol w:w="1128"/>
        <w:gridCol w:w="1527"/>
        <w:gridCol w:w="1128"/>
      </w:tblGrid>
      <w:tr>
        <w:trPr>
          <w:tblHeader w:val="on"/>
        </w:trPr>
        <w:tc>
          <w:tcPr>
            <w:shd w:val="clear" w:color="auto" w:fill="595959"/>
            <w:vAlign w:val="center"/>
            <w:tcW w:type="dxa" w:w="728"/>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394"/>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2327"/>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128"/>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128"/>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527"/>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1128"/>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0.9152</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0.2661</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0.2672</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0.5033</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0.8418</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0.5643</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0.3453</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0.3495</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0.9305</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The first row is the camera-ready headline that matches main-text Table 2 (full</w:t>
      </w:r>
      <w:r>
        <w:rPr>
          <w:rFonts w:ascii="Times New Roman" w:hAnsi="Times New Roman" w:cs="Times New Roman" w:eastAsia="Times New Roman"/>
        </w:rPr>
        <w:t xml:space="preserve"> </w:t>
      </w:r>
      <w:r>
        <w:rPr>
          <w:rFonts w:ascii="Times New Roman" w:hAnsi="Times New Roman" w:cs="Times New Roman" w:eastAsia="Times New Roman"/>
        </w:rPr>
        <w:t xml:space="preserve">17.9 M-variant set,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panel-adaptive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132,676); the</w:t>
      </w:r>
      <w:r>
        <w:rPr>
          <w:rFonts w:ascii="Times New Roman" w:hAnsi="Times New Roman" w:cs="Times New Roman" w:eastAsia="Times New Roman"/>
        </w:rPr>
        <w:t xml:space="preserve"> </w:t>
      </w:r>
      <w:r>
        <w:rPr>
          <w:rFonts w:ascii="Times New Roman" w:hAnsi="Times New Roman" w:cs="Times New Roman" w:eastAsia="Times New Roman"/>
        </w:rPr>
        <w:t xml:space="preserve">subsequent rows are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r>
        <w:rPr>
          <w:rFonts w:ascii="Times New Roman" w:hAnsi="Times New Roman" w:cs="Times New Roman" w:eastAsia="Times New Roman"/>
        </w:rPr>
        <w:t xml:space="preserve"> </w:t>
      </w:r>
      <w:r>
        <w:rPr>
          <w:rFonts w:ascii="Times New Roman" w:hAnsi="Times New Roman" w:cs="Times New Roman" w:eastAsia="Times New Roman"/>
        </w:rPr>
        <w:t xml:space="preserve">measured against an earlier Beagle 5.5 baseline (0.5975) and retained to show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trajectory (so their Beagle column differs from the headline by design).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1606"/>
        <w:gridCol w:w="2464"/>
        <w:gridCol w:w="890"/>
        <w:gridCol w:w="890"/>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1606"/>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2464"/>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1606"/>
          </w:tcPr>
          <w:p>
            <w:pPr>
              <w:pStyle w:val="Compact"/>
              <w:jc w:val="left"/>
            </w:pPr>
            <w:r>
              <w:rPr>
                <w:rFonts w:ascii="Times New Roman" w:hAnsi="Times New Roman" w:cs="Times New Roman" w:eastAsia="Times New Roman"/>
                <w:sz w:val="20"/>
              </w:rPr>
              <w:t xml:space="preserve">132676 (auto), full 17.9 M var</w:t>
            </w:r>
          </w:p>
        </w:tc>
        <w:tc>
          <w:tcPr>
            <w:shd w:val="clear" w:color="auto" w:fill="FFFFFF"/>
            <w:vAlign w:val="center"/>
            <w:tcW w:type="dxa" w:w="2464"/>
          </w:tcPr>
          <w:p>
            <w:pPr>
              <w:pStyle w:val="Compact"/>
              <w:jc w:val="left"/>
            </w:pPr>
            <w:r>
              <w:rPr>
                <w:rFonts w:ascii="Times New Roman" w:hAnsi="Times New Roman" w:cs="Times New Roman" w:eastAsia="Times New Roman"/>
                <w:sz w:val="20"/>
              </w:rPr>
              <w:t xml:space="preserve">OVERALL (headline, = Table 2, diploid 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0.6148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0.5921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1606"/>
          </w:tcPr>
          <w:p>
            <w:pPr>
              <w:pStyle w:val="Compact"/>
              <w:jc w:val="left"/>
            </w:pPr>
            <w:r>
              <w:rPr>
                <w:rFonts w:ascii="Times New Roman" w:hAnsi="Times New Roman" w:cs="Times New Roman" w:eastAsia="Times New Roman"/>
                <w:sz w:val="20"/>
              </w:rPr>
              <w:t xml:space="preserve">150K</w:t>
            </w:r>
          </w:p>
        </w:tc>
        <w:tc>
          <w:tcPr>
            <w:shd w:val="clear" w:color="auto" w:fill="E7E6E6"/>
            <w:vAlign w:val="center"/>
            <w:tcW w:type="dxa" w:w="2464"/>
          </w:tcPr>
          <w:p>
            <w:pPr>
              <w:pStyle w:val="Compact"/>
              <w:jc w:val="left"/>
            </w:pPr>
            <w:r>
              <w:rPr>
                <w:rFonts w:ascii="Times New Roman" w:hAnsi="Times New Roman" w:cs="Times New Roman" w:eastAsia="Times New Roman"/>
                <w:sz w:val="20"/>
              </w:rPr>
              <w:t xml:space="preserve">OVERALL (haploid, larger mc)</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0.6162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1606"/>
          </w:tcPr>
          <w:p>
            <w:pPr>
              <w:pStyle w:val="Compact"/>
              <w:jc w:val="left"/>
            </w:pPr>
            <w:r>
              <w:rPr>
                <w:rFonts w:ascii="Times New Roman" w:hAnsi="Times New Roman" w:cs="Times New Roman" w:eastAsia="Times New Roman"/>
                <w:sz w:val="20"/>
              </w:rPr>
              <w:t xml:space="preserve">132676 (auto)</w:t>
            </w:r>
          </w:p>
        </w:tc>
        <w:tc>
          <w:tcPr>
            <w:shd w:val="clear" w:color="auto" w:fill="FFFFFF"/>
            <w:vAlign w:val="center"/>
            <w:tcW w:type="dxa" w:w="2464"/>
          </w:tcPr>
          <w:p>
            <w:pPr>
              <w:pStyle w:val="Compact"/>
              <w:jc w:val="left"/>
            </w:pPr>
            <w:r>
              <w:rPr>
                <w:rFonts w:ascii="Times New Roman" w:hAnsi="Times New Roman" w:cs="Times New Roman" w:eastAsia="Times New Roman"/>
                <w:sz w:val="20"/>
              </w:rPr>
              <w:t xml:space="preserve">OVERALL (haploid auto-mc)</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0.6156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1606"/>
          </w:tcPr>
          <w:p>
            <w:pPr>
              <w:pStyle w:val="Compact"/>
              <w:jc w:val="left"/>
            </w:pPr>
            <w:r>
              <w:rPr>
                <w:rFonts w:ascii="Times New Roman" w:hAnsi="Times New Roman" w:cs="Times New Roman" w:eastAsia="Times New Roman"/>
                <w:sz w:val="20"/>
              </w:rPr>
              <w:t xml:space="preserve">132676 (auto), full 17.9 M var</w:t>
            </w:r>
          </w:p>
        </w:tc>
        <w:tc>
          <w:tcPr>
            <w:shd w:val="clear" w:color="auto" w:fill="E7E6E6"/>
            <w:vAlign w:val="center"/>
            <w:tcW w:type="dxa" w:w="2464"/>
          </w:tcPr>
          <w:p>
            <w:pPr>
              <w:pStyle w:val="Compact"/>
              <w:jc w:val="left"/>
            </w:pPr>
            <w:r>
              <w:rPr>
                <w:rFonts w:ascii="Times New Roman" w:hAnsi="Times New Roman" w:cs="Times New Roman" w:eastAsia="Times New Roman"/>
                <w:sz w:val="20"/>
              </w:rPr>
              <w:t xml:space="preserve">per-sample mean (headline, diploid default)</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0.8978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0.8764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1606"/>
          </w:tcPr>
          <w:p>
            <w:pPr>
              <w:pStyle w:val="Compact"/>
              <w:jc w:val="left"/>
            </w:pPr>
            <w:r>
              <w:rPr>
                <w:rFonts w:ascii="Times New Roman" w:hAnsi="Times New Roman" w:cs="Times New Roman" w:eastAsia="Times New Roman"/>
                <w:sz w:val="20"/>
              </w:rPr>
              <w:t xml:space="preserve">150K</w:t>
            </w:r>
          </w:p>
        </w:tc>
        <w:tc>
          <w:tcPr>
            <w:shd w:val="clear" w:color="auto" w:fill="FFFFFF"/>
            <w:vAlign w:val="center"/>
            <w:tcW w:type="dxa" w:w="2464"/>
          </w:tcPr>
          <w:p>
            <w:pPr>
              <w:pStyle w:val="Compact"/>
              <w:jc w:val="left"/>
            </w:pPr>
            <w:r>
              <w:rPr>
                <w:rFonts w:ascii="Times New Roman" w:hAnsi="Times New Roman" w:cs="Times New Roman" w:eastAsia="Times New Roman"/>
                <w:sz w:val="20"/>
              </w:rPr>
              <w:t xml:space="preserve">0.05-0.1% (rarest, Ne-default)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0.5211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1606"/>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464"/>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0.6554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0.6360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1606"/>
          </w:tcPr>
          <w:p>
            <w:pPr>
              <w:pStyle w:val="Compact"/>
              <w:jc w:val="left"/>
            </w:pPr>
            <w:r>
              <w:rPr>
                <w:rFonts w:ascii="Times New Roman" w:hAnsi="Times New Roman" w:cs="Times New Roman" w:eastAsia="Times New Roman"/>
                <w:sz w:val="20"/>
              </w:rPr>
              <w:t xml:space="preserve">120K</w:t>
            </w:r>
          </w:p>
        </w:tc>
        <w:tc>
          <w:tcPr>
            <w:shd w:val="clear" w:color="auto" w:fill="FFFFFF"/>
            <w:vAlign w:val="center"/>
            <w:tcW w:type="dxa" w:w="2464"/>
          </w:tcPr>
          <w:p>
            <w:pPr>
              <w:pStyle w:val="Compact"/>
              <w:jc w:val="left"/>
            </w:pPr>
            <w:r>
              <w:rPr>
                <w:rFonts w:ascii="Times New Roman" w:hAnsi="Times New Roman" w:cs="Times New Roman" w:eastAsia="Times New Roman"/>
                <w:sz w:val="20"/>
              </w:rPr>
              <w:t xml:space="preserve">5-10%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0.6809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0.6635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1606"/>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464"/>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0.6653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0.6541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1606"/>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464"/>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0.6624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0.6242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1606"/>
          </w:tcPr>
          <w:p>
            <w:pPr>
              <w:pStyle w:val="Compact"/>
              <w:jc w:val="left"/>
            </w:pPr>
            <w:r>
              <w:rPr>
                <w:rFonts w:ascii="Times New Roman" w:hAnsi="Times New Roman" w:cs="Times New Roman" w:eastAsia="Times New Roman"/>
                <w:sz w:val="20"/>
              </w:rPr>
              <w:t xml:space="preserve">9800</w:t>
            </w:r>
          </w:p>
        </w:tc>
        <w:tc>
          <w:tcPr>
            <w:shd w:val="clear" w:color="auto" w:fill="E7E6E6"/>
            <w:vAlign w:val="center"/>
            <w:tcW w:type="dxa" w:w="2464"/>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0.6548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0.6079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1606"/>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464"/>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0.6645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0.6290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1606"/>
          </w:tcPr>
          <w:p>
            <w:pPr>
              <w:pStyle w:val="Compact"/>
              <w:jc w:val="left"/>
            </w:pPr>
            <w:r>
              <w:rPr>
                <w:rFonts w:ascii="Times New Roman" w:hAnsi="Times New Roman" w:cs="Times New Roman" w:eastAsia="Times New Roman"/>
                <w:sz w:val="20"/>
              </w:rPr>
              <w:t xml:space="preserve">per-window default</w:t>
            </w:r>
          </w:p>
        </w:tc>
        <w:tc>
          <w:tcPr>
            <w:shd w:val="clear" w:color="auto" w:fill="E7E6E6"/>
            <w:vAlign w:val="center"/>
            <w:tcW w:type="dxa" w:w="2464"/>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1606"/>
          </w:tcPr>
          <w:p>
            <w:pPr>
              <w:pStyle w:val="Compact"/>
              <w:jc w:val="left"/>
            </w:pPr>
            <w:r>
              <w:rPr>
                <w:rFonts w:ascii="Times New Roman" w:hAnsi="Times New Roman" w:cs="Times New Roman" w:eastAsia="Times New Roman"/>
                <w:sz w:val="20"/>
              </w:rPr>
              <w:t xml:space="preserve">per-window default</w:t>
            </w:r>
          </w:p>
        </w:tc>
        <w:tc>
          <w:tcPr>
            <w:shd w:val="clear" w:color="auto" w:fill="FFFFFF"/>
            <w:vAlign w:val="center"/>
            <w:tcW w:type="dxa" w:w="2464"/>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0.6549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EC2 r7a.4xlarge, 16 threads. Reference: Beagle 5 (03Oct25); old Selphi 1.5.3.</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3);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3140"/>
        <w:gridCol w:w="1415"/>
        <w:gridCol w:w="995"/>
        <w:gridCol w:w="995"/>
        <w:gridCol w:w="1205"/>
        <w:gridCol w:w="890"/>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314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0.9676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7.2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6.2 GB</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0.9705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0.9815</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0.9825</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38.8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43.2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16.3 GB</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39.2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0.9812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S4. Low-coverage WGS (lcWGS) accuracy (R²) - vs GLIMPSE2 and QUILT2</w:t>
      </w:r>
    </w:p>
    <w:p>
      <w:pPr>
        <w:pStyle w:val="FirstParagraph"/>
        <w:jc w:val="both"/>
      </w:pPr>
      <w:r>
        <w:rPr>
          <w:rFonts w:ascii="Times New Roman" w:hAnsi="Times New Roman" w:cs="Times New Roman" w:eastAsia="Times New Roman"/>
        </w:rPr>
        <w:t xml:space="preserve">Extended detail behind main-text</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 6</w:t>
      </w:r>
      <w:r>
        <w:rPr>
          <w:rFonts w:ascii="Times New Roman" w:hAnsi="Times New Roman" w:cs="Times New Roman" w:eastAsia="Times New Roman"/>
        </w:rPr>
        <w:t xml:space="preserve"> </w:t>
      </w:r>
      <w:r>
        <w:rPr>
          <w:rFonts w:ascii="Times New Roman" w:hAnsi="Times New Roman" w:cs="Times New Roman" w:eastAsia="Times New Roman"/>
        </w:rPr>
        <w:t xml:space="preserve">(per-sample real-GIAB accuracy) and</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 6b</w:t>
      </w:r>
      <w:r>
        <w:rPr>
          <w:rFonts w:ascii="Times New Roman" w:hAnsi="Times New Roman" w:cs="Times New Roman" w:eastAsia="Times New Roman"/>
        </w:rPr>
        <w:t xml:space="preserve"> </w:t>
      </w:r>
      <w:r>
        <w:rPr>
          <w:rFonts w:ascii="Times New Roman" w:hAnsi="Times New Roman" w:cs="Times New Roman" w:eastAsia="Times New Roman"/>
        </w:rPr>
        <w:t xml:space="preserve">(three-way coverage sweep). Default engine = the reference-faithful</w:t>
      </w:r>
      <w:r>
        <w:rPr>
          <w:rFonts w:ascii="Times New Roman" w:hAnsi="Times New Roman" w:cs="Times New Roman" w:eastAsia="Times New Roman"/>
        </w:rPr>
        <w:t xml:space="preserve"> </w:t>
      </w:r>
      <w:r>
        <w:rPr>
          <w:rFonts w:ascii="Times New Roman" w:hAnsi="Times New Roman" w:cs="Times New Roman" w:eastAsia="Times New Roman"/>
        </w:rPr>
        <w:t xml:space="preserve">8-founder phasing HMM run every iteration (opt 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with</w:t>
      </w:r>
      <w:r>
        <w:rPr>
          <w:rFonts w:ascii="Times New Roman" w:hAnsi="Times New Roman" w:cs="Times New Roman" w:eastAsia="Times New Roman"/>
        </w:rPr>
        <w:t xml:space="preserve"> </w:t>
      </w:r>
      <w:r>
        <w:rPr>
          <w:rFonts w:ascii="Times New Roman" w:hAnsi="Times New Roman" w:cs="Times New Roman" w:eastAsia="Times New Roman"/>
        </w:rPr>
        <w:t xml:space="preserve">band-mode recombination (default; Methods). All rows compute genotype likelihoods</w:t>
      </w:r>
      <w:r>
        <w:rPr>
          <w:rFonts w:ascii="Times New Roman" w:hAnsi="Times New Roman" w:cs="Times New Roman" w:eastAsia="Times New Roman"/>
        </w:rPr>
        <w:t xml:space="preserve"> </w:t>
      </w:r>
      <w:r>
        <w:rPr>
          <w:rFonts w:ascii="Times New Roman" w:hAnsi="Times New Roman" w:cs="Times New Roman" w:eastAsia="Times New Roman"/>
        </w:rPr>
        <w:t xml:space="preserve">from the BAM with each tool's own in-process pileup (no external caller) and score</w:t>
      </w:r>
      <w:r>
        <w:rPr>
          <w:rFonts w:ascii="Times New Roman" w:hAnsi="Times New Roman" w:cs="Times New Roman" w:eastAsia="Times New Roman"/>
        </w:rPr>
        <w:t xml:space="preserve"> </w:t>
      </w:r>
      <w:r>
        <w:rPr>
          <w:rFonts w:ascii="Times New Roman" w:hAnsi="Times New Roman" w:cs="Times New Roman" w:eastAsia="Times New Roman"/>
        </w:rPr>
        <w:t xml:space="preserve">on the identical site set across the compared tools.</w:t>
      </w:r>
    </w:p>
    <w:p>
      <w:pPr>
        <w:pStyle w:val="BodyText"/>
        <w:jc w:val="both"/>
      </w:pPr>
      <w:r>
        <w:rPr>
          <w:rFonts w:ascii="Times New Roman" w:hAnsi="Times New Roman" w:cs="Times New Roman" w:eastAsia="Times New Roman"/>
          <w:b/>
          <w:bCs/>
        </w:rPr>
        <w:t xml:space="preserve">S4a. Per-sample real-GIAB accuracy (= main-text Table 6).</w:t>
      </w:r>
      <w:r>
        <w:rPr>
          <w:rFonts w:ascii="Times New Roman" w:hAnsi="Times New Roman" w:cs="Times New Roman" w:eastAsia="Times New Roman"/>
        </w:rPr>
        <w:t xml:space="preserve"> </w:t>
      </w:r>
      <w:r>
        <w:rPr>
          <w:rFonts w:ascii="Times New Roman" w:hAnsi="Times New Roman" w:cs="Times New Roman" w:eastAsia="Times New Roman"/>
        </w:rPr>
        <w:t xml:space="preserve">Six GIAB samples</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NovaSeq PCR-free 30× downsampled to ~1.8× chromosome 22, imputed</w:t>
      </w:r>
      <w:r>
        <w:rPr>
          <w:rFonts w:ascii="Times New Roman" w:hAnsi="Times New Roman" w:cs="Times New Roman" w:eastAsia="Times New Roman"/>
        </w:rPr>
        <w:t xml:space="preserve"> </w:t>
      </w:r>
      <w:r>
        <w:rPr>
          <w:rFonts w:ascii="Times New Roman" w:hAnsi="Times New Roman" w:cs="Times New Roman" w:eastAsia="Times New Roman"/>
        </w:rPr>
        <w:t xml:space="preserve">independently against the 4,478-haplotype (2,239-sample) no-trios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panel. Per-sample dosage R² over the high-confidence variant sites carrying a</w:t>
      </w:r>
      <w:r>
        <w:rPr>
          <w:rFonts w:ascii="Times New Roman" w:hAnsi="Times New Roman" w:cs="Times New Roman" w:eastAsia="Times New Roman"/>
        </w:rPr>
        <w:t xml:space="preserve"> </w:t>
      </w:r>
      <w:r>
        <w:rPr>
          <w:rFonts w:ascii="Times New Roman" w:hAnsi="Times New Roman" w:cs="Times New Roman" w:eastAsia="Times New Roman"/>
        </w:rPr>
        <w:t xml:space="preserve">non-reference allele (≈37-40k per sample), identical site set for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87"/>
        <w:gridCol w:w="1790"/>
        <w:gridCol w:w="2209"/>
        <w:gridCol w:w="1787"/>
        <w:gridCol w:w="1787"/>
      </w:tblGrid>
      <w:tr>
        <w:trPr>
          <w:tblHeader w:val="on"/>
        </w:trPr>
        <w:tc>
          <w:tcPr>
            <w:shd w:val="clear" w:color="auto" w:fill="595959"/>
            <w:vAlign w:val="center"/>
            <w:tcW w:type="dxa" w:w="1787"/>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17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787"/>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1787"/>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1790"/>
          </w:tcPr>
          <w:p>
            <w:pPr>
              <w:pStyle w:val="Compact"/>
              <w:jc w:val="center"/>
            </w:pPr>
            <w:r>
              <w:rPr>
                <w:rFonts w:ascii="Times New Roman" w:hAnsi="Times New Roman" w:cs="Times New Roman" w:eastAsia="Times New Roman"/>
                <w:b/>
                <w:bCs/>
                <w:sz w:val="20"/>
              </w:rPr>
              <w:t xml:space="preserve">0.9457</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1790"/>
          </w:tcPr>
          <w:p>
            <w:pPr>
              <w:pStyle w:val="Compact"/>
              <w:jc w:val="center"/>
            </w:pPr>
            <w:r>
              <w:rPr>
                <w:rFonts w:ascii="Times New Roman" w:hAnsi="Times New Roman" w:cs="Times New Roman" w:eastAsia="Times New Roman"/>
                <w:b/>
                <w:bCs/>
                <w:sz w:val="20"/>
              </w:rPr>
              <w:t xml:space="preserve">0.9515</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1790"/>
          </w:tcPr>
          <w:p>
            <w:pPr>
              <w:pStyle w:val="Compact"/>
              <w:jc w:val="center"/>
            </w:pPr>
            <w:r>
              <w:rPr>
                <w:rFonts w:ascii="Times New Roman" w:hAnsi="Times New Roman" w:cs="Times New Roman" w:eastAsia="Times New Roman"/>
                <w:b/>
                <w:bCs/>
                <w:sz w:val="20"/>
              </w:rPr>
              <w:t xml:space="preserve">0.9479</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1790"/>
          </w:tcPr>
          <w:p>
            <w:pPr>
              <w:pStyle w:val="Compact"/>
              <w:jc w:val="center"/>
            </w:pPr>
            <w:r>
              <w:rPr>
                <w:rFonts w:ascii="Times New Roman" w:hAnsi="Times New Roman" w:cs="Times New Roman" w:eastAsia="Times New Roman"/>
                <w:b/>
                <w:bCs/>
                <w:sz w:val="20"/>
              </w:rPr>
              <w:t xml:space="preserve">0.9455</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1790"/>
          </w:tcPr>
          <w:p>
            <w:pPr>
              <w:pStyle w:val="Compact"/>
              <w:jc w:val="center"/>
            </w:pPr>
            <w:r>
              <w:rPr>
                <w:rFonts w:ascii="Times New Roman" w:hAnsi="Times New Roman" w:cs="Times New Roman" w:eastAsia="Times New Roman"/>
                <w:b/>
                <w:bCs/>
                <w:sz w:val="20"/>
              </w:rPr>
              <w:t xml:space="preserve">0.9547</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1790"/>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790"/>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0.9455</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FINAL</w:t>
            </w:r>
          </w:p>
        </w:tc>
      </w:tr>
    </w:tbl>
    <w:p>
      <w:pPr>
        <w:pStyle w:val="BodyText"/>
        <w:jc w:val="both"/>
      </w:pPr>
      <w:r>
        <w:rPr>
          <w:rFonts w:ascii="Times New Roman" w:hAnsi="Times New Roman" w:cs="Times New Roman" w:eastAsia="Times New Roman"/>
          <w:b/>
          <w:bCs/>
        </w:rPr>
        <w:t xml:space="preserve">S4b. Three-way coverage sweep (= main-text Table 6b).</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 R²</w:t>
      </w:r>
      <w:r>
        <w:rPr>
          <w:rFonts w:ascii="Times New Roman" w:hAnsi="Times New Roman" w:cs="Times New Roman" w:eastAsia="Times New Roman"/>
        </w:rPr>
        <w:t xml:space="preserve"> </w:t>
      </w:r>
      <w:r>
        <w:rPr>
          <w:rFonts w:ascii="Times New Roman" w:hAnsi="Times New Roman" w:cs="Times New Roman" w:eastAsia="Times New Roman"/>
        </w:rPr>
        <w:t xml:space="preserve">over GIAB HG002/HG003/HG004 downsampled to each depth over chr22:20-30 Mb, imputed</w:t>
      </w:r>
      <w:r>
        <w:rPr>
          <w:rFonts w:ascii="Times New Roman" w:hAnsi="Times New Roman" w:cs="Times New Roman" w:eastAsia="Times New Roman"/>
        </w:rPr>
        <w:t xml:space="preserve"> </w:t>
      </w:r>
      <w:r>
        <w:rPr>
          <w:rFonts w:ascii="Times New Roman" w:hAnsi="Times New Roman" w:cs="Times New Roman" w:eastAsia="Times New Roman"/>
        </w:rPr>
        <w:t xml:space="preserve">against a leak-free 1000 Genomes panel (6,332 haplotypes), scored (reference-homozygous</w:t>
      </w:r>
      <w:r>
        <w:rPr>
          <w:rFonts w:ascii="Times New Roman" w:hAnsi="Times New Roman" w:cs="Times New Roman" w:eastAsia="Times New Roman"/>
        </w:rPr>
        <w:t xml:space="preserve"> </w:t>
      </w:r>
      <w:r>
        <w:rPr>
          <w:rFonts w:ascii="Times New Roman" w:hAnsi="Times New Roman" w:cs="Times New Roman" w:eastAsia="Times New Roman"/>
        </w:rPr>
        <w:t xml:space="preserve">sites as dosage zero) on the set of sites imputed by all three tools. Overall and</w:t>
      </w:r>
      <w:r>
        <w:rPr>
          <w:rFonts w:ascii="Times New Roman" w:hAnsi="Times New Roman" w:cs="Times New Roman" w:eastAsia="Times New Roman"/>
        </w:rPr>
        <w:t xml:space="preserve"> </w:t>
      </w:r>
      <w:r>
        <w:rPr>
          <w:rFonts w:ascii="Times New Roman" w:hAnsi="Times New Roman" w:cs="Times New Roman" w:eastAsia="Times New Roman"/>
        </w:rPr>
        <w:t xml:space="preserve">ultra-rare (MAF 0-0.5%).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236"/>
        <w:gridCol w:w="2535"/>
        <w:gridCol w:w="1000"/>
        <w:gridCol w:w="1236"/>
        <w:gridCol w:w="1000"/>
        <w:gridCol w:w="1353"/>
        <w:gridCol w:w="1000"/>
      </w:tblGrid>
      <w:tr>
        <w:trPr>
          <w:tblHeader w:val="on"/>
        </w:trPr>
        <w:tc>
          <w:tcPr>
            <w:shd w:val="clear" w:color="auto" w:fill="595959"/>
            <w:vAlign w:val="center"/>
            <w:tcW w:type="dxa" w:w="123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535"/>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00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236"/>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000"/>
          </w:tcPr>
          <w:p>
            <w:pPr>
              <w:pStyle w:val="Compact"/>
              <w:jc w:val="center"/>
            </w:pPr>
            <w:r>
              <w:rPr>
                <w:rFonts w:ascii="Times New Roman" w:hAnsi="Times New Roman" w:cs="Times New Roman" w:eastAsia="Times New Roman"/>
                <w:b/>
                <w:color w:val="FFFFFF"/>
                <w:sz w:val="20"/>
              </w:rPr>
              <w:t xml:space="preserve">QUILT2 R²</w:t>
            </w:r>
          </w:p>
        </w:tc>
        <w:tc>
          <w:tcPr>
            <w:shd w:val="clear" w:color="auto" w:fill="595959"/>
            <w:vAlign w:val="center"/>
            <w:tcW w:type="dxa" w:w="1353"/>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100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1236"/>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535"/>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000"/>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123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0.9919</w:t>
            </w:r>
          </w:p>
        </w:tc>
        <w:tc>
          <w:tcPr>
            <w:shd w:val="clear" w:color="auto" w:fill="FFFFFF"/>
            <w:vAlign w:val="center"/>
            <w:tcW w:type="dxa" w:w="1353"/>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236"/>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535"/>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000"/>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123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0.9944</w:t>
            </w:r>
          </w:p>
        </w:tc>
        <w:tc>
          <w:tcPr>
            <w:shd w:val="clear" w:color="auto" w:fill="E7E6E6"/>
            <w:vAlign w:val="center"/>
            <w:tcW w:type="dxa" w:w="1353"/>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236"/>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535"/>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000"/>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123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0.9968</w:t>
            </w:r>
          </w:p>
        </w:tc>
        <w:tc>
          <w:tcPr>
            <w:shd w:val="clear" w:color="auto" w:fill="FFFFFF"/>
            <w:vAlign w:val="center"/>
            <w:tcW w:type="dxa" w:w="1353"/>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236"/>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535"/>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000"/>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123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0.9973</w:t>
            </w:r>
          </w:p>
        </w:tc>
        <w:tc>
          <w:tcPr>
            <w:shd w:val="clear" w:color="auto" w:fill="E7E6E6"/>
            <w:vAlign w:val="center"/>
            <w:tcW w:type="dxa" w:w="1353"/>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236"/>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535"/>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123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0.8864</w:t>
            </w:r>
          </w:p>
        </w:tc>
        <w:tc>
          <w:tcPr>
            <w:shd w:val="clear" w:color="auto" w:fill="FFFFFF"/>
            <w:vAlign w:val="center"/>
            <w:tcW w:type="dxa" w:w="1353"/>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236"/>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535"/>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1236"/>
          </w:tcPr>
          <w:p>
            <w:pPr>
              <w:pStyle w:val="Compact"/>
              <w:jc w:val="center"/>
            </w:pPr>
            <w:r>
              <w:rPr>
                <w:rFonts w:ascii="Times New Roman" w:hAnsi="Times New Roman" w:cs="Times New Roman" w:eastAsia="Times New Roman"/>
                <w:b/>
                <w:bCs/>
                <w:sz w:val="20"/>
              </w:rPr>
              <w:t xml:space="preserve">0.9252</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0.9150</w:t>
            </w:r>
          </w:p>
        </w:tc>
        <w:tc>
          <w:tcPr>
            <w:shd w:val="clear" w:color="auto" w:fill="E7E6E6"/>
            <w:vAlign w:val="center"/>
            <w:tcW w:type="dxa" w:w="1353"/>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236"/>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535"/>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000"/>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123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0.9415</w:t>
            </w:r>
          </w:p>
        </w:tc>
        <w:tc>
          <w:tcPr>
            <w:shd w:val="clear" w:color="auto" w:fill="FFFFFF"/>
            <w:vAlign w:val="center"/>
            <w:tcW w:type="dxa" w:w="1353"/>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236"/>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535"/>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000"/>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123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0.9437</w:t>
            </w:r>
          </w:p>
        </w:tc>
        <w:tc>
          <w:tcPr>
            <w:shd w:val="clear" w:color="auto" w:fill="E7E6E6"/>
            <w:vAlign w:val="center"/>
            <w:tcW w:type="dxa" w:w="1353"/>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FINAL</w:t>
            </w:r>
          </w:p>
        </w:tc>
      </w:tr>
    </w:tbl>
    <w:p>
      <w:pPr>
        <w:pStyle w:val="BlockText"/>
        <w:jc w:val="both"/>
      </w:pPr>
      <w:r>
        <w:rPr>
          <w:rFonts w:ascii="Times New Roman" w:hAnsi="Times New Roman" w:cs="Times New Roman" w:eastAsia="Times New Roman"/>
        </w:rPr>
        <w:t xml:space="preserve">Earlier lcWGS benchmark rounds (simulated 54-sample chr22 sets, and a 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large-panel multi-coverage sweep) were superseded by the real-read measurements above</w:t>
      </w:r>
      <w:r>
        <w:rPr>
          <w:rFonts w:ascii="Times New Roman" w:hAnsi="Times New Roman" w:cs="Times New Roman" w:eastAsia="Times New Roman"/>
        </w:rPr>
        <w:t xml:space="preserve"> </w:t>
      </w:r>
      <w:r>
        <w:rPr>
          <w:rFonts w:ascii="Times New Roman" w:hAnsi="Times New Roman" w:cs="Times New Roman" w:eastAsia="Times New Roman"/>
        </w:rPr>
        <w:t xml:space="preserve">and are not reproduced here; the real-GIAB numbers are the ones reported in the paper.</w:t>
      </w:r>
    </w:p>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1218"/>
        <w:gridCol w:w="1089"/>
        <w:gridCol w:w="1089"/>
        <w:gridCol w:w="1346"/>
        <w:gridCol w:w="1463"/>
        <w:gridCol w:w="1346"/>
        <w:gridCol w:w="1089"/>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218"/>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089"/>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089"/>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346"/>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463"/>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346"/>
          </w:tcPr>
          <w:p>
            <w:pPr>
              <w:pStyle w:val="Compact"/>
              <w:jc w:val="center"/>
            </w:pPr>
            <w:r>
              <w:rPr>
                <w:rFonts w:ascii="Times New Roman" w:hAnsi="Times New Roman" w:cs="Times New Roman" w:eastAsia="Times New Roman"/>
                <w:b/>
                <w:color w:val="FFFFFF"/>
                <w:sz w:val="20"/>
              </w:rPr>
              <w:t xml:space="preserve">vs SHAPEIT5</w:t>
            </w:r>
          </w:p>
        </w:tc>
        <w:tc>
          <w:tcPr>
            <w:shd w:val="clear" w:color="auto" w:fill="595959"/>
            <w:vAlign w:val="center"/>
            <w:tcW w:type="dxa" w:w="1089"/>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21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089"/>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089"/>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346"/>
          </w:tcPr>
          <w:p>
            <w:pPr>
              <w:pStyle w:val="Compact"/>
              <w:jc w:val="center"/>
            </w:pPr>
            <w:r>
              <w:rPr>
                <w:rFonts w:ascii="Times New Roman" w:hAnsi="Times New Roman" w:cs="Times New Roman" w:eastAsia="Times New Roman"/>
                <w:sz w:val="20"/>
              </w:rPr>
              <w:t xml:space="preserve">2.611</w:t>
            </w:r>
          </w:p>
        </w:tc>
        <w:tc>
          <w:tcPr>
            <w:shd w:val="clear" w:color="auto" w:fill="FFFFFF"/>
            <w:vAlign w:val="center"/>
            <w:tcW w:type="dxa" w:w="1463"/>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346"/>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089"/>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21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089"/>
          </w:tcPr>
          <w:p>
            <w:pPr>
              <w:pStyle w:val="Compact"/>
              <w:jc w:val="center"/>
            </w:pPr>
            <w:r>
              <w:rPr>
                <w:rFonts w:ascii="Times New Roman" w:hAnsi="Times New Roman" w:cs="Times New Roman" w:eastAsia="Times New Roman"/>
                <w:b/>
                <w:bCs/>
                <w:sz w:val="20"/>
              </w:rPr>
              <w:t xml:space="preserve">2.569</w:t>
            </w:r>
          </w:p>
        </w:tc>
        <w:tc>
          <w:tcPr>
            <w:shd w:val="clear" w:color="auto" w:fill="E7E6E6"/>
            <w:vAlign w:val="center"/>
            <w:tcW w:type="dxa" w:w="1089"/>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346"/>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463"/>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346"/>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089"/>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089"/>
          </w:tcPr>
          <w:p>
            <w:pPr>
              <w:pStyle w:val="Compact"/>
              <w:jc w:val="center"/>
            </w:pPr>
            <w:r>
              <w:rPr>
                <w:rFonts w:ascii="Times New Roman" w:hAnsi="Times New Roman" w:cs="Times New Roman" w:eastAsia="Times New Roman"/>
                <w:b/>
                <w:bCs/>
                <w:sz w:val="20"/>
              </w:rPr>
              <w:t xml:space="preserve">1.876</w:t>
            </w:r>
          </w:p>
        </w:tc>
        <w:tc>
          <w:tcPr>
            <w:shd w:val="clear" w:color="auto" w:fill="FFFFFF"/>
            <w:vAlign w:val="center"/>
            <w:tcW w:type="dxa" w:w="1089"/>
          </w:tcPr>
          <w:p>
            <w:pPr>
              <w:pStyle w:val="Compact"/>
              <w:jc w:val="center"/>
            </w:pPr>
            <w:r>
              <w:rPr>
                <w:rFonts w:ascii="Times New Roman" w:hAnsi="Times New Roman" w:cs="Times New Roman" w:eastAsia="Times New Roman"/>
                <w:sz w:val="20"/>
              </w:rPr>
              <w:t xml:space="preserve">1.865</w:t>
            </w:r>
          </w:p>
        </w:tc>
        <w:tc>
          <w:tcPr>
            <w:shd w:val="clear" w:color="auto" w:fill="FFFFFF"/>
            <w:vAlign w:val="center"/>
            <w:tcW w:type="dxa" w:w="1346"/>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463"/>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346"/>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089"/>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21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089"/>
          </w:tcPr>
          <w:p>
            <w:pPr>
              <w:pStyle w:val="Compact"/>
              <w:jc w:val="center"/>
            </w:pPr>
            <w:r>
              <w:rPr>
                <w:rFonts w:ascii="Times New Roman" w:hAnsi="Times New Roman" w:cs="Times New Roman" w:eastAsia="Times New Roman"/>
                <w:b/>
                <w:bCs/>
                <w:sz w:val="20"/>
              </w:rPr>
              <w:t xml:space="preserve">1.876</w:t>
            </w:r>
          </w:p>
        </w:tc>
        <w:tc>
          <w:tcPr>
            <w:shd w:val="clear" w:color="auto" w:fill="E7E6E6"/>
            <w:vAlign w:val="center"/>
            <w:tcW w:type="dxa" w:w="1089"/>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346"/>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463"/>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346"/>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089"/>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634"/>
        <w:gridCol w:w="974"/>
        <w:gridCol w:w="1240"/>
        <w:gridCol w:w="1417"/>
        <w:gridCol w:w="1205"/>
        <w:gridCol w:w="890"/>
      </w:tblGrid>
      <w:tr>
        <w:trPr>
          <w:tblHeader w:val="on"/>
        </w:trPr>
        <w:tc>
          <w:tcPr>
            <w:shd w:val="clear" w:color="auto" w:fill="595959"/>
            <w:vAlign w:val="center"/>
            <w:tcW w:type="dxa" w:w="3634"/>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974"/>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24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417"/>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7.2 s</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Beagle 5: 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6.2 GB</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Beagle 5: 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38.8 s</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Beagle 5: 43.2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16.3 GB</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Beagle 5: 39.2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69 s / 82 s</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13.2 / 13.1 GB</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373 s / 437 s</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11,289 s (~3.1 h)</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65.5 GB</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lcWGS whole-chr22, 1 sample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w:t>
            </w:r>
            <w:r>
              <w:rPr>
                <w:rFonts w:ascii="Times New Roman" w:hAnsi="Times New Roman" w:cs="Times New Roman" w:eastAsia="Times New Roman"/>
                <w:sz w:val="20"/>
              </w:rPr>
              <w:t xml:space="preserve">× (= Fig 3c)</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115 s</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GLIMPSE2: 287 s; QUILT2: 1,729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lcWGS single-sample (chr22), real GIAB ~1.8×</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~2:01</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GLIMPSE2: ~5:22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lcWGS single-sample (chr22), real GIAB</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~3.3 GB</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GLIMPSE2: ~2.1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lcWGS 54-sample multi-sample whole-chr22 (simulated; only regime Selphi is slower)</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41:50</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GLIMPSE2: 21:36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2:10-2:34</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GLIMPSE2: 4:41-4:49</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~2.9-3.2 GB</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GLIMPSE2: ~2.2-2.6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31 s (fast) / 51 s (default)</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GLIMPSE2: 102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 to 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20"/>
        <w:gridCol w:w="1710"/>
        <w:gridCol w:w="1710"/>
        <w:gridCol w:w="1710"/>
        <w:gridCol w:w="1710"/>
      </w:tblGrid>
      <w:tr>
        <w:trPr>
          <w:tblHeader w:val="on"/>
        </w:trPr>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Selphi 2</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SHAPEIT5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versus its original published phasing; the same Selphi-phased</w:t>
      </w:r>
      <w:r>
        <w:rPr>
          <w:rFonts w:ascii="Times New Roman" w:hAnsi="Times New Roman" w:cs="Times New Roman" w:eastAsia="Times New Roman"/>
        </w:rPr>
        <w:t xml:space="preserve"> </w:t>
      </w:r>
      <w:r>
        <w:rPr>
          <w:rFonts w:ascii="Times New Roman" w:hAnsi="Times New Roman" w:cs="Times New Roman" w:eastAsia="Times New Roman"/>
        </w:rPr>
        <w:t xml:space="preserve">target is imputed against each panel. Re-phasing a well-phased panel is</w:t>
      </w:r>
      <w:r>
        <w:rPr>
          <w:rFonts w:ascii="Times New Roman" w:hAnsi="Times New Roman" w:cs="Times New Roman" w:eastAsia="Times New Roman"/>
        </w:rPr>
        <w:t xml:space="preserve"> </w:t>
      </w:r>
      <w:r>
        <w:rPr>
          <w:rFonts w:ascii="Times New Roman" w:hAnsi="Times New Roman" w:cs="Times New Roman" w:eastAsia="Times New Roman"/>
        </w:rPr>
        <w:t xml:space="preserve">net-negative on overall R², driven entirely by the rarest bins (it helps common</w:t>
      </w:r>
      <w:r>
        <w:rPr>
          <w:rFonts w:ascii="Times New Roman" w:hAnsi="Times New Roman" w:cs="Times New Roman" w:eastAsia="Times New Roman"/>
        </w:rPr>
        <w:t xml:space="preserve"> </w:t>
      </w:r>
      <w:r>
        <w:rPr>
          <w:rFonts w:ascii="Times New Roman" w:hAnsi="Times New Roman" w:cs="Times New Roman" w:eastAsia="Times New Roman"/>
        </w:rPr>
        <w:t xml:space="preserve">variants but loses rare-allele fidelity), so a panel's published phasing is best</w:t>
      </w:r>
      <w:r>
        <w:rPr>
          <w:rFonts w:ascii="Times New Roman" w:hAnsi="Times New Roman" w:cs="Times New Roman" w:eastAsia="Times New Roman"/>
        </w:rPr>
        <w:t xml:space="preserve"> </w:t>
      </w:r>
      <w:r>
        <w:rPr>
          <w:rFonts w:ascii="Times New Roman" w:hAnsi="Times New Roman" w:cs="Times New Roman" w:eastAsia="Times New Roman"/>
        </w:rPr>
        <w:t xml:space="preserve">retained.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26"/>
        <w:gridCol w:w="1197"/>
        <w:gridCol w:w="1998"/>
        <w:gridCol w:w="1083"/>
        <w:gridCol w:w="1540"/>
        <w:gridCol w:w="2116"/>
      </w:tblGrid>
      <w:tr>
        <w:trPr>
          <w:tblHeader w:val="on"/>
        </w:trPr>
        <w:tc>
          <w:tcPr>
            <w:shd w:val="clear" w:color="auto" w:fill="595959"/>
            <w:vAlign w:val="center"/>
            <w:tcW w:type="dxa" w:w="1426"/>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197"/>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1998"/>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083"/>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540"/>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2116"/>
          </w:tcPr>
          <w:p>
            <w:pPr>
              <w:pStyle w:val="Compact"/>
              <w:jc w:val="center"/>
            </w:pPr>
            <w:r>
              <w:rPr>
                <w:rFonts w:ascii="Times New Roman" w:hAnsi="Times New Roman" w:cs="Times New Roman" w:eastAsia="Times New Roman"/>
                <w:b/>
                <w:color w:val="FFFFFF"/>
                <w:sz w:val="20"/>
              </w:rPr>
              <w:t xml:space="preserve">common-bin Δ (0.5-50%)</w:t>
            </w:r>
          </w:p>
        </w:tc>
      </w:tr>
      <w:tr>
        <w:tc>
          <w:tcPr>
            <w:shd w:val="clear" w:color="auto" w:fill="FFFFFF"/>
            <w:vAlign w:val="center"/>
            <w:tcW w:type="dxa" w:w="1426"/>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197"/>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998"/>
          </w:tcPr>
          <w:p>
            <w:pPr>
              <w:pStyle w:val="Compact"/>
              <w:jc w:val="center"/>
            </w:pPr>
            <w:r>
              <w:rPr>
                <w:rFonts w:ascii="Times New Roman" w:hAnsi="Times New Roman" w:cs="Times New Roman" w:eastAsia="Times New Roman"/>
                <w:sz w:val="20"/>
              </w:rPr>
              <w:t xml:space="preserve">0.4696</w:t>
            </w:r>
          </w:p>
        </w:tc>
        <w:tc>
          <w:tcPr>
            <w:shd w:val="clear" w:color="auto" w:fill="FFFFFF"/>
            <w:vAlign w:val="center"/>
            <w:tcW w:type="dxa" w:w="1083"/>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540"/>
          </w:tcPr>
          <w:p>
            <w:pPr>
              <w:pStyle w:val="Compact"/>
              <w:jc w:val="center"/>
            </w:pPr>
            <w:r>
              <w:rPr>
                <w:rFonts w:ascii="Times New Roman" w:hAnsi="Times New Roman" w:cs="Times New Roman" w:eastAsia="Times New Roman"/>
                <w:sz w:val="20"/>
              </w:rPr>
              <w:t xml:space="preserve">-0.014</w:t>
            </w:r>
          </w:p>
        </w:tc>
        <w:tc>
          <w:tcPr>
            <w:shd w:val="clear" w:color="auto" w:fill="FFFFFF"/>
            <w:vAlign w:val="center"/>
            <w:tcW w:type="dxa" w:w="2116"/>
          </w:tcPr>
          <w:p>
            <w:pPr>
              <w:pStyle w:val="Compact"/>
              <w:jc w:val="center"/>
            </w:pPr>
            <w:r>
              <w:rPr>
                <w:rFonts w:ascii="Times New Roman" w:hAnsi="Times New Roman" w:cs="Times New Roman" w:eastAsia="Times New Roman"/>
                <w:sz w:val="20"/>
              </w:rPr>
              <w:t xml:space="preserve">+0.001 to +0.004</w:t>
            </w:r>
          </w:p>
        </w:tc>
      </w:tr>
      <w:tr>
        <w:tc>
          <w:tcPr>
            <w:shd w:val="clear" w:color="auto" w:fill="E7E6E6"/>
            <w:vAlign w:val="center"/>
            <w:tcW w:type="dxa" w:w="1426"/>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197"/>
          </w:tcPr>
          <w:p>
            <w:pPr>
              <w:pStyle w:val="Compact"/>
              <w:jc w:val="center"/>
            </w:pPr>
            <w:r>
              <w:rPr>
                <w:rFonts w:ascii="Times New Roman" w:hAnsi="Times New Roman" w:cs="Times New Roman" w:eastAsia="Times New Roman"/>
                <w:sz w:val="20"/>
              </w:rPr>
              <w:t xml:space="preserve">0.4821</w:t>
            </w:r>
          </w:p>
        </w:tc>
        <w:tc>
          <w:tcPr>
            <w:shd w:val="clear" w:color="auto" w:fill="E7E6E6"/>
            <w:vAlign w:val="center"/>
            <w:tcW w:type="dxa" w:w="1998"/>
          </w:tcPr>
          <w:p>
            <w:pPr>
              <w:pStyle w:val="Compact"/>
              <w:jc w:val="center"/>
            </w:pPr>
            <w:r>
              <w:rPr>
                <w:rFonts w:ascii="Times New Roman" w:hAnsi="Times New Roman" w:cs="Times New Roman" w:eastAsia="Times New Roman"/>
                <w:sz w:val="20"/>
              </w:rPr>
              <w:t xml:space="preserve">0.4788</w:t>
            </w:r>
          </w:p>
        </w:tc>
        <w:tc>
          <w:tcPr>
            <w:shd w:val="clear" w:color="auto" w:fill="E7E6E6"/>
            <w:vAlign w:val="center"/>
            <w:tcW w:type="dxa" w:w="1083"/>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540"/>
          </w:tcPr>
          <w:p>
            <w:pPr>
              <w:pStyle w:val="Compact"/>
              <w:jc w:val="center"/>
            </w:pPr>
            <w:r>
              <w:rPr>
                <w:rFonts w:ascii="Times New Roman" w:hAnsi="Times New Roman" w:cs="Times New Roman" w:eastAsia="Times New Roman"/>
                <w:sz w:val="20"/>
              </w:rPr>
              <w:t xml:space="preserve">-0.013</w:t>
            </w:r>
          </w:p>
        </w:tc>
        <w:tc>
          <w:tcPr>
            <w:shd w:val="clear" w:color="auto" w:fill="E7E6E6"/>
            <w:vAlign w:val="center"/>
            <w:tcW w:type="dxa" w:w="2116"/>
          </w:tcPr>
          <w:p>
            <w:pPr>
              <w:pStyle w:val="Compact"/>
              <w:jc w:val="center"/>
            </w:pPr>
            <w:r>
              <w:rPr>
                <w:rFonts w:ascii="Times New Roman" w:hAnsi="Times New Roman" w:cs="Times New Roman" w:eastAsia="Times New Roman"/>
                <w:sz w:val="20"/>
              </w:rPr>
              <w:t xml:space="preserve">+0.001 to +0.003</w:t>
            </w:r>
          </w:p>
        </w:tc>
      </w:tr>
    </w:tbl>
    <w:p>
      <w:pPr>
        <w:pStyle w:val="Heading2"/>
        <w:jc w:val="both"/>
      </w:pPr>
      <w:r>
        <w:rPr>
          <w:rFonts w:ascii="Times New Roman" w:hAnsi="Times New Roman" w:cs="Times New Roman" w:eastAsia="Times New Roman"/>
        </w:rPr>
        <w:t xml:space="preserve">Table S9. Genome-wide per-MAF R² underlying Figure 2a (1KG, four-way)</w:t>
      </w:r>
    </w:p>
    <w:p>
      <w:pPr>
        <w:pStyle w:val="FirstParagraph"/>
        <w:jc w:val="both"/>
      </w:pPr>
      <w:r>
        <w:rPr>
          <w:rFonts w:ascii="Times New Roman" w:hAnsi="Times New Roman" w:cs="Times New Roman" w:eastAsia="Times New Roman"/>
        </w:rPr>
        <w:t xml:space="preserve">Source data for Figure 2a: n-weighted imputation R² by MAF bin, aggregated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across 20 autosomes (chromosomes 8 and 11 excluded because Beagle aborted on a duplicate</w:t>
      </w:r>
      <w:r>
        <w:rPr>
          <w:rFonts w:ascii="Times New Roman" w:hAnsi="Times New Roman" w:cs="Times New Roman" w:eastAsia="Times New Roman"/>
        </w:rPr>
        <w:t xml:space="preserve"> </w:t>
      </w:r>
      <w:r>
        <w:rPr>
          <w:rFonts w:ascii="Times New Roman" w:hAnsi="Times New Roman" w:cs="Times New Roman" w:eastAsia="Times New Roman"/>
        </w:rPr>
        <w:t xml:space="preserve">panel marker, so all four tools span the identical chromosome set). 801 held-out 1000</w:t>
      </w:r>
      <w:r>
        <w:rPr>
          <w:rFonts w:ascii="Times New Roman" w:hAnsi="Times New Roman" w:cs="Times New Roman" w:eastAsia="Times New Roman"/>
        </w:rPr>
        <w:t xml:space="preserve"> </w:t>
      </w:r>
      <w:r>
        <w:rPr>
          <w:rFonts w:ascii="Times New Roman" w:hAnsi="Times New Roman" w:cs="Times New Roman" w:eastAsia="Times New Roman"/>
        </w:rPr>
        <w:t xml:space="preserve">Genomes samples, full phase-and-impute pipeline (Selphi 2 default diploid engine),</w:t>
      </w:r>
      <w:r>
        <w:rPr>
          <w:rFonts w:ascii="Times New Roman" w:hAnsi="Times New Roman" w:cs="Times New Roman" w:eastAsia="Times New Roman"/>
        </w:rPr>
        <w:t xml:space="preserve"> </w:t>
      </w:r>
      <w:r>
        <w:rPr>
          <w:rFonts w:ascii="Times New Roman" w:hAnsi="Times New Roman" w:cs="Times New Roman" w:eastAsia="Times New Roman"/>
        </w:rPr>
        <w:t xml:space="preserve">imputed against the 1000 Genomes Phase 3 panel; scored against WGS truth. The OVERALL</w:t>
      </w:r>
      <w:r>
        <w:rPr>
          <w:rFonts w:ascii="Times New Roman" w:hAnsi="Times New Roman" w:cs="Times New Roman" w:eastAsia="Times New Roman"/>
        </w:rPr>
        <w:t xml:space="preserve"> </w:t>
      </w:r>
      <w:r>
        <w:rPr>
          <w:rFonts w:ascii="Times New Roman" w:hAnsi="Times New Roman" w:cs="Times New Roman" w:eastAsia="Times New Roman"/>
        </w:rPr>
        <w:t xml:space="preserve">row matches the genome-wide aggregate reported in Results.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23"/>
        <w:gridCol w:w="1639"/>
        <w:gridCol w:w="1639"/>
        <w:gridCol w:w="1833"/>
        <w:gridCol w:w="2026"/>
      </w:tblGrid>
      <w:tr>
        <w:trPr>
          <w:tblHeader w:val="on"/>
        </w:trPr>
        <w:tc>
          <w:tcPr>
            <w:shd w:val="clear" w:color="auto" w:fill="595959"/>
            <w:vAlign w:val="center"/>
            <w:tcW w:type="dxa" w:w="2223"/>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639"/>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639"/>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833"/>
          </w:tcPr>
          <w:p>
            <w:pPr>
              <w:pStyle w:val="Compact"/>
              <w:jc w:val="center"/>
            </w:pPr>
            <w:r>
              <w:rPr>
                <w:rFonts w:ascii="Times New Roman" w:hAnsi="Times New Roman" w:cs="Times New Roman" w:eastAsia="Times New Roman"/>
                <w:b/>
                <w:color w:val="FFFFFF"/>
                <w:sz w:val="20"/>
              </w:rPr>
              <w:t xml:space="preserve">IMPUTE5</w:t>
            </w:r>
          </w:p>
        </w:tc>
        <w:tc>
          <w:tcPr>
            <w:shd w:val="clear" w:color="auto" w:fill="595959"/>
            <w:vAlign w:val="center"/>
            <w:tcW w:type="dxa" w:w="2026"/>
          </w:tcPr>
          <w:p>
            <w:pPr>
              <w:pStyle w:val="Compact"/>
              <w:jc w:val="center"/>
            </w:pPr>
            <w:r>
              <w:rPr>
                <w:rFonts w:ascii="Times New Roman" w:hAnsi="Times New Roman" w:cs="Times New Roman" w:eastAsia="Times New Roman"/>
                <w:b/>
                <w:color w:val="FFFFFF"/>
                <w:sz w:val="20"/>
              </w:rPr>
              <w:t xml:space="preserve">Minimac4</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0.3578</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0.3619</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0.3458</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0.3530</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0.4275</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0.4196</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0.4061</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0.4131</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0.5274</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0.5117</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0.5005</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0.5048</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0.6273</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0.6090</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0.5991</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0.6013</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0.6926</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0.6742</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0.6654</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0.6663</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0.7630</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0.7458</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0.7381</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0.7367</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0.8531</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0.8410</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0.8355</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0.8323</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0.8965</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0.8881</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0.8840</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0.8803</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0.9255</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0.9192</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0.9160</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0.9112</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0.5838</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0.5764</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0.5635</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0.5668</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29" Type="http://schemas.openxmlformats.org/officeDocument/2006/relationships/image" Target="media/rId29.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2026-07-08T17:37:13Z</dcterms:created>
  <dcterms:modified xsi:type="dcterms:W3CDTF">2026-07-08T17:37:13Z</dcterms:modified>
</cp:coreProperties>
</file>

<file path=docProps/custom.xml><?xml version="1.0" encoding="utf-8"?>
<Properties xmlns="http://schemas.openxmlformats.org/officeDocument/2006/custom-properties" xmlns:vt="http://schemas.openxmlformats.org/officeDocument/2006/docPropsVTypes"/>
</file>