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11d7828f568531cd325fa73f5ac668a04e4d64d"/>
    <w:p>
      <w:pPr>
        <w:pStyle w:val="Heading1"/>
      </w:pPr>
      <w:r>
        <w:rPr>
          <w:b/>
          <w:bCs/>
        </w:rPr>
        <w:t xml:space="preserve">Selphi 2: integrated phasing and whole-genome genotype imputation in a single Rust binary</w:t>
      </w:r>
    </w:p>
    <w:p>
      <w:pPr>
        <w:pStyle w:val="FirstParagraph"/>
      </w:pPr>
      <w:r>
        <w:t xml:space="preserve">Authors: Adriano De Marino</w:t>
      </w:r>
      <w:r>
        <w:rPr>
          <w:vertAlign w:val="superscript"/>
        </w:rPr>
        <w:t xml:space="preserve">1</w:t>
      </w:r>
      <w:r>
        <w:t xml:space="preserve">, Sandra Bohn</w:t>
      </w:r>
      <w:r>
        <w:rPr>
          <w:vertAlign w:val="superscript"/>
        </w:rPr>
        <w:t xml:space="preserve">1</w:t>
      </w:r>
      <w:r>
        <w:t xml:space="preserve">, Jon Lerga-Jaso</w:t>
      </w:r>
      <w:r>
        <w:rPr>
          <w:vertAlign w:val="superscript"/>
        </w:rPr>
        <w:t xml:space="preserve">1</w:t>
      </w:r>
      <w:r>
        <w:t xml:space="preserve">, Biljana Novković</w:t>
      </w:r>
      <w:r>
        <w:rPr>
          <w:vertAlign w:val="superscript"/>
        </w:rPr>
        <w:t xml:space="preserve">1</w:t>
      </w:r>
      <w:r>
        <w:t xml:space="preserve">, Andrew Terpolovsky</w:t>
      </w:r>
      <w:r>
        <w:rPr>
          <w:vertAlign w:val="superscript"/>
        </w:rPr>
        <w:t xml:space="preserve">1</w:t>
      </w:r>
      <w:r>
        <w:t xml:space="preserve">, Puya G. Yazdi</w:t>
      </w:r>
      <w:r>
        <w:rPr>
          <w:vertAlign w:val="superscript"/>
        </w:rPr>
        <w:t xml:space="preserve">1,*</w:t>
      </w:r>
    </w:p>
    <w:p>
      <w:pPr>
        <w:pStyle w:val="BodyText"/>
      </w:pPr>
      <w:r>
        <w:rPr>
          <w:vertAlign w:val="superscript"/>
        </w:rPr>
        <w:t xml:space="preserve">1</w:t>
      </w:r>
      <w:r>
        <w:t xml:space="preserve"> </w:t>
      </w:r>
      <w:r>
        <w:t xml:space="preserve">Research and Development, Omicsedge, Miami, FL, USA</w:t>
      </w:r>
    </w:p>
    <w:p>
      <w:pPr>
        <w:pStyle w:val="BodyText"/>
      </w:pPr>
      <w:r>
        <w:t xml:space="preserve">* Corresponding author: pyazdi@omicsedge.com</w:t>
      </w:r>
    </w:p>
    <w:bookmarkEnd w:id="9"/>
    <w:bookmarkStart w:id="10" w:name="abstract"/>
    <w:p>
      <w:pPr>
        <w:pStyle w:val="Heading1"/>
      </w:pPr>
      <w:r>
        <w:rPr>
          <w:b/>
          <w:bCs/>
        </w:rPr>
        <w:t xml:space="preserve">Abstract</w:t>
      </w:r>
    </w:p>
    <w:p>
      <w:pPr>
        <w:pStyle w:val="FirstParagraph"/>
      </w:pPr>
      <w: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r>
        <w:t xml:space="preserve"> </w:t>
      </w:r>
      <w:r>
        <w:rPr>
          <w:vertAlign w:val="superscript"/>
        </w:rPr>
        <w:t xml:space="preserve">1</w:t>
      </w:r>
      <w:r>
        <w:t xml:space="preserve"> </w:t>
      </w:r>
      <w: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r>
        <w:t xml:space="preserve"> </w:t>
      </w:r>
      <w:r>
        <w:rPr>
          <w:vertAlign w:val="superscript"/>
        </w:rPr>
        <w:t xml:space="preserve">2</w:t>
      </w:r>
      <w:r>
        <w:t xml:space="preserve"> </w:t>
      </w:r>
      <w:r>
        <w:t xml:space="preserve">on real low-coverage sequencing of six Genome in a Bottle reference samples (~1.8</w:t>
      </w:r>
      <m:oMath>
        <m:r>
          <m:rPr>
            <m:sty m:val="p"/>
          </m:rPr>
          <m:t>×</m:t>
        </m:r>
      </m:oMath>
      <w:r>
        <w:t xml:space="preserve"> </w:t>
      </w:r>
      <w:r>
        <w:t xml:space="preserve">chromosome 22, leak-free panel), it exceeds GLIMPSE2 in per-sample</w:t>
      </w:r>
      <w:r>
        <w:t xml:space="preserve"> </w:t>
      </w:r>
      <m:oMath>
        <m:sSup>
          <m:e>
            <m:r>
              <m:t>R</m:t>
            </m:r>
          </m:e>
          <m:sup>
            <m:r>
              <m:t>2</m:t>
            </m:r>
          </m:sup>
        </m:sSup>
      </m:oMath>
      <w:r>
        <w:t xml:space="preserve"> </w:t>
      </w:r>
      <w: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t xml:space="preserve"> </w:t>
      </w:r>
      <w:r>
        <w:t xml:space="preserve">faster than GLIMPSE2.</w:t>
      </w:r>
    </w:p>
    <w:bookmarkEnd w:id="10"/>
    <w:bookmarkStart w:id="14" w:name="introduction"/>
    <w:p>
      <w:pPr>
        <w:pStyle w:val="Heading1"/>
      </w:pPr>
      <w:r>
        <w:rPr>
          <w:b/>
          <w:bCs/>
        </w:rPr>
        <w:t xml:space="preserve">Introduction</w:t>
      </w:r>
    </w:p>
    <w:p>
      <w:pPr>
        <w:pStyle w:val="FirstParagraph"/>
      </w:pPr>
      <w: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r>
        <w:t xml:space="preserve"> </w:t>
      </w:r>
      <w:r>
        <w:rPr>
          <w:vertAlign w:val="superscript"/>
        </w:rPr>
        <w:t xml:space="preserve">3</w:t>
      </w:r>
      <w: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pPr>
      <w:r>
        <w:t xml:space="preserve">The dominant computational framework for genotype imputation is the Li and Stephens hidden Markov model (HMM)</w:t>
      </w:r>
      <w:r>
        <w:t xml:space="preserve"> </w:t>
      </w:r>
      <w:r>
        <w:rPr>
          <w:vertAlign w:val="superscript"/>
        </w:rPr>
        <w:t xml:space="preserve">4</w:t>
      </w:r>
      <w: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r>
        <w:t xml:space="preserve"> </w:t>
      </w:r>
      <w:r>
        <w:rPr>
          <w:vertAlign w:val="superscript"/>
        </w:rPr>
        <w:t xml:space="preserve">5</w:t>
      </w:r>
      <w:r>
        <w:t xml:space="preserve"> </w:t>
      </w:r>
      <w:r>
        <w:t xml:space="preserve">for haplotype matching. The current landscape of imputation software is anchored by three widely used tools: IMPUTE5</w:t>
      </w:r>
      <w:r>
        <w:t xml:space="preserve"> </w:t>
      </w:r>
      <w:r>
        <w:rPr>
          <w:vertAlign w:val="superscript"/>
        </w:rPr>
        <w:t xml:space="preserve">6</w:t>
      </w:r>
      <w:r>
        <w:t xml:space="preserve"> </w:t>
      </w:r>
      <w:r>
        <w:t xml:space="preserve">uses PBWT-based haplotype selection to achieve sub-linear scaling with panel size; Beagle</w:t>
      </w:r>
      <w:r>
        <w:t xml:space="preserve"> </w:t>
      </w:r>
      <w:r>
        <w:rPr>
          <w:vertAlign w:val="superscript"/>
        </w:rPr>
        <w:t xml:space="preserve">7</w:t>
      </w:r>
      <w:r>
        <w:t xml:space="preserve"> </w:t>
      </w:r>
      <w:r>
        <w:t xml:space="preserve">(used here at version 5.5) combines integrated phasing</w:t>
      </w:r>
      <w:r>
        <w:t xml:space="preserve"> </w:t>
      </w:r>
      <w:r>
        <w:rPr>
          <w:vertAlign w:val="superscript"/>
        </w:rPr>
        <w:t xml:space="preserve">8</w:t>
      </w:r>
      <w:r>
        <w:t xml:space="preserve"> </w:t>
      </w:r>
      <w:r>
        <w:t xml:space="preserve">with haplotype clustering for computational efficiency; and Minimac4</w:t>
      </w:r>
      <w:r>
        <w:t xml:space="preserve"> </w:t>
      </w:r>
      <w:r>
        <w:rPr>
          <w:vertAlign w:val="superscript"/>
        </w:rPr>
        <w:t xml:space="preserve">9</w:t>
      </w:r>
      <w:r>
        <w:t xml:space="preserve"> </w:t>
      </w:r>
      <w: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pPr>
      <w:r>
        <w:t xml:space="preserve">The current imputation ecosystem is fragmented across multiple specialized tools. A standard end-to-end workflow phases the target with a dedicated phaser such as Eagle2</w:t>
      </w:r>
      <w:r>
        <w:t xml:space="preserve"> </w:t>
      </w:r>
      <w:r>
        <w:rPr>
          <w:vertAlign w:val="superscript"/>
        </w:rPr>
        <w:t xml:space="preserve">10</w:t>
      </w:r>
      <w:r>
        <w:t xml:space="preserve">, SHAPEIT5</w:t>
      </w:r>
      <w:r>
        <w:t xml:space="preserve"> </w:t>
      </w:r>
      <w:r>
        <w:rPr>
          <w:vertAlign w:val="superscript"/>
        </w:rPr>
        <w:t xml:space="preserve">11</w:t>
      </w:r>
      <w:r>
        <w:t xml:space="preserve">, or an earlier biobank-scale haplotype estimator</w:t>
      </w:r>
      <w:r>
        <w:t xml:space="preserve"> </w:t>
      </w:r>
      <w:r>
        <w:rPr>
          <w:vertAlign w:val="superscript"/>
        </w:rPr>
        <w:t xml:space="preserve">12</w:t>
      </w:r>
      <w:r>
        <w:t xml:space="preserve">, imputes the phased target with Beagle 5.5</w:t>
      </w:r>
      <w:r>
        <w:t xml:space="preserve"> </w:t>
      </w:r>
      <w:r>
        <w:rPr>
          <w:vertAlign w:val="superscript"/>
        </w:rPr>
        <w:t xml:space="preserve">7</w:t>
      </w:r>
      <w:r>
        <w:t xml:space="preserve">, IMPUTE5</w:t>
      </w:r>
      <w:r>
        <w:t xml:space="preserve"> </w:t>
      </w:r>
      <w:r>
        <w:rPr>
          <w:vertAlign w:val="superscript"/>
        </w:rPr>
        <w:t xml:space="preserve">6</w:t>
      </w:r>
      <w:r>
        <w:t xml:space="preserve">, or Minimac4</w:t>
      </w:r>
      <w:r>
        <w:t xml:space="preserve"> </w:t>
      </w:r>
      <w:r>
        <w:rPr>
          <w:vertAlign w:val="superscript"/>
        </w:rPr>
        <w:t xml:space="preserve">9</w:t>
      </w:r>
      <w: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r>
        <w:t xml:space="preserve"> </w:t>
      </w:r>
      <w:r>
        <w:rPr>
          <w:vertAlign w:val="superscript"/>
        </w:rPr>
        <w:t xml:space="preserve">13</w:t>
      </w:r>
      <w:r>
        <w:t xml:space="preserve">) with external writers. Each handoff requires intermediate files, shell glue, and per-chromosome bookkeeping. Beagle 5.5</w:t>
      </w:r>
      <w:r>
        <w:t xml:space="preserve"> </w:t>
      </w:r>
      <w:r>
        <w:rPr>
          <w:vertAlign w:val="superscript"/>
        </w:rPr>
        <w:t xml:space="preserve">7</w:t>
      </w:r>
      <w:r>
        <w:t xml:space="preserve"> </w:t>
      </w:r>
      <w:r>
        <w:t xml:space="preserve">integrates phasing and imputation in a single Java process, mitigating some of this fragmentation, but the genome is still processed one chromosome at a time and the output is restricted to VCF.</w:t>
      </w:r>
    </w:p>
    <w:p>
      <w:pPr>
        <w:pStyle w:val="BodyText"/>
      </w:pPr>
      <w:r>
        <w:t xml:space="preserve">The original Selphi</w:t>
      </w:r>
      <w:r>
        <w:t xml:space="preserve"> </w:t>
      </w:r>
      <w:r>
        <w:rPr>
          <w:vertAlign w:val="superscript"/>
        </w:rPr>
        <w:t xml:space="preserve">1</w:t>
      </w:r>
      <w:r>
        <w:t xml:space="preserve"> </w:t>
      </w:r>
      <w: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r>
        <w:t xml:space="preserve"> </w:t>
      </w:r>
      <w:r>
        <w:rPr>
          <w:vertAlign w:val="superscript"/>
        </w:rPr>
        <w:t xml:space="preserve">14</w:t>
      </w:r>
      <w:r>
        <w:t xml:space="preserve"> </w:t>
      </w:r>
      <w:r>
        <w:t xml:space="preserve">and TOPMed</w:t>
      </w:r>
      <w:r>
        <w:t xml:space="preserve"> </w:t>
      </w:r>
      <w:r>
        <w:rPr>
          <w:vertAlign w:val="superscript"/>
        </w:rPr>
        <w:t xml:space="preserve">15</w:t>
      </w:r>
      <w:r>
        <w:t xml:space="preserve"> </w:t>
      </w:r>
      <w:r>
        <w:t xml:space="preserve">panels. However, Selphi 1 was implemented in Python with Numba-JIT-compiled inner loops, required pre-phased input, processed one chromosome at a time, and capped the per-target retained haplotype set at</w:t>
      </w:r>
      <w:r>
        <w:t xml:space="preserve"> </w:t>
      </w:r>
      <m:oMath>
        <m:sSub>
          <m:e>
            <m:r>
              <m:t>K</m:t>
            </m:r>
          </m:e>
          <m:sub>
            <m:r>
              <m:t>2</m:t>
            </m:r>
          </m:sub>
        </m:sSub>
      </m:oMath>
      <w:r>
        <w:t xml:space="preserve"> </w:t>
      </w:r>
      <w: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pPr>
      <w:r>
        <w:t xml:space="preserve">Recent methodological advances have addressed some of these challenges in isolation. SHAPEIT5</w:t>
      </w:r>
      <w:r>
        <w:t xml:space="preserve"> </w:t>
      </w:r>
      <w:r>
        <w:rPr>
          <w:vertAlign w:val="superscript"/>
        </w:rPr>
        <w:t xml:space="preserve">11</w:t>
      </w:r>
      <w:r>
        <w:t xml:space="preserve"> </w:t>
      </w:r>
      <w:r>
        <w:t xml:space="preserve">cut low-frequency switch-error rates in large cohorts by splitting phasing into two passes: a confident backbone built from common variants, onto which rare alleles are then placed one at a time. GLIMPSE2</w:t>
      </w:r>
      <w:r>
        <w:t xml:space="preserve"> </w:t>
      </w:r>
      <w:r>
        <w:rPr>
          <w:vertAlign w:val="superscript"/>
        </w:rPr>
        <w:t xml:space="preserve">2</w:t>
      </w:r>
      <w:r>
        <w:t xml:space="preserve"> </w:t>
      </w:r>
      <w:r>
        <w:t xml:space="preserve">made whole-genome low-coverage imputation tractable by storing the panel compactly, using dense bitmaps for frequent alleles and per-site carrier lists for the rare ones. QUILT2</w:t>
      </w:r>
      <w:r>
        <w:t xml:space="preserve"> </w:t>
      </w:r>
      <w:r>
        <w:rPr>
          <w:vertAlign w:val="superscript"/>
        </w:rPr>
        <w:t xml:space="preserve">16</w:t>
      </w:r>
      <w:r>
        <w:t xml:space="preserve"> </w:t>
      </w:r>
      <w: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pPr>
      <w: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pPr>
      <w:r>
        <w:t xml:space="preserve">Selphi 2 further provides a dedicated low-coverage sequencing engine (</w:t>
      </w:r>
      <w:r>
        <w:rPr>
          <w:rStyle w:val="VerbatimChar"/>
        </w:rPr>
        <w:t xml:space="preserve">--lcwgs</w:t>
      </w:r>
      <w: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r>
        <w:t xml:space="preserve"> </w:t>
      </w:r>
      <w:r>
        <w:rPr>
          <w:vertAlign w:val="superscript"/>
        </w:rPr>
        <w:t xml:space="preserve">1</w:t>
      </w:r>
      <w:r>
        <w:t xml:space="preserve"> </w:t>
      </w:r>
      <w:r>
        <w:t xml:space="preserve">and Beagle 5.5</w:t>
      </w:r>
      <w:r>
        <w:t xml:space="preserve"> </w:t>
      </w:r>
      <w:r>
        <w:rPr>
          <w:vertAlign w:val="superscript"/>
        </w:rPr>
        <w:t xml:space="preserve">7</w:t>
      </w:r>
      <w:r>
        <w:t xml:space="preserve"> </w:t>
      </w:r>
      <w:r>
        <w:t xml:space="preserve">on the 1000 Genomes Project</w:t>
      </w:r>
      <w:r>
        <w:t xml:space="preserve"> </w:t>
      </w:r>
      <w:r>
        <w:rPr>
          <w:vertAlign w:val="superscript"/>
        </w:rPr>
        <w:t xml:space="preserve">14</w:t>
      </w:r>
      <w:r>
        <w:t xml:space="preserve"> </w:t>
      </w:r>
      <w:r>
        <w:t xml:space="preserve">and the TOPMed</w:t>
      </w:r>
      <w:r>
        <w:t xml:space="preserve"> </w:t>
      </w:r>
      <w:r>
        <w:rPr>
          <w:vertAlign w:val="superscript"/>
        </w:rPr>
        <w:t xml:space="preserve">15</w:t>
      </w:r>
      <w:r>
        <w:t xml:space="preserve"> </w:t>
      </w:r>
      <w:r>
        <w:t xml:space="preserve">reference panels, compare its phasing accuracy against SHAPEIT5</w:t>
      </w:r>
      <w:r>
        <w:t xml:space="preserve"> </w:t>
      </w:r>
      <w:r>
        <w:rPr>
          <w:vertAlign w:val="superscript"/>
        </w:rPr>
        <w:t xml:space="preserve">11</w:t>
      </w:r>
      <w:r>
        <w:t xml:space="preserve"> </w:t>
      </w:r>
      <w:r>
        <w:t xml:space="preserve">on the 1000 Genomes trio dataset, and compare its low-coverage engine against GLIMPSE2</w:t>
      </w:r>
      <w:r>
        <w:t xml:space="preserve"> </w:t>
      </w:r>
      <w:r>
        <w:rPr>
          <w:vertAlign w:val="superscript"/>
        </w:rPr>
        <w:t xml:space="preserve">2</w:t>
      </w:r>
      <w:r>
        <w:t xml:space="preserve"> </w:t>
      </w:r>
      <w:r>
        <w:t xml:space="preserve">on real low-coverage Genome in a Bottle sequencing</w:t>
      </w:r>
      <w:r>
        <w:t xml:space="preserve"> </w:t>
      </w:r>
      <w:r>
        <w:rPr>
          <w:vertAlign w:val="superscript"/>
        </w:rPr>
        <w:t xml:space="preserve">17</w:t>
      </w:r>
      <w:r>
        <w:t xml:space="preserve"> </w:t>
      </w:r>
      <w:r>
        <w:t xml:space="preserve">(Results).</w:t>
      </w:r>
    </w:p>
    <w:p>
      <w:pPr>
        <w:pStyle w:val="CaptionedFigure"/>
      </w:pPr>
      <w: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Overview of the Selphi 2 pipeline.</w:t>
      </w:r>
      <w:r>
        <w:t xml:space="preserve"> </w:t>
      </w:r>
      <w: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t xml:space="preserve"> </w:t>
      </w:r>
      <w:r>
        <w:t xml:space="preserve">depth), a dedicated genotype-likelihood-aware engine (</w:t>
      </w:r>
      <w:r>
        <w:rPr>
          <w:rStyle w:val="VerbatimChar"/>
        </w:rPr>
        <w:t xml:space="preserve">--lcwgs</w:t>
      </w:r>
      <w:r>
        <w:t xml:space="preserve"> </w:t>
      </w:r>
      <w:r>
        <w:t xml:space="preserve">/</w:t>
      </w:r>
      <w:r>
        <w:t xml:space="preserve"> </w:t>
      </w:r>
      <w:r>
        <w:rPr>
          <w:rStyle w:val="VerbatimChar"/>
        </w:rPr>
        <w:t xml:space="preserve">--engine lcwgs</w:t>
      </w:r>
      <w: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bookmarkEnd w:id="14"/>
    <w:bookmarkStart w:id="26" w:name="methods"/>
    <w:p>
      <w:pPr>
        <w:pStyle w:val="Heading1"/>
      </w:pPr>
      <w:r>
        <w:rPr>
          <w:b/>
          <w:bCs/>
        </w:rPr>
        <w:t xml:space="preserve">Methods</w:t>
      </w:r>
    </w:p>
    <w:bookmarkStart w:id="25" w:name="selphi-2"/>
    <w:p>
      <w:pPr>
        <w:pStyle w:val="Heading2"/>
      </w:pPr>
      <w:r>
        <w:rPr>
          <w:b/>
          <w:bCs/>
        </w:rPr>
        <w:t xml:space="preserve">Selphi 2</w:t>
      </w:r>
    </w:p>
    <w:bookmarkStart w:id="15" w:name="architecture-overview"/>
    <w:p>
      <w:pPr>
        <w:pStyle w:val="Heading3"/>
      </w:pPr>
      <w:r>
        <w:rPr>
          <w:b/>
          <w:bCs/>
        </w:rPr>
        <w:t xml:space="preserve">Architecture overview</w:t>
      </w:r>
    </w:p>
    <w:p>
      <w:pPr>
        <w:pStyle w:val="FirstParagraph"/>
      </w:pPr>
      <w: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r>
        <w:t xml:space="preserve"> </w:t>
      </w:r>
      <w:r>
        <w:rPr>
          <w:vertAlign w:val="superscript"/>
        </w:rPr>
        <w:t xml:space="preserve">18</w:t>
      </w:r>
      <w: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pPr>
      <w: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bookmarkEnd w:id="15"/>
    <w:bookmarkStart w:id="16" w:name="phasing-engines"/>
    <w:p>
      <w:pPr>
        <w:pStyle w:val="Heading3"/>
      </w:pPr>
      <w:r>
        <w:rPr>
          <w:b/>
          <w:bCs/>
        </w:rPr>
        <w:t xml:space="preserve">Phasing engines</w:t>
      </w:r>
    </w:p>
    <w:p>
      <w:pPr>
        <w:pStyle w:val="FirstParagraph"/>
      </w:pPr>
      <w: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t xml:space="preserve"> </w:t>
      </w:r>
      <w: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pPr>
      <w:r>
        <w:rPr>
          <w:b/>
          <w:bCs/>
        </w:rPr>
        <w:t xml:space="preserve">Haploid engine.</w:t>
      </w:r>
    </w:p>
    <w:p>
      <w:pPr>
        <w:pStyle w:val="BodyText"/>
      </w:pPr>
      <w:r>
        <w:t xml:space="preserve">The haploid phasing engine models each haplotype independently through a composite HMM with a greedy swap criterion, following the approach of Browning and Browning</w:t>
      </w:r>
      <w:r>
        <w:t xml:space="preserve"> </w:t>
      </w:r>
      <w:r>
        <w:rPr>
          <w:vertAlign w:val="superscript"/>
        </w:rPr>
        <w:t xml:space="preserve">19</w:t>
      </w:r>
      <w:r>
        <w:t xml:space="preserve">. The algorithm operates in 15 iterations (3 burn-in with fixed phase, 12 phasing iterations with decreasing likelihood-ratio thresholds from 100,000 to 1.0).</w:t>
      </w:r>
    </w:p>
    <w:p>
      <w:pPr>
        <w:pStyle w:val="BodyText"/>
      </w:pPr>
      <w:r>
        <w:t xml:space="preserve">At each iteration, a coded-step PBWT</w:t>
      </w:r>
      <w:r>
        <w:t xml:space="preserve"> </w:t>
      </w:r>
      <w:r>
        <w:rPr>
          <w:vertAlign w:val="superscript"/>
        </w:rPr>
        <w:t xml:space="preserve">6</w:t>
      </w:r>
      <w:r>
        <w:t xml:space="preserve"> </w:t>
      </w:r>
      <w: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r>
        <w:t xml:space="preserve"> </w:t>
      </w:r>
      <w:r>
        <w:rPr>
          <w:vertAlign w:val="superscript"/>
        </w:rPr>
        <w:t xml:space="preserve">11</w:t>
      </w:r>
      <w:r>
        <w:t xml:space="preserve">, but operates within a single iterative framework rather than as separate stages.</w:t>
      </w:r>
    </w:p>
    <w:p>
      <w:pPr>
        <w:pStyle w:val="BodyText"/>
      </w:pPr>
      <w: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pPr>
      <w: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pPr>
      <w:r>
        <w:t xml:space="preserve">EM parameter estimation</w:t>
      </w:r>
      <w:r>
        <w:t xml:space="preserve"> </w:t>
      </w:r>
      <w:r>
        <w:rPr>
          <w:vertAlign w:val="superscript"/>
        </w:rPr>
        <w:t xml:space="preserve">20</w:t>
      </w:r>
      <w:r>
        <w:t xml:space="preserve"> </w:t>
      </w:r>
      <w:r>
        <w:t xml:space="preserve">is performed within each iteration to calibrate the mismatch probability and effective recombination rate per window, enabling the HMM transition probabilities to adapt to local recombination patterns.</w:t>
      </w:r>
    </w:p>
    <w:p>
      <w:pPr>
        <w:pStyle w:val="BodyText"/>
      </w:pPr>
      <w:r>
        <w:rPr>
          <w:b/>
          <w:bCs/>
        </w:rPr>
        <w:t xml:space="preserve">Diploid engine.</w:t>
      </w:r>
    </w:p>
    <w:p>
      <w:pPr>
        <w:pStyle w:val="BodyText"/>
      </w:pPr>
      <w:r>
        <w:t xml:space="preserve">The diploid engine models the pair of haplotypes jointly through a genotype graph, following the approach of SHAPEIT4</w:t>
      </w:r>
      <w:r>
        <w:t xml:space="preserve"> </w:t>
      </w:r>
      <w:r>
        <w:rPr>
          <w:vertAlign w:val="superscript"/>
        </w:rPr>
        <w:t xml:space="preserve">21</w:t>
      </w:r>
      <w:r>
        <w:t xml:space="preserve"> </w:t>
      </w:r>
      <w:r>
        <w:t xml:space="preserve">and SHAPEIT5</w:t>
      </w:r>
      <w:r>
        <w:t xml:space="preserve"> </w:t>
      </w:r>
      <w:r>
        <w:rPr>
          <w:vertAlign w:val="superscript"/>
        </w:rPr>
        <w:t xml:space="preserve">11</w:t>
      </w:r>
      <w: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pPr>
      <w: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pPr>
      <w:r>
        <w:t xml:space="preserve">By default the diploid engine forms a small</w:t>
      </w:r>
      <w:r>
        <w:t xml:space="preserve"> </w:t>
      </w:r>
      <w:r>
        <w:rPr>
          <w:b/>
          <w:bCs/>
        </w:rPr>
        <w:t xml:space="preserve">intra-run phase ensemble</w:t>
      </w:r>
      <w:r>
        <w:t xml:space="preserve"> </w:t>
      </w:r>
      <w: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t xml:space="preserve"> </w:t>
      </w:r>
      <m:oMath>
        <m:sSup>
          <m:e>
            <m:r>
              <m:t>R</m:t>
            </m:r>
          </m:e>
          <m:sup>
            <m:r>
              <m:t>2</m:t>
            </m:r>
          </m:sup>
        </m:sSup>
      </m:oMath>
      <w:r>
        <w:t xml:space="preserve"> </w:t>
      </w:r>
      <w:r>
        <w:t xml:space="preserve">from 0.9588 to 0.9605 (the ensemble step on top of the no-call-imputation fix; Results, Table 3). The ensemble is disabled (N = 1, a single Viterbi solve) under</w:t>
      </w:r>
      <w:r>
        <w:t xml:space="preserve"> </w:t>
      </w:r>
      <w:r>
        <w:rPr>
          <w:rStyle w:val="VerbatimChar"/>
        </w:rPr>
        <w:t xml:space="preserve">--sample-batch-size</w:t>
      </w:r>
      <w:r>
        <w:t xml:space="preserve"> </w:t>
      </w:r>
      <w:r>
        <w:t xml:space="preserve">and</w:t>
      </w:r>
      <w:r>
        <w:t xml:space="preserve"> </w:t>
      </w:r>
      <w:r>
        <w:rPr>
          <w:rStyle w:val="VerbatimChar"/>
        </w:rPr>
        <w:t xml:space="preserve">--phase-only</w:t>
      </w:r>
      <w:r>
        <w:t xml:space="preserve">; the haploid engine does not use it, as its greedy-swap phasing converges to a single solution rather than sampling a posterior.</w:t>
      </w:r>
    </w:p>
    <w:p>
      <w:pPr>
        <w:pStyle w:val="BodyText"/>
      </w:pPr>
      <w:r>
        <w:t xml:space="preserve">During burn-in iterations, the effective population size (</w:t>
      </w:r>
      <m:oMath>
        <m:sSub>
          <m:e>
            <m:r>
              <m:t>N</m:t>
            </m:r>
          </m:e>
          <m:sub>
            <m:r>
              <m:t>e</m:t>
            </m:r>
          </m:sub>
        </m:sSub>
      </m:oMath>
      <w:r>
        <w:t xml:space="preserve">) is re-estimated from the empirical transition rate observed in the genotype graphs. The observed switch rate (fraction of sites where a genotype graph changes diplotype assignment) is related to</w:t>
      </w:r>
      <w:r>
        <w:t xml:space="preserve"> </w:t>
      </w:r>
      <m:oMath>
        <m:sSub>
          <m:e>
            <m:r>
              <m:t>N</m:t>
            </m:r>
          </m:e>
          <m:sub>
            <m:r>
              <m:t>e</m:t>
            </m:r>
          </m:sub>
        </m:sSub>
      </m:oMath>
      <w:r>
        <w:t xml:space="preserve"> </w:t>
      </w:r>
      <w:r>
        <w:t xml:space="preserve">through the Li-Stephens approximation</w:t>
      </w:r>
      <w:r>
        <w:t xml:space="preserve"> </w:t>
      </w:r>
      <w:r>
        <w:rPr>
          <w:vertAlign w:val="superscript"/>
        </w:rPr>
        <w:t xml:space="preserve">4</w:t>
      </w:r>
      <w:r>
        <w:t xml:space="preserve">:</w:t>
      </w:r>
      <w: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t xml:space="preserve">, where d is the mean inter-marker distance in cM. The estimated</w:t>
      </w:r>
      <w:r>
        <w:t xml:space="preserve"> </w:t>
      </w:r>
      <m:oMath>
        <m:sSub>
          <m:e>
            <m:r>
              <m:t>N</m:t>
            </m:r>
          </m:e>
          <m:sub>
            <m:r>
              <m:t>e</m:t>
            </m:r>
          </m:sub>
        </m:sSub>
      </m:oMath>
      <w:r>
        <w:t xml:space="preserve"> </w:t>
      </w:r>
      <w:r>
        <w:t xml:space="preserve">is clamped to [1,000, 1,000,000] and applied only when the change exceeds 5% of the current value, preventing oscillation while allowing adaptation to population-specific recombination patterns.</w:t>
      </w:r>
    </w:p>
    <w:p>
      <w:pPr>
        <w:pStyle w:val="BodyText"/>
      </w:pPr>
      <w:r>
        <w:rPr>
          <w:b/>
          <w:bCs/>
        </w:rPr>
        <w:t xml:space="preserve">Rare variant phasing (diploid).</w:t>
      </w:r>
    </w:p>
    <w:p>
      <w:pPr>
        <w:pStyle w:val="BodyText"/>
      </w:pPr>
      <w:r>
        <w:t xml:space="preserve">Rare variants (those not in the common-variant scaffold) are phased in a dedicated PBWT-based pass that operates on target haplotypes only. This two-stage common-then-rare strategy parallels the approach introduced in SHAPEIT5</w:t>
      </w:r>
      <w:r>
        <w:t xml:space="preserve"> </w:t>
      </w:r>
      <w:r>
        <w:rPr>
          <w:vertAlign w:val="superscript"/>
        </w:rPr>
        <w:t xml:space="preserve">11</w:t>
      </w:r>
      <w:r>
        <w:t xml:space="preserve">.</w:t>
      </w:r>
    </w:p>
    <w:p>
      <w:pPr>
        <w:pStyle w:val="BodyText"/>
      </w:pPr>
      <w:r>
        <w:t xml:space="preserve">The algorithm proceeds in four steps. First, an IBD2 scan identifies sample pairs sharing both haplotypes identical-by-descent across scaffold sites</w:t>
      </w:r>
      <w:r>
        <w:t xml:space="preserve"> </w:t>
      </w:r>
      <w:r>
        <w:rPr>
          <w:vertAlign w:val="superscript"/>
        </w:rPr>
        <w:t xml:space="preserve">22</w:t>
      </w:r>
      <w: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pPr>
      <w: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pPr>
      <w:r>
        <w:t xml:space="preserve">Third, a backward PBWT sweep repeats the same procedure in reverse genomic order. The forward and backward results are merged by selecting the direction with higher confidence (absolute vote score) for each rare het.</w:t>
      </w:r>
    </w:p>
    <w:p>
      <w:pPr>
        <w:pStyle w:val="BodyText"/>
      </w:pPr>
      <w: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r>
        <w:t xml:space="preserve"> </w:t>
      </w:r>
      <w:r>
        <w:rPr>
          <w:vertAlign w:val="superscript"/>
        </w:rPr>
        <w:t xml:space="preserve">11</w:t>
      </w:r>
      <w:r>
        <w:t xml:space="preserve"> </w:t>
      </w:r>
      <w:r>
        <w:t xml:space="preserve">but uses empirical run-lengths rather than a full coalescent HMM.</w:t>
      </w:r>
    </w:p>
    <w:p>
      <w:pPr>
        <w:pStyle w:val="BodyText"/>
      </w:pPr>
      <w:r>
        <w:rPr>
          <w:b/>
          <w:bCs/>
        </w:rPr>
        <w:t xml:space="preserve">Pedigree scaffolding.</w:t>
      </w:r>
    </w:p>
    <w:p>
      <w:pPr>
        <w:pStyle w:val="BodyText"/>
      </w:pPr>
      <w:r>
        <w:t xml:space="preserve">When pedigree information is available (PLINK PED format), Mendelian constraints from parent-child relationships are applied before the HMM-based phasing, following established practice</w:t>
      </w:r>
      <w:r>
        <w:t xml:space="preserve"> </w:t>
      </w:r>
      <w:r>
        <w:rPr>
          <w:vertAlign w:val="superscript"/>
        </w:rPr>
        <w:t xml:space="preserve">11,12,21</w:t>
      </w:r>
      <w: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pPr>
      <w: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pPr>
      <w:r>
        <w:rPr>
          <w:b/>
          <w:bCs/>
        </w:rPr>
        <w:t xml:space="preserve">Panel phasing.</w:t>
      </w:r>
    </w:p>
    <w:p>
      <w:pPr>
        <w:pStyle w:val="BodyText"/>
      </w:pPr>
      <w: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r>
        <w:t xml:space="preserve"> </w:t>
      </w:r>
      <w:r>
        <w:rPr>
          <w:vertAlign w:val="superscript"/>
        </w:rPr>
        <w:t xml:space="preserve">7</w:t>
      </w:r>
      <w:r>
        <w:t xml:space="preserve"> </w:t>
      </w:r>
      <w: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bookmarkEnd w:id="16"/>
    <w:bookmarkStart w:id="17" w:name="pbwt-matching-for-imputation"/>
    <w:p>
      <w:pPr>
        <w:pStyle w:val="Heading3"/>
      </w:pPr>
      <w:r>
        <w:rPr>
          <w:b/>
          <w:bCs/>
        </w:rPr>
        <w:t xml:space="preserve">PBWT matching for imputation</w:t>
      </w:r>
    </w:p>
    <w:p>
      <w:pPr>
        <w:pStyle w:val="FirstParagraph"/>
      </w:pPr>
      <w:r>
        <w:t xml:space="preserve">The imputation component uses a coded-step PBWT</w:t>
      </w:r>
      <w:r>
        <w:t xml:space="preserve"> </w:t>
      </w:r>
      <w:r>
        <w:rPr>
          <w:vertAlign w:val="superscript"/>
        </w:rPr>
        <w:t xml:space="preserve">6</w:t>
      </w:r>
      <w:r>
        <w:t xml:space="preserve"> </w:t>
      </w:r>
      <w: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pPr>
      <w:r>
        <w:t xml:space="preserve">For each target haplotype, candidate reference haplotypes are selected based on their co-occurrence with the target in coded-step partitions. The number retained per target (</w:t>
      </w:r>
      <w:r>
        <w:rPr>
          <w:rStyle w:val="VerbatimChar"/>
        </w:rPr>
        <w:t xml:space="preserve">max_candidates</w:t>
      </w:r>
      <w:r>
        <w:t xml:space="preserve">, henceforth</w:t>
      </w:r>
      <w:r>
        <w:t xml:space="preserve"> </w:t>
      </w:r>
      <m:oMath>
        <m:sSub>
          <m:e>
            <m:r>
              <m:t>m</m:t>
            </m:r>
          </m:e>
          <m:sub>
            <m:r>
              <m:t>c</m:t>
            </m:r>
          </m:sub>
        </m:sSub>
      </m:oMath>
      <w: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bookmarkEnd w:id="17"/>
    <w:bookmarkStart w:id="18" w:name="candidate-selection-and-hmm"/>
    <w:p>
      <w:pPr>
        <w:pStyle w:val="Heading3"/>
      </w:pPr>
      <w:r>
        <w:rPr>
          <w:b/>
          <w:bCs/>
        </w:rPr>
        <w:t xml:space="preserve">Candidate selection and HMM</w:t>
      </w:r>
    </w:p>
    <w:p>
      <w:pPr>
        <w:pStyle w:val="FirstParagraph"/>
      </w:pPr>
      <w: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pPr>
      <w: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r>
        <w:t xml:space="preserve"> </w:t>
      </w:r>
      <w:r>
        <w:rPr>
          <w:vertAlign w:val="superscript"/>
        </w:rPr>
        <w:t xml:space="preserve">4</w:t>
      </w:r>
      <w:r>
        <w:t xml:space="preserve">:</w:t>
      </w:r>
    </w:p>
    <w:p>
      <w:pPr>
        <w:pStyle w:val="BodyText"/>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pPr>
      <w:r>
        <w:t xml:space="preserve">where</w:t>
      </w:r>
      <w:r>
        <w:t xml:space="preserve"> </w:t>
      </w:r>
      <m:oMath>
        <m:sSub>
          <m:e>
            <m:r>
              <m:t>d</m:t>
            </m:r>
          </m:e>
          <m:sub>
            <m:r>
              <m:t>k</m:t>
            </m:r>
          </m:sub>
        </m:sSub>
      </m:oMath>
      <w:r>
        <w:t xml:space="preserve"> </w:t>
      </w:r>
      <w:r>
        <w:t xml:space="preserve">is the genetic distance between consecutive markers in centiMorgans,</w:t>
      </w:r>
      <w:r>
        <w:t xml:space="preserve"> </w:t>
      </w:r>
      <m:oMath>
        <m:sSub>
          <m:e>
            <m:r>
              <m:t>N</m:t>
            </m:r>
          </m:e>
          <m:sub>
            <m:r>
              <m:t>e</m:t>
            </m:r>
          </m:sub>
        </m:sSub>
      </m:oMath>
      <w:r>
        <w:t xml:space="preserve"> </w:t>
      </w:r>
      <w:r>
        <w:t xml:space="preserve">is the effective population size, and</w:t>
      </w:r>
      <w:r>
        <w:t xml:space="preserve"> </w:t>
      </w:r>
      <m:oMath>
        <m:sSub>
          <m:e>
            <m:r>
              <m:t>n</m:t>
            </m:r>
          </m:e>
          <m:sub>
            <m:r>
              <m:rPr>
                <m:nor/>
                <m:sty m:val="p"/>
              </m:rPr>
              <m:t>ref</m:t>
            </m:r>
          </m:sub>
        </m:sSub>
      </m:oMath>
      <w:r>
        <w:t xml:space="preserve"> </w:t>
      </w:r>
      <w:r>
        <w:t xml:space="preserve">is the number of candidate haplotypes. In existing imputation tools,</w:t>
      </w:r>
      <w:r>
        <w:t xml:space="preserve"> </w:t>
      </w:r>
      <m:oMath>
        <m:sSub>
          <m:e>
            <m:r>
              <m:t>N</m:t>
            </m:r>
          </m:e>
          <m:sub>
            <m:r>
              <m:t>e</m:t>
            </m:r>
          </m:sub>
        </m:sSub>
      </m:oMath>
      <w:r>
        <w:t xml:space="preserve"> </w:t>
      </w:r>
      <w:r>
        <w:t xml:space="preserve">is a fixed constant typically calibrated on a single reference panel (e.g.,</w:t>
      </w:r>
      <w:r>
        <w:t xml:space="preserve"> </w:t>
      </w:r>
      <m:oMath>
        <m:sSub>
          <m:e>
            <m:r>
              <m:t>N</m:t>
            </m:r>
          </m:e>
          <m:sub>
            <m:r>
              <m:t>e</m:t>
            </m:r>
          </m:sub>
        </m:sSub>
      </m:oMath>
      <w:r>
        <w:t xml:space="preserve"> </w:t>
      </w:r>
      <w:r>
        <w:t xml:space="preserve">= 15,000 in Beagle</w:t>
      </w:r>
      <w:r>
        <w:t xml:space="preserve"> </w:t>
      </w:r>
      <w:r>
        <w:rPr>
          <w:vertAlign w:val="superscript"/>
        </w:rPr>
        <w:t xml:space="preserve">7</w:t>
      </w:r>
      <w:r>
        <w:t xml:space="preserve">, or</w:t>
      </w:r>
      <w:r>
        <w:t xml:space="preserve"> </w:t>
      </w:r>
      <m:oMath>
        <m:sSub>
          <m:e>
            <m:r>
              <m:t>N</m:t>
            </m:r>
          </m:e>
          <m:sub>
            <m:r>
              <m:t>e</m:t>
            </m:r>
          </m:sub>
        </m:sSub>
      </m:oMath>
      <w:r>
        <w:t xml:space="preserve"> </w:t>
      </w:r>
      <w:r>
        <w:t xml:space="preserve">= 20,000 in IMPUTE5</w:t>
      </w:r>
      <w:r>
        <w:t xml:space="preserve"> </w:t>
      </w:r>
      <w:r>
        <w:rPr>
          <w:vertAlign w:val="superscript"/>
        </w:rPr>
        <w:t xml:space="preserve">6</w:t>
      </w:r>
      <w:r>
        <w:t xml:space="preserve">). However, the optimal</w:t>
      </w:r>
      <w:r>
        <w:t xml:space="preserve"> </w:t>
      </w:r>
      <m:oMath>
        <m:sSub>
          <m:e>
            <m:r>
              <m:t>N</m:t>
            </m:r>
          </m:e>
          <m:sub>
            <m:r>
              <m:t>e</m:t>
            </m:r>
          </m:sub>
        </m:sSub>
      </m:oMath>
      <w:r>
        <w:t xml:space="preserve"> </w:t>
      </w:r>
      <w: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t xml:space="preserve"> </w:t>
      </w:r>
      <m:oMath>
        <m:sSub>
          <m:e>
            <m:r>
              <m:t>N</m:t>
            </m:r>
          </m:e>
          <m:sub>
            <m:r>
              <m:t>e</m:t>
            </m:r>
          </m:sub>
        </m:sSub>
      </m:oMath>
      <w:r>
        <w:t xml:space="preserve">.</w:t>
      </w:r>
    </w:p>
    <w:p>
      <w:pPr>
        <w:pStyle w:val="BodyText"/>
      </w:pPr>
      <w:r>
        <w:t xml:space="preserve">Selphi 2 sets</w:t>
      </w:r>
      <w:r>
        <w:t xml:space="preserve"> </w:t>
      </w:r>
      <m:oMath>
        <m:sSub>
          <m:e>
            <m:r>
              <m:t>N</m:t>
            </m:r>
          </m:e>
          <m:sub>
            <m:r>
              <m:t>e</m:t>
            </m:r>
          </m:sub>
        </m:sSub>
      </m:oMath>
      <w:r>
        <w:t xml:space="preserve"> </w:t>
      </w:r>
      <w:r>
        <w:t xml:space="preserve">automatically as a linear function of the total number of reference haplotypes:</w:t>
      </w:r>
    </w:p>
    <w:p>
      <w:pPr>
        <w:pStyle w:val="BodyText"/>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pPr>
      <w:r>
        <w:t xml:space="preserve">where</w:t>
      </w:r>
      <w:r>
        <w:t xml:space="preserve"> </w:t>
      </w:r>
      <m:oMath>
        <m:sSub>
          <m:e>
            <m:r>
              <m:t>n</m:t>
            </m:r>
          </m:e>
          <m:sub>
            <m:r>
              <m:rPr>
                <m:nor/>
                <m:sty m:val="p"/>
              </m:rPr>
              <m:t>ref,total</m:t>
            </m:r>
          </m:sub>
        </m:sSub>
      </m:oMath>
      <w:r>
        <w:t xml:space="preserve"> </w:t>
      </w:r>
      <w:r>
        <w:t xml:space="preserve">is the total number of haplotypes in the reference panel (not the number of candidates selected for the HMM). This scaling was derived empirically by optimizing imputation</w:t>
      </w:r>
      <w:r>
        <w:t xml:space="preserve"> </w:t>
      </w:r>
      <m:oMath>
        <m:sSup>
          <m:e>
            <m:r>
              <m:t>R</m:t>
            </m:r>
          </m:e>
          <m:sup>
            <m:r>
              <m:t>2</m:t>
            </m:r>
          </m:sup>
        </m:sSup>
      </m:oMath>
      <w:r>
        <w:t xml:space="preserve"> </w:t>
      </w:r>
      <w:r>
        <w:t xml:space="preserve">across three reference panels spanning two orders of magnitude in size: the 1000 Genomes Phase 3 panel (4,802 haplotypes; optimal</w:t>
      </w:r>
      <w:r>
        <w:t xml:space="preserve"> </w:t>
      </w:r>
      <m:oMath>
        <m:sSub>
          <m:e>
            <m:r>
              <m:t>N</m:t>
            </m:r>
          </m:e>
          <m:sub>
            <m:r>
              <m:t>e</m:t>
            </m:r>
          </m:sub>
        </m:sSub>
      </m:oMath>
      <w:r>
        <w:t xml:space="preserve"> </w:t>
      </w:r>
      <w:r>
        <w:t xml:space="preserve">≈ 175,000), a UK Biobank</w:t>
      </w:r>
      <w:r>
        <w:t xml:space="preserve"> </w:t>
      </w:r>
      <w:r>
        <w:rPr>
          <w:vertAlign w:val="superscript"/>
        </w:rPr>
        <w:t xml:space="preserve">23</w:t>
      </w:r>
      <w:r>
        <w:t xml:space="preserve"> </w:t>
      </w:r>
      <w:r>
        <w:t xml:space="preserve">subset (75,552 haplotypes; optimal</w:t>
      </w:r>
      <w:r>
        <w:t xml:space="preserve"> </w:t>
      </w:r>
      <m:oMath>
        <m:sSub>
          <m:e>
            <m:r>
              <m:t>N</m:t>
            </m:r>
          </m:e>
          <m:sub>
            <m:r>
              <m:t>e</m:t>
            </m:r>
          </m:sub>
        </m:sSub>
      </m:oMath>
      <w:r>
        <w:t xml:space="preserve"> </w:t>
      </w:r>
      <w:r>
        <w:t xml:space="preserve">≈ 2,750,000), and the TOPMed panel (171,054 haplotypes; optimal</w:t>
      </w:r>
      <w:r>
        <w:t xml:space="preserve"> </w:t>
      </w:r>
      <m:oMath>
        <m:sSub>
          <m:e>
            <m:r>
              <m:t>N</m:t>
            </m:r>
          </m:e>
          <m:sub>
            <m:r>
              <m:t>e</m:t>
            </m:r>
          </m:sub>
        </m:sSub>
      </m:oMath>
      <w:r>
        <w:t xml:space="preserve"> </w:t>
      </w:r>
      <w:r>
        <w:t xml:space="preserve">≈ 6,200,000). The constant ratio</w:t>
      </w:r>
      <w:r>
        <w:t xml:space="preserve"> </w:t>
      </w:r>
      <m:oMath>
        <m:sSub>
          <m:e>
            <m:r>
              <m:t>N</m:t>
            </m:r>
          </m:e>
          <m:sub>
            <m:r>
              <m:t>e</m:t>
            </m:r>
          </m:sub>
        </m:sSub>
        <m:r>
          <m:rPr>
            <m:sty m:val="p"/>
          </m:rPr>
          <m:t>/</m:t>
        </m:r>
        <m:sSub>
          <m:e>
            <m:r>
              <m:t>n</m:t>
            </m:r>
          </m:e>
          <m:sub>
            <m:r>
              <m:rPr>
                <m:nor/>
                <m:sty m:val="p"/>
              </m:rPr>
              <m:t>ref</m:t>
            </m:r>
          </m:sub>
        </m:sSub>
        <m:r>
          <m:rPr>
            <m:sty m:val="p"/>
          </m:rPr>
          <m:t>≈</m:t>
        </m:r>
        <m:r>
          <m:t>36.4</m:t>
        </m:r>
      </m:oMath>
      <w:r>
        <w:t xml:space="preserve"> </w:t>
      </w:r>
      <w:r>
        <w:t xml:space="preserve">was consistent across panels despite substantial differences in population composition (multi-ethnic global panel, European-only cohort, and multi-ethnic clinical cohort, respectively).</w:t>
      </w:r>
    </w:p>
    <w:p>
      <w:pPr>
        <w:pStyle w:val="BodyText"/>
      </w:pPr>
      <w:r>
        <w:t xml:space="preserve">The effective population size is further calibrated per site using a MAF-adaptive scheme:</w:t>
      </w:r>
      <w:r>
        <w:t xml:space="preserve"> </w:t>
      </w:r>
      <m:oMath>
        <m:sSub>
          <m:e>
            <m:r>
              <m:t>N</m:t>
            </m:r>
          </m:e>
          <m:sub>
            <m:r>
              <m:t>e</m:t>
            </m:r>
          </m:sub>
        </m:sSub>
      </m:oMath>
      <w:r>
        <w:t xml:space="preserve"> </w:t>
      </w:r>
      <w:r>
        <w:t xml:space="preserve">is set to</w:t>
      </w:r>
      <w:r>
        <w:t xml:space="preserve"> </w:t>
      </w:r>
      <m:oMath>
        <m:r>
          <m:t>0.85</m:t>
        </m:r>
        <m:r>
          <m:rPr>
            <m:sty m:val="p"/>
          </m:rPr>
          <m:t>×</m:t>
        </m:r>
        <m:sSub>
          <m:e>
            <m:r>
              <m:t>N</m:t>
            </m:r>
          </m:e>
          <m:sub>
            <m:r>
              <m:t>e</m:t>
            </m:r>
            <m:r>
              <m:rPr>
                <m:sty m:val="p"/>
              </m:rPr>
              <m:t>,</m:t>
            </m:r>
            <m:r>
              <m:rPr>
                <m:nor/>
                <m:sty m:val="p"/>
              </m:rPr>
              <m:t>base</m:t>
            </m:r>
          </m:sub>
        </m:sSub>
      </m:oMath>
      <w:r>
        <w:t xml:space="preserve"> </w:t>
      </w:r>
      <w:r>
        <w:t xml:space="preserve">for rare variants (MAF &lt; 0.5%) and</w:t>
      </w:r>
      <w:r>
        <w:t xml:space="preserve"> </w:t>
      </w:r>
      <m:oMath>
        <m:r>
          <m:t>1.2</m:t>
        </m:r>
        <m:r>
          <m:rPr>
            <m:sty m:val="p"/>
          </m:rPr>
          <m:t>×</m:t>
        </m:r>
        <m:sSub>
          <m:e>
            <m:r>
              <m:t>N</m:t>
            </m:r>
          </m:e>
          <m:sub>
            <m:r>
              <m:t>e</m:t>
            </m:r>
            <m:r>
              <m:rPr>
                <m:sty m:val="p"/>
              </m:rPr>
              <m:t>,</m:t>
            </m:r>
            <m:r>
              <m:rPr>
                <m:nor/>
                <m:sty m:val="p"/>
              </m:rPr>
              <m:t>base</m:t>
            </m:r>
          </m:sub>
        </m:sSub>
      </m:oMath>
      <w:r>
        <w:t xml:space="preserve"> </w:t>
      </w:r>
      <w:r>
        <w:t xml:space="preserve">for common variants (MAF &gt; 2%), with a smooth logistic transition between. When the diploid phasing engine is used, the</w:t>
      </w:r>
      <w:r>
        <w:t xml:space="preserve"> </w:t>
      </w:r>
      <m:oMath>
        <m:sSub>
          <m:e>
            <m:r>
              <m:t>N</m:t>
            </m:r>
          </m:e>
          <m:sub>
            <m:r>
              <m:t>e</m:t>
            </m:r>
          </m:sub>
        </m:sSub>
      </m:oMath>
      <w:r>
        <w:t xml:space="preserve"> </w:t>
      </w:r>
      <w:r>
        <w:t xml:space="preserve">estimated by EM during burn-in (see Diploid engine, above) may additionally inform the imputation HMM. Users may override the automatic</w:t>
      </w:r>
      <w:r>
        <w:t xml:space="preserve"> </w:t>
      </w:r>
      <m:oMath>
        <m:sSub>
          <m:e>
            <m:r>
              <m:t>N</m:t>
            </m:r>
          </m:e>
          <m:sub>
            <m:r>
              <m:t>e</m:t>
            </m:r>
          </m:sub>
        </m:sSub>
      </m:oMath>
      <w:r>
        <w:t xml:space="preserve"> </w:t>
      </w:r>
      <w:r>
        <w:t xml:space="preserve">with a fixed value for reproducibility with prior results.</w:t>
      </w:r>
    </w:p>
    <w:p>
      <w:pPr>
        <w:pStyle w:val="BodyText"/>
      </w:pPr>
      <w:r>
        <w:rPr>
          <w:b/>
          <w:bCs/>
        </w:rPr>
        <w:t xml:space="preserve">Adaptive candidate-set sizing.</w:t>
      </w:r>
      <w:r>
        <w:t xml:space="preserve"> </w:t>
      </w:r>
      <w:r>
        <w:t xml:space="preserve">The maximum number of reference haplotypes retained per target, denoted</w:t>
      </w:r>
      <w:r>
        <w:t xml:space="preserve"> </w:t>
      </w:r>
      <m:oMath>
        <m:sSub>
          <m:e>
            <m:r>
              <m:t>m</m:t>
            </m:r>
          </m:e>
          <m:sub>
            <m:r>
              <m:t>c</m:t>
            </m:r>
          </m:sub>
        </m:sSub>
      </m:oMath>
      <w:r>
        <w:t xml:space="preserve">, henceforth, is set automatically as a function of reference panel size and panel diversity. A fixed</w:t>
      </w:r>
      <w:r>
        <w:t xml:space="preserve"> </w:t>
      </w:r>
      <m:oMath>
        <m:sSub>
          <m:e>
            <m:r>
              <m:t>m</m:t>
            </m:r>
          </m:e>
          <m:sub>
            <m:r>
              <m:t>c</m:t>
            </m:r>
          </m:sub>
        </m:sSub>
      </m:oMath>
      <w:r>
        <w:t xml:space="preserve">, as used in earlier Selphi releases (</w:t>
      </w:r>
      <m:oMath>
        <m:sSub>
          <m:e>
            <m:r>
              <m:t>m</m:t>
            </m:r>
          </m:e>
          <m:sub>
            <m:r>
              <m:t>c</m:t>
            </m:r>
          </m:sub>
        </m:sSub>
        <m:r>
          <m:rPr>
            <m:sty m:val="p"/>
          </m:rPr>
          <m:t>=</m:t>
        </m:r>
        <m:r>
          <m:t>2</m:t>
        </m:r>
        <m:r>
          <m:rPr>
            <m:sty m:val="p"/>
          </m:rPr>
          <m:t>,</m:t>
        </m:r>
        <m:r>
          <m:t>500</m:t>
        </m:r>
      </m:oMath>
      <w:r>
        <w:t xml:space="preserve">)</w:t>
      </w:r>
      <w:r>
        <w:rPr>
          <w:vertAlign w:val="superscript"/>
        </w:rPr>
        <w:t xml:space="preserve">1</w:t>
      </w:r>
      <w:r>
        <w:t xml:space="preserve">, generates a panel-relative truncation rate that varies by two orders of magnitude across panels:</w:t>
      </w:r>
      <w:r>
        <w:t xml:space="preserve"> </w:t>
      </w:r>
      <m:oMath>
        <m:sSub>
          <m:e>
            <m:r>
              <m:t>m</m:t>
            </m:r>
          </m:e>
          <m:sub>
            <m:r>
              <m:t>c</m:t>
            </m:r>
          </m:sub>
        </m:sSub>
        <m:r>
          <m:rPr>
            <m:sty m:val="p"/>
          </m:rPr>
          <m:t>=</m:t>
        </m:r>
        <m:r>
          <m:t>2</m:t>
        </m:r>
        <m:r>
          <m:rPr>
            <m:sty m:val="p"/>
          </m:rPr>
          <m:t>,</m:t>
        </m:r>
        <m:r>
          <m:t>500</m:t>
        </m:r>
      </m:oMath>
      <w:r>
        <w:t xml:space="preserve"> </w:t>
      </w:r>
      <w: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t xml:space="preserve"> </w:t>
      </w:r>
      <m:oMath>
        <m:sSup>
          <m:e>
            <m:r>
              <m:t>R</m:t>
            </m:r>
          </m:e>
          <m:sup>
            <m:r>
              <m:t>2</m:t>
            </m:r>
          </m:sup>
        </m:sSup>
      </m:oMath>
      <w:r>
        <w:t xml:space="preserve"> </w:t>
      </w:r>
      <w:r>
        <w:t xml:space="preserve">losses concentrated on low-frequency variants in admixed cohorts.</w:t>
      </w:r>
    </w:p>
    <w:p>
      <w:pPr>
        <w:pStyle w:val="BodyText"/>
      </w:pPr>
      <w:r>
        <w:t xml:space="preserve">Selphi 2 resolves</w:t>
      </w:r>
      <w:r>
        <w:t xml:space="preserve"> </w:t>
      </w:r>
      <m:oMath>
        <m:sSub>
          <m:e>
            <m:r>
              <m:t>m</m:t>
            </m:r>
          </m:e>
          <m:sub>
            <m:r>
              <m:t>c</m:t>
            </m:r>
          </m:sub>
        </m:sSub>
      </m:oMath>
      <w:r>
        <w:t xml:space="preserve"> </w:t>
      </w:r>
      <w:r>
        <w:t xml:space="preserve">automatically as</w:t>
      </w:r>
    </w:p>
    <w:p>
      <w:pPr>
        <w:pStyle w:val="BodyText"/>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pPr>
      <w:r>
        <w:t xml:space="preserve">where</w:t>
      </w:r>
      <w:r>
        <w:t xml:space="preserve"> </w:t>
      </w:r>
      <m:oMath>
        <m:sSub>
          <m:e>
            <m:r>
              <m:t>N</m:t>
            </m:r>
          </m:e>
          <m:sub>
            <m:r>
              <m:rPr>
                <m:nor/>
                <m:sty m:val="p"/>
              </m:rPr>
              <m:t>ref</m:t>
            </m:r>
          </m:sub>
        </m:sSub>
      </m:oMath>
      <w:r>
        <w:t xml:space="preserve"> </w:t>
      </w:r>
      <w:r>
        <w:t xml:space="preserve">is the total number of reference haplotypes,</w:t>
      </w:r>
      <w:r>
        <w:t xml:space="preserve"> </w:t>
      </w:r>
      <m:oMath>
        <m:r>
          <m:t>γ</m:t>
        </m:r>
      </m:oMath>
      <w:r>
        <w:t xml:space="preserve"> </w:t>
      </w:r>
      <w:r>
        <w:t xml:space="preserve">is a base fraction,</w:t>
      </w:r>
      <w:r>
        <w:t xml:space="preserve"> </w:t>
      </w:r>
      <m:oMath>
        <m:r>
          <m:t>α</m:t>
        </m:r>
      </m:oMath>
      <w:r>
        <w:t xml:space="preserve"> </w:t>
      </w:r>
      <w:r>
        <w:t xml:space="preserve">is a diversity-coupled fraction, and</w:t>
      </w:r>
      <w: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t xml:space="preserve"> </w:t>
      </w:r>
      <w:r>
        <w:t xml:space="preserve">is the coefficient of variation of compressed tile sizes in the SRP, computed once at panel load.</w:t>
      </w:r>
      <w:r>
        <w:t xml:space="preserve"> </w:t>
      </w:r>
      <m:oMath>
        <m:sSub>
          <m:e>
            <m:r>
              <m:rPr>
                <m:sty m:val="p"/>
              </m:rPr>
              <m:t>C</m:t>
            </m:r>
            <m:r>
              <m:rPr>
                <m:sty m:val="p"/>
              </m:rPr>
              <m:t>V</m:t>
            </m:r>
          </m:e>
          <m:sub>
            <m:r>
              <m:rPr>
                <m:nor/>
                <m:sty m:val="p"/>
              </m:rPr>
              <m:t>panel</m:t>
            </m:r>
          </m:sub>
        </m:sSub>
      </m:oMath>
      <w:r>
        <w:t xml:space="preserve"> </w:t>
      </w:r>
      <w:r>
        <w:t xml:space="preserve">is a proxy for haplotype-pattern diversity: panels containing multiple distinct mosaic structures (multiple ancestries, divergent sub-populations) compress less uniformly than ancestrally homogeneous panels, yielding higher CV.</w:t>
      </w:r>
    </w:p>
    <w:p>
      <w:pPr>
        <w:pStyle w:val="BodyText"/>
      </w:pPr>
      <w:r>
        <w:rPr>
          <w:b/>
          <w:bCs/>
        </w:rPr>
        <w:t xml:space="preserve">Choice of</w:t>
      </w:r>
      <w:r>
        <w:rPr>
          <w:b/>
          <w:bCs/>
        </w:rPr>
        <w:t xml:space="preserve"> </w:t>
      </w:r>
      <m:oMath>
        <m:r>
          <m:t>γ</m:t>
        </m:r>
      </m:oMath>
      <w:r>
        <w:rPr>
          <w:b/>
          <w:bCs/>
        </w:rPr>
        <w:t xml:space="preserve">,</w:t>
      </w:r>
      <w:r>
        <w:rPr>
          <w:b/>
          <w:bCs/>
        </w:rPr>
        <w:t xml:space="preserve"> </w:t>
      </w:r>
      <m:oMath>
        <m:r>
          <m:t>α</m:t>
        </m:r>
      </m:oMath>
      <w:r>
        <w:rPr>
          <w:b/>
          <w:bCs/>
        </w:rPr>
        <w:t xml:space="preserve">, and the small-panel rule.</w:t>
      </w:r>
      <w:r>
        <w:t xml:space="preserve"> </w:t>
      </w:r>
      <w: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t xml:space="preserve"> </w:t>
      </w:r>
      <w:r>
        <w:rPr>
          <w:b/>
          <w:bCs/>
        </w:rPr>
        <w:t xml:space="preserve">entire panel</w:t>
      </w:r>
      <w:r>
        <w:t xml:space="preserve"> </w:t>
      </w:r>
      <w:r>
        <w:t xml:space="preserve">as the conditioning set when it contains at most 16,000 haplotypes (≈8,000 samples), applying the formula</w:t>
      </w:r>
      <w: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t xml:space="preserve">, with</w:t>
      </w:r>
      <w:r>
        <w:t xml:space="preserve"> </w:t>
      </w:r>
      <m:oMath>
        <m:r>
          <m:t>γ</m:t>
        </m:r>
        <m:r>
          <m:rPr>
            <m:sty m:val="p"/>
          </m:rPr>
          <m:t>=</m:t>
        </m:r>
        <m:r>
          <m:t>0.10</m:t>
        </m:r>
      </m:oMath>
      <w:r>
        <w:t xml:space="preserve"> </w:t>
      </w:r>
      <w:r>
        <w:t xml:space="preserve">and</w:t>
      </w:r>
      <w:r>
        <w:t xml:space="preserve"> </w:t>
      </w:r>
      <m:oMath>
        <m:r>
          <m:t>α</m:t>
        </m:r>
        <m:r>
          <m:rPr>
            <m:sty m:val="p"/>
          </m:rPr>
          <m:t>=</m:t>
        </m:r>
        <m:r>
          <m:t>0.80</m:t>
        </m:r>
      </m:oMath>
      <w:r>
        <w:t xml:space="preserve">, only above that size (the result is additionally capped at</w:t>
      </w:r>
      <w:r>
        <w:t xml:space="preserve"> </w:t>
      </w:r>
      <m:oMath>
        <m:sSub>
          <m:e>
            <m:r>
              <m:t>N</m:t>
            </m:r>
          </m:e>
          <m:sub>
            <m:r>
              <m:rPr>
                <m:nor/>
                <m:sty m:val="p"/>
              </m:rPr>
              <m:t>ref</m:t>
            </m:r>
          </m:sub>
        </m:sSub>
      </m:oMath>
      <w: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t xml:space="preserve"> </w:t>
      </w:r>
      <m:oMath>
        <m:sSub>
          <m:e>
            <m:r>
              <m:t>m</m:t>
            </m:r>
          </m:e>
          <m:sub>
            <m:r>
              <m:t>c</m:t>
            </m:r>
          </m:sub>
        </m:sSub>
        <m:r>
          <m:rPr>
            <m:sty m:val="p"/>
          </m:rPr>
          <m:t>=</m:t>
        </m:r>
        <m:r>
          <m:t>132</m:t>
        </m:r>
        <m:r>
          <m:rPr>
            <m:sty m:val="p"/>
          </m:rPr>
          <m:t>,</m:t>
        </m:r>
        <m:r>
          <m:t>676</m:t>
        </m:r>
      </m:oMath>
      <w:r>
        <w:t xml:space="preserve"> </w:t>
      </w:r>
      <w:r>
        <w:t xml:space="preserve">for the TOPMed panel (</w:t>
      </w:r>
      <m:oMath>
        <m:sSub>
          <m:e>
            <m:r>
              <m:rPr>
                <m:sty m:val="p"/>
              </m:rPr>
              <m:t>C</m:t>
            </m:r>
            <m:r>
              <m:rPr>
                <m:sty m:val="p"/>
              </m:rPr>
              <m:t>V</m:t>
            </m:r>
          </m:e>
          <m:sub>
            <m:r>
              <m:rPr>
                <m:nor/>
                <m:sty m:val="p"/>
              </m:rPr>
              <m:t>panel</m:t>
            </m:r>
          </m:sub>
        </m:sSub>
        <m:r>
          <m:rPr>
            <m:sty m:val="p"/>
          </m:rPr>
          <m:t>=</m:t>
        </m:r>
        <m:r>
          <m:t>0.845</m:t>
        </m:r>
      </m:oMath>
      <w:r>
        <w:t xml:space="preserve">,</w:t>
      </w:r>
      <w:r>
        <w:t xml:space="preserve"> </w:t>
      </w:r>
      <m:oMath>
        <m:sSub>
          <m:e>
            <m:r>
              <m:t>N</m:t>
            </m:r>
          </m:e>
          <m:sub>
            <m:r>
              <m:rPr>
                <m:nor/>
                <m:sty m:val="p"/>
              </m:rPr>
              <m:t>ref</m:t>
            </m:r>
          </m:sub>
        </m:sSub>
        <m:r>
          <m:rPr>
            <m:sty m:val="p"/>
          </m:rPr>
          <m:t>=</m:t>
        </m:r>
        <m:r>
          <m:t>171</m:t>
        </m:r>
        <m:r>
          <m:rPr>
            <m:sty m:val="p"/>
          </m:rPr>
          <m:t>,</m:t>
        </m:r>
        <m:r>
          <m:t>054</m:t>
        </m:r>
      </m:oMath>
      <w:r>
        <w:t xml:space="preserve">; 78% of the panel). Users may override the automatic</w:t>
      </w:r>
      <w:r>
        <w:t xml:space="preserve"> </w:t>
      </w:r>
      <m:oMath>
        <m:sSub>
          <m:e>
            <m:r>
              <m:t>m</m:t>
            </m:r>
          </m:e>
          <m:sub>
            <m:r>
              <m:t>c</m:t>
            </m:r>
          </m:sub>
        </m:sSub>
      </m:oMath>
      <w:r>
        <w:t xml:space="preserve"> </w:t>
      </w:r>
      <w:r>
        <w:t xml:space="preserve">with a fixed value for reproducibility with prior results.</w:t>
      </w:r>
    </w:p>
    <w:p>
      <w:pPr>
        <w:pStyle w:val="BodyText"/>
      </w:pPr>
      <w:r>
        <w:t xml:space="preserve">The resulting HMM posterior weights are stored as sparse CSR matrices (row-per-chip-variant, column-per-reference-haplotype), with entries below</w:t>
      </w:r>
      <w:r>
        <w:t xml:space="preserve"> </w:t>
      </w:r>
      <m:oMath>
        <m:r>
          <m:t>1</m:t>
        </m:r>
        <m:r>
          <m:rPr>
            <m:sty m:val="p"/>
          </m:rPr>
          <m:t>/</m:t>
        </m:r>
        <m:r>
          <m:rPr>
            <m:sty m:val="p"/>
          </m:rPr>
          <m:t>(</m:t>
        </m:r>
        <m:r>
          <m:t>H</m:t>
        </m:r>
        <m:r>
          <m:rPr>
            <m:sty m:val="p"/>
          </m:rPr>
          <m:t>+</m:t>
        </m:r>
        <m:r>
          <m:t>1</m:t>
        </m:r>
        <m:r>
          <m:rPr>
            <m:sty m:val="p"/>
          </m:rPr>
          <m:t>)</m:t>
        </m:r>
      </m:oMath>
      <w:r>
        <w:t xml:space="preserve"> </w:t>
      </w:r>
      <w:r>
        <w:t xml:space="preserve">set to zero.</w:t>
      </w:r>
    </w:p>
    <w:bookmarkEnd w:id="18"/>
    <w:bookmarkStart w:id="19" w:name="interpolation-and-output"/>
    <w:p>
      <w:pPr>
        <w:pStyle w:val="Heading3"/>
      </w:pPr>
      <w:r>
        <w:rPr>
          <w:b/>
          <w:bCs/>
        </w:rPr>
        <w:t xml:space="preserve">Interpolation and output</w:t>
      </w:r>
    </w:p>
    <w:p>
      <w:pPr>
        <w:pStyle w:val="FirstParagraph"/>
      </w:pPr>
      <w:r>
        <w:t xml:space="preserve">Between consecutive shared-variant positions (chip sites), imputed dosages at reference-panel-only positions are computed by linear interpolation of the HMM-derived haplotype weights, following the standard approach</w:t>
      </w:r>
      <w:r>
        <w:t xml:space="preserve"> </w:t>
      </w:r>
      <w:r>
        <w:rPr>
          <w:vertAlign w:val="superscript"/>
        </w:rPr>
        <w:t xml:space="preserve">6,9</w:t>
      </w:r>
      <w:r>
        <w:t xml:space="preserve">:</w:t>
      </w:r>
    </w:p>
    <w:p>
      <w:pPr>
        <w:pStyle w:val="BodyText"/>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pPr>
      <w:r>
        <w:t xml:space="preserve">where</w:t>
      </w:r>
      <w:r>
        <w:t xml:space="preserve"> </w:t>
      </w:r>
      <m:oMath>
        <m:sSub>
          <m:e>
            <m:r>
              <m:t>w</m:t>
            </m:r>
          </m:e>
          <m:sub>
            <m:r>
              <m:t>r</m:t>
            </m:r>
          </m:sub>
        </m:sSub>
        <m:r>
          <m:rPr>
            <m:sty m:val="p"/>
          </m:rPr>
          <m:t>(</m:t>
        </m:r>
        <m:r>
          <m:t>j</m:t>
        </m:r>
        <m:r>
          <m:rPr>
            <m:sty m:val="p"/>
          </m:rPr>
          <m:t>)</m:t>
        </m:r>
      </m:oMath>
      <w:r>
        <w:t xml:space="preserve"> </w:t>
      </w:r>
      <w:r>
        <w:t xml:space="preserve">is the interpolated weight of reference haplotype r at position j, and</w:t>
      </w:r>
      <w:r>
        <w:t xml:space="preserve"> </w:t>
      </w:r>
      <m:oMath>
        <m:sSub>
          <m:e>
            <m:r>
              <m:t>x</m:t>
            </m:r>
          </m:e>
          <m:sub>
            <m:r>
              <m:t>r</m:t>
            </m:r>
          </m:sub>
        </m:sSub>
        <m:r>
          <m:rPr>
            <m:sty m:val="p"/>
          </m:rPr>
          <m:t>(</m:t>
        </m:r>
        <m:r>
          <m:t>j</m:t>
        </m:r>
        <m:r>
          <m:rPr>
            <m:sty m:val="p"/>
          </m:rPr>
          <m:t>)</m:t>
        </m:r>
      </m:oMath>
      <w:r>
        <w:t xml:space="preserve"> </w:t>
      </w:r>
      <w: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pPr>
      <w:r>
        <w:t xml:space="preserve">Interpolation operates on tiles of 1,024 variants</w:t>
      </w:r>
      <w:r>
        <w:t xml:space="preserve"> </w:t>
      </w:r>
      <m:oMath>
        <m:r>
          <m:rPr>
            <m:sty m:val="p"/>
          </m:rPr>
          <m:t>×</m:t>
        </m:r>
      </m:oMath>
      <w:r>
        <w:t xml:space="preserve"> </w:t>
      </w:r>
      <w: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pPr>
      <w:r>
        <w:t xml:space="preserve">The per-variant dosage R-squared (DR2) quality metric</w:t>
      </w:r>
      <w:r>
        <w:t xml:space="preserve"> </w:t>
      </w:r>
      <w:r>
        <w:rPr>
          <w:vertAlign w:val="superscript"/>
        </w:rPr>
        <w:t xml:space="preserve">24</w:t>
      </w:r>
      <w:r>
        <w:t xml:space="preserve"> </w:t>
      </w:r>
      <w:r>
        <w:t xml:space="preserve">is computed using a numerically stable two-pass method:</w:t>
      </w:r>
    </w:p>
    <w:p>
      <w:pPr>
        <w:pStyle w:val="BodyText"/>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pPr>
      <w:r>
        <w:t xml:space="preserve">where</w:t>
      </w:r>
      <w: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t xml:space="preserve"> </w:t>
      </w:r>
      <w:r>
        <w:t xml:space="preserve">is the estimated alternate allele frequency, and var(dosage) is computed as the mean of squared deviations from the mean (avoiding the numerically unstable single-pass</w:t>
      </w:r>
      <w: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t xml:space="preserve"> </w:t>
      </w:r>
      <w:r>
        <w:t xml:space="preserve">formula).</w:t>
      </w:r>
    </w:p>
    <w:p>
      <w:pPr>
        <w:pStyle w:val="BodyText"/>
      </w:pPr>
      <w: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pPr>
      <w:r>
        <w:t xml:space="preserve">Selphi 2 supports five output formats from a single interpolation pass: VCF.gz (multi-threaded BGZF compression), native BCF 2.2</w:t>
      </w:r>
      <w:r>
        <w:t xml:space="preserve"> </w:t>
      </w:r>
      <w:r>
        <w:rPr>
          <w:vertAlign w:val="superscript"/>
        </w:rPr>
        <w:t xml:space="preserve">25</w:t>
      </w:r>
      <w:r>
        <w:t xml:space="preserve">, Apache Parquet (zstd-compressed, variant-major columnar layout), PLINK2 PGEN</w:t>
      </w:r>
      <w:r>
        <w:t xml:space="preserve"> </w:t>
      </w:r>
      <w:r>
        <w:rPr>
          <w:vertAlign w:val="superscript"/>
        </w:rPr>
        <w:t xml:space="preserve">13</w:t>
      </w:r>
      <w:r>
        <w:t xml:space="preserve"> </w:t>
      </w:r>
      <w: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bookmarkEnd w:id="19"/>
    <w:bookmarkStart w:id="20" w:name="X564c65032df1e52b5739bf2dcd4ddb74148b8b4"/>
    <w:p>
      <w:pPr>
        <w:pStyle w:val="Heading3"/>
      </w:pPr>
      <w:r>
        <w:rPr>
          <w:b/>
          <w:bCs/>
        </w:rPr>
        <w:t xml:space="preserve">Low-coverage sequencing imputation engine</w:t>
      </w:r>
    </w:p>
    <w:p>
      <w:pPr>
        <w:pStyle w:val="FirstParagraph"/>
      </w:pPr>
      <w: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t xml:space="preserve"> </w:t>
      </w:r>
      <w:r>
        <w:t xml:space="preserve">depth, most sites carry no confident call but a soft genotype likelihood (GL) derived from one or two reads. Selphi 2 provides a dedicated lcWGS engine, selected with</w:t>
      </w:r>
      <w:r>
        <w:t xml:space="preserve"> </w:t>
      </w:r>
      <w:r>
        <w:rPr>
          <w:rStyle w:val="VerbatimChar"/>
        </w:rPr>
        <w:t xml:space="preserve">--lcwgs</w:t>
      </w:r>
      <w:r>
        <w:t xml:space="preserve">, that reuses the reference-panel ingestion (SRP), the</w:t>
      </w:r>
      <w:r>
        <w:t xml:space="preserve"> </w:t>
      </w:r>
      <w:r>
        <w:rPr>
          <w:rStyle w:val="VerbatimChar"/>
        </w:rPr>
        <w:t xml:space="preserve">HaplotypeBitmatrix</w:t>
      </w:r>
      <w:r>
        <w:t xml:space="preserve">, the genetic map, and the output writers, but replaces the hard-call HMM with a genotype-likelihood-aware Li-Stephens model. GLIMPSE2</w:t>
      </w:r>
      <w:r>
        <w:t xml:space="preserve"> </w:t>
      </w:r>
      <w:r>
        <w:rPr>
          <w:vertAlign w:val="superscript"/>
        </w:rPr>
        <w:t xml:space="preserve">2</w:t>
      </w:r>
      <w:r>
        <w:t xml:space="preserve"> </w:t>
      </w:r>
      <w:r>
        <w:t xml:space="preserve">established that this regime is best addressed by imputing directly from genotype likelihoods rather than from hard calls; we benchmark against it in Results.</w:t>
      </w:r>
    </w:p>
    <w:p>
      <w:pPr>
        <w:pStyle w:val="BodyText"/>
      </w:pPr>
      <w:r>
        <w:t xml:space="preserve">The engine reads per-sample Phred-scaled genotype likelihoods (the</w:t>
      </w:r>
      <w:r>
        <w:t xml:space="preserve"> </w:t>
      </w:r>
      <w:r>
        <w:rPr>
          <w:rStyle w:val="VerbatimChar"/>
        </w:rPr>
        <w:t xml:space="preserve">PL</w:t>
      </w:r>
      <w:r>
        <w:t xml:space="preserve"> </w:t>
      </w:r>
      <w:r>
        <w:t xml:space="preserve">field produced by</w:t>
      </w:r>
      <w:r>
        <w:t xml:space="preserve"> </w:t>
      </w:r>
      <w:r>
        <w:rPr>
          <w:rStyle w:val="VerbatimChar"/>
        </w:rPr>
        <w:t xml:space="preserve">bcftools mpileup | call</w:t>
      </w:r>
      <w: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r>
        <w:t xml:space="preserve"> </w:t>
      </w:r>
      <w:r>
        <w:rPr>
          <w:vertAlign w:val="superscript"/>
        </w:rPr>
        <w:t xml:space="preserve">25</w:t>
      </w:r>
      <w:r>
        <w:t xml:space="preserve"> </w:t>
      </w:r>
      <w: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t xml:space="preserve"> </w:t>
      </w:r>
      <w:r>
        <w:t xml:space="preserve">if the base matches else</w:t>
      </w:r>
      <w:r>
        <w:t xml:space="preserve"> </w:t>
      </w:r>
      <m:oMath>
        <m:r>
          <m:t>ε</m:t>
        </m:r>
        <m:r>
          <m:rPr>
            <m:sty m:val="p"/>
          </m:rPr>
          <m:t>/</m:t>
        </m:r>
        <m:r>
          <m:t>3</m:t>
        </m:r>
      </m:oMath>
      <w:r>
        <w:t xml:space="preserve">, with</w:t>
      </w:r>
      <w:r>
        <w:t xml:space="preserve"> </w:t>
      </w:r>
      <m:oMath>
        <m:r>
          <m:t>ε</m:t>
        </m:r>
        <m:r>
          <m:rPr>
            <m:sty m:val="p"/>
          </m:rPr>
          <m:t>=</m:t>
        </m:r>
        <m:sSup>
          <m:e>
            <m:r>
              <m:t>10</m:t>
            </m:r>
          </m:e>
          <m:sup>
            <m:r>
              <m:rPr>
                <m:sty m:val="p"/>
              </m:rPr>
              <m:t>−</m:t>
            </m:r>
            <m:r>
              <m:t>Q</m:t>
            </m:r>
            <m:r>
              <m:rPr>
                <m:sty m:val="p"/>
              </m:rPr>
              <m:t>/</m:t>
            </m:r>
            <m:r>
              <m:t>10</m:t>
            </m:r>
          </m:sup>
        </m:sSup>
      </m:oMath>
      <w:r>
        <w:t xml:space="preserve"> </w:t>
      </w:r>
      <w:r>
        <w:t xml:space="preserve">and the heterozygous term</w:t>
      </w:r>
      <w: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t xml:space="preserve">), filtered by mapping and base quality; the result matches</w:t>
      </w:r>
      <w:r>
        <w:t xml:space="preserve"> </w:t>
      </w:r>
      <w:r>
        <w:rPr>
          <w:rStyle w:val="VerbatimChar"/>
        </w:rPr>
        <w:t xml:space="preserve">bcftools mpileup</w:t>
      </w:r>
      <w:r>
        <w:t xml:space="preserve"> </w:t>
      </w:r>
      <w: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Style w:val="VerbatimChar"/>
        </w:rPr>
        <w:t xml:space="preserve">.bai</w:t>
      </w:r>
      <w:r>
        <w:t xml:space="preserve">/</w:t>
      </w:r>
      <w:r>
        <w:rPr>
          <w:rStyle w:val="VerbatimChar"/>
        </w:rPr>
        <w:t xml:space="preserve">.crai</w:t>
      </w:r>
      <w: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t xml:space="preserve"> </w:t>
      </w:r>
      <m:oMath>
        <m:r>
          <m:t>P</m:t>
        </m:r>
        <m:r>
          <m:rPr>
            <m:sty m:val="p"/>
          </m:rPr>
          <m:t>(</m:t>
        </m:r>
        <m:r>
          <m:rPr>
            <m:nor/>
            <m:sty m:val="p"/>
          </m:rPr>
          <m:t>read</m:t>
        </m:r>
        <m:r>
          <m:t> </m:t>
        </m:r>
        <m:r>
          <m:rPr>
            <m:sty m:val="p"/>
          </m:rPr>
          <m:t>|</m:t>
        </m:r>
        <m:r>
          <m:t> </m:t>
        </m:r>
        <m:r>
          <m:rPr>
            <m:nor/>
            <m:sty m:val="p"/>
          </m:rPr>
          <m:t>REF</m:t>
        </m:r>
        <m:r>
          <m:rPr>
            <m:sty m:val="p"/>
          </m:rPr>
          <m:t>)</m:t>
        </m:r>
      </m:oMath>
      <w:r>
        <w:t xml:space="preserve"> </w:t>
      </w:r>
      <w:r>
        <w:t xml:space="preserve">and</w:t>
      </w:r>
      <w:r>
        <w:t xml:space="preserve"> </w:t>
      </w:r>
      <m:oMath>
        <m:r>
          <m:t>P</m:t>
        </m:r>
        <m:r>
          <m:rPr>
            <m:sty m:val="p"/>
          </m:rPr>
          <m:t>(</m:t>
        </m:r>
        <m:r>
          <m:rPr>
            <m:nor/>
            <m:sty m:val="p"/>
          </m:rPr>
          <m:t>read</m:t>
        </m:r>
        <m:r>
          <m:t> </m:t>
        </m:r>
        <m:r>
          <m:rPr>
            <m:sty m:val="p"/>
          </m:rPr>
          <m:t>|</m:t>
        </m:r>
        <m:r>
          <m:t> </m:t>
        </m:r>
        <m:r>
          <m:rPr>
            <m:nor/>
            <m:sty m:val="p"/>
          </m:rPr>
          <m:t>ALT</m:t>
        </m:r>
        <m:r>
          <m:rPr>
            <m:sty m:val="p"/>
          </m:rPr>
          <m:t>)</m:t>
        </m:r>
      </m:oMath>
      <w:r>
        <w:t xml:space="preserve"> </w:t>
      </w:r>
      <w:r>
        <w:t xml:space="preserve">into the genotype likelihoods as for a SNP. To verify that this in-process pileup is faithful to the external</w:t>
      </w:r>
      <w:r>
        <w:t xml:space="preserve"> </w:t>
      </w:r>
      <w:r>
        <w:rPr>
          <w:rStyle w:val="VerbatimChar"/>
        </w:rPr>
        <w:t xml:space="preserve">bcftools mpileup</w:t>
      </w:r>
      <w:r>
        <w:t xml:space="preserve"> </w:t>
      </w:r>
      <w:r>
        <w:t xml:space="preserve">path, we ran a downsampling check (a 52</w:t>
      </w:r>
      <m:oMath>
        <m:r>
          <m:rPr>
            <m:sty m:val="p"/>
          </m:rPr>
          <m:t>×</m:t>
        </m:r>
      </m:oMath>
      <w:r>
        <w:t xml:space="preserve"> </w:t>
      </w:r>
      <w:r>
        <w:t xml:space="preserve">whole-genome sample reduced to 1</w:t>
      </w:r>
      <m:oMath>
        <m:r>
          <m:rPr>
            <m:sty m:val="p"/>
          </m:rPr>
          <m:t>×</m:t>
        </m:r>
      </m:oMath>
      <w:r>
        <w:t xml:space="preserve">, with the full-depth calls as truth): Selphi 2’s native pileup attains per-allele-frequency-bin aggregate</w:t>
      </w:r>
      <w:r>
        <w:t xml:space="preserve"> </w:t>
      </w:r>
      <m:oMath>
        <m:sSup>
          <m:e>
            <m:r>
              <m:t>r</m:t>
            </m:r>
          </m:e>
          <m:sup>
            <m:r>
              <m:t>2</m:t>
            </m:r>
          </m:sup>
        </m:sSup>
      </m:oMath>
      <w:r>
        <w:t xml:space="preserve"> </w:t>
      </w:r>
      <w: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t xml:space="preserve"> </w:t>
      </w:r>
      <w:r>
        <w:rPr>
          <w:rStyle w:val="VerbatimChar"/>
        </w:rPr>
        <w:t xml:space="preserve">GT:DS:GP</w:t>
      </w:r>
      <w:r>
        <w:t xml:space="preserve"> </w:t>
      </w:r>
      <w: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pPr>
      <w: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t xml:space="preserve">panel matrix, so its memory is independent of panel haplotype count.</w:t>
      </w:r>
    </w:p>
    <w:bookmarkEnd w:id="20"/>
    <w:bookmarkStart w:id="21" w:name="sparse-reference-panel-format-srp"/>
    <w:p>
      <w:pPr>
        <w:pStyle w:val="Heading3"/>
      </w:pPr>
      <w:r>
        <w:rPr>
          <w:b/>
          <w:bCs/>
        </w:rPr>
        <w:t xml:space="preserve">Sparse Reference Panel format (SRP)</w:t>
      </w:r>
    </w:p>
    <w:p>
      <w:pPr>
        <w:pStyle w:val="FirstParagraph"/>
      </w:pPr>
      <w:r>
        <w:t xml:space="preserve">The SRP format stores reference panel haplotypes as a 2D tiled sparse matrix. Each tile covers 1,024 variants</w:t>
      </w:r>
      <w:r>
        <w:t xml:space="preserve"> </w:t>
      </w:r>
      <m:oMath>
        <m:r>
          <m:rPr>
            <m:sty m:val="p"/>
          </m:rPr>
          <m:t>×</m:t>
        </m:r>
      </m:oMath>
      <w:r>
        <w:t xml:space="preserve"> </w:t>
      </w:r>
      <w: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pPr>
      <w:r>
        <w:t xml:space="preserve">SRP creation is fully streaming: source data (BCF, VCF, or BREF3</w:t>
      </w:r>
      <w:r>
        <w:t xml:space="preserve"> </w:t>
      </w:r>
      <w:r>
        <w:rPr>
          <w:vertAlign w:val="superscript"/>
        </w:rPr>
        <w:t xml:space="preserve">7</w:t>
      </w:r>
      <w:r>
        <w:t xml:space="preserve">) is processed chunk-by-chunk, with each source chunk decompressed once and scattered to tile columns in parallel. Completed stripes are flushed to disk immediately, keeping peak memory below 500 MB for any panel size. The parallel BCF reader uses CSI index</w:t>
      </w:r>
      <w:r>
        <w:t xml:space="preserve"> </w:t>
      </w:r>
      <w:r>
        <w:rPr>
          <w:vertAlign w:val="superscript"/>
        </w:rPr>
        <w:t xml:space="preserve">25</w:t>
      </w:r>
      <w:r>
        <w:t xml:space="preserve"> </w:t>
      </w:r>
      <w: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t xml:space="preserve"> </w:t>
      </w:r>
      <w:r>
        <w:rPr>
          <w:rStyle w:val="VerbatimChar"/>
        </w:rPr>
        <w:t xml:space="preserve">unbref3</w:t>
      </w:r>
      <w:r>
        <w:t xml:space="preserve"> </w:t>
      </w:r>
      <w:r>
        <w:t xml:space="preserve">and the per-stage intermediate files it requires; the decoded genotypes are byte-identical to</w:t>
      </w:r>
      <w:r>
        <w:t xml:space="preserve"> </w:t>
      </w:r>
      <w:r>
        <w:rPr>
          <w:rStyle w:val="VerbatimChar"/>
        </w:rPr>
        <w:t xml:space="preserve">unbref3</w:t>
      </w:r>
      <w:r>
        <w:t xml:space="preserve">.</w:t>
      </w:r>
    </w:p>
    <w:p>
      <w:pPr>
        <w:pStyle w:val="BodyText"/>
      </w:pPr>
      <w: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bookmarkEnd w:id="21"/>
    <w:bookmarkStart w:id="22" w:name="multi-chromosome-processing"/>
    <w:p>
      <w:pPr>
        <w:pStyle w:val="Heading3"/>
      </w:pPr>
      <w:r>
        <w:rPr>
          <w:b/>
          <w:bCs/>
        </w:rPr>
        <w:t xml:space="preserve">Multi-chromosome processing</w:t>
      </w:r>
    </w:p>
    <w:p>
      <w:pPr>
        <w:pStyle w:val="FirstParagraph"/>
      </w:pPr>
      <w: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pPr>
      <w: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pPr>
      <w:r>
        <w:t xml:space="preserve">Output is written to a single VCF/BCF file across all chromosomes, with per-chromosome BGZF blocks concatenated natively (preserving block alignment for tabix/CSI indexing).</w:t>
      </w:r>
    </w:p>
    <w:bookmarkEnd w:id="22"/>
    <w:bookmarkStart w:id="23" w:name="ld-correction"/>
    <w:p>
      <w:pPr>
        <w:pStyle w:val="Heading3"/>
      </w:pPr>
      <w:r>
        <w:rPr>
          <w:b/>
          <w:bCs/>
        </w:rPr>
        <w:t xml:space="preserve">LD correction</w:t>
      </w:r>
    </w:p>
    <w:p>
      <w:pPr>
        <w:pStyle w:val="FirstParagraph"/>
      </w:pPr>
      <w:r>
        <w:t xml:space="preserve">Genetic map distances used in the HMM transition probabilities are corrected for local linkage disequilibrium (LD) patterns</w:t>
      </w:r>
      <w:r>
        <w:t xml:space="preserve"> </w:t>
      </w:r>
      <w:r>
        <w:rPr>
          <w:vertAlign w:val="superscript"/>
        </w:rPr>
        <w:t xml:space="preserve">26</w:t>
      </w:r>
      <w: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bookmarkEnd w:id="23"/>
    <w:bookmarkStart w:id="24" w:name="Xb89cf25ae68878ae3bd6e7d57b51847af9ce43e"/>
    <w:p>
      <w:pPr>
        <w:pStyle w:val="Heading3"/>
      </w:pPr>
      <w:r>
        <w:rPr>
          <w:b/>
          <w:bCs/>
        </w:rPr>
        <w:t xml:space="preserve">Consumer-array benchmark: data preparation and evaluation</w:t>
      </w:r>
    </w:p>
    <w:p>
      <w:pPr>
        <w:pStyle w:val="FirstParagraph"/>
      </w:pPr>
      <w:r>
        <w:t xml:space="preserve">For the consumer-array benchmark (Results,</w:t>
      </w:r>
      <w:r>
        <w:t xml:space="preserve"> </w:t>
      </w:r>
      <w:r>
        <w:rPr>
          <w:i/>
          <w:iCs/>
        </w:rPr>
        <w:t xml:space="preserve">Imputation accuracy on consumer arrays against high-coverage WGS truth</w:t>
      </w:r>
      <w: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t xml:space="preserve">). All six were confirmed absent from the reference panel before any analysis.</w:t>
      </w:r>
    </w:p>
    <w:p>
      <w:pPr>
        <w:pStyle w:val="BodyText"/>
      </w:pPr>
      <w:r>
        <w:rPr>
          <w:i/>
          <w:iCs/>
        </w:rPr>
        <w:t xml:space="preserve">Truth construction.</w:t>
      </w:r>
      <w:r>
        <w:t xml:space="preserve"> </w:t>
      </w:r>
      <w:r>
        <w:t xml:space="preserve">DRAGEN hard-filtered WGS calls were normalized and decomposed with</w:t>
      </w:r>
      <w:r>
        <w:t xml:space="preserve"> </w:t>
      </w:r>
      <w:r>
        <w:rPr>
          <w:rStyle w:val="VerbatimChar"/>
        </w:rPr>
        <w:t xml:space="preserve">bcftools norm -m-any</w:t>
      </w:r>
      <w:r>
        <w:t xml:space="preserve"> </w:t>
      </w:r>
      <w:r>
        <w:t xml:space="preserve">against the GRCh38 reference, then restricted to high-confidence genotypes by requiring</w:t>
      </w:r>
      <w:r>
        <w:t xml:space="preserve"> </w:t>
      </w:r>
      <w:r>
        <w:rPr>
          <w:rStyle w:val="VerbatimChar"/>
        </w:rPr>
        <w:t xml:space="preserve">FILTER=PASS</w:t>
      </w:r>
      <w:r>
        <w:t xml:space="preserve">, genotype quality</w:t>
      </w:r>
      <w:r>
        <w:t xml:space="preserve"> </w:t>
      </w:r>
      <w:r>
        <w:rPr>
          <w:rStyle w:val="VerbatimChar"/>
        </w:rPr>
        <w:t xml:space="preserve">GQ ≥ 20</w:t>
      </w:r>
      <w:r>
        <w:t xml:space="preserve">, and read depth</w:t>
      </w:r>
      <w:r>
        <w:t xml:space="preserve"> </w:t>
      </w:r>
      <w:r>
        <w:rPr>
          <w:rStyle w:val="VerbatimChar"/>
        </w:rPr>
        <w:t xml:space="preserve">DP ≥ 10</w:t>
      </w:r>
      <w:r>
        <w:t xml:space="preserve">. This removed roughly 14% of raw calls (e.g. 5.09M → 4.66M for one sample);</w:t>
      </w:r>
      <w:r>
        <w:t xml:space="preserve"> </w:t>
      </w:r>
      <w:r>
        <w:rPr>
          <w:rStyle w:val="VerbatimChar"/>
        </w:rPr>
        <w:t xml:space="preserve">FILTER=PASS</w:t>
      </w:r>
      <w:r>
        <w:t xml:space="preserve"> </w:t>
      </w:r>
      <w:r>
        <w:t xml:space="preserve">alone retained many low-confidence calls (genotypes supported by</w:t>
      </w:r>
      <w:r>
        <w:t xml:space="preserve"> </w:t>
      </w:r>
      <w:r>
        <w:rPr>
          <w:rStyle w:val="VerbatimChar"/>
        </w:rPr>
        <w:t xml:space="preserve">GQ</w:t>
      </w:r>
      <w:r>
        <w:t xml:space="preserve"> </w:t>
      </w:r>
      <w:r>
        <w:t xml:space="preserve">as low as 5) and was insufficient. Both SNPs and indels were retained and evaluated separately. The high-confidence set defines the truth genotype at every site it contains.</w:t>
      </w:r>
    </w:p>
    <w:p>
      <w:pPr>
        <w:pStyle w:val="BodyText"/>
      </w:pPr>
      <w:r>
        <w:rPr>
          <w:i/>
          <w:iCs/>
        </w:rPr>
        <w:t xml:space="preserve">Array input.</w:t>
      </w:r>
      <w:r>
        <w:t xml:space="preserve"> </w:t>
      </w:r>
      <w: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pPr>
      <w:r>
        <w:rPr>
          <w:i/>
          <w:iCs/>
        </w:rPr>
        <w:t xml:space="preserve">Imputation.</w:t>
      </w:r>
      <w:r>
        <w:t xml:space="preserve"> </w:t>
      </w:r>
      <w:r>
        <w:t xml:space="preserve">The array cohort was imputed against the 75,552-haplotype reference panel with each tool given the same per-chromosome genetic map. For the</w:t>
      </w:r>
      <w:r>
        <w:t xml:space="preserve"> </w:t>
      </w:r>
      <w:r>
        <w:t xml:space="preserve">“Beagle-phased”</w:t>
      </w:r>
      <w:r>
        <w:t xml:space="preserve"> </w:t>
      </w:r>
      <w:r>
        <w:t xml:space="preserve">rows, both Selphi 2 and Selphi 1.5.3 were given Beagle’s phase-only output as their phased input, isolating the imputation step from phasing quality; the</w:t>
      </w:r>
      <w:r>
        <w:t xml:space="preserve"> </w:t>
      </w:r>
      <w:r>
        <w:t xml:space="preserve">“haploid”</w:t>
      </w:r>
      <w:r>
        <w:t xml:space="preserve">/</w:t>
      </w:r>
      <w:r>
        <w:t xml:space="preserve">“diploid”</w:t>
      </w:r>
      <w:r>
        <w:t xml:space="preserve"> </w:t>
      </w:r>
      <w:r>
        <w:t xml:space="preserve">rows use Selphi 2’s internal phasing engines. Beagle 5.5 (build 03 Oct 2025) was run as a full phase-plus-impute pipeline against the same panel in</w:t>
      </w:r>
      <w:r>
        <w:t xml:space="preserve"> </w:t>
      </w:r>
      <w:r>
        <w:rPr>
          <w:rStyle w:val="VerbatimChar"/>
        </w:rPr>
        <w:t xml:space="preserve">bref3</w:t>
      </w:r>
      <w:r>
        <w:t xml:space="preserve"> </w:t>
      </w:r>
      <w:r>
        <w:t xml:space="preserve">form.</w:t>
      </w:r>
    </w:p>
    <w:p>
      <w:pPr>
        <w:pStyle w:val="BodyText"/>
      </w:pPr>
      <w:r>
        <w:rPr>
          <w:i/>
          <w:iCs/>
        </w:rPr>
        <w:t xml:space="preserve">Evaluation.</w:t>
      </w:r>
      <w:r>
        <w:t xml:space="preserve"> </w:t>
      </w:r>
      <w:r>
        <w:t xml:space="preserve">For each sample, variant class (SNP, indel), and chromosome we computed</w:t>
      </w:r>
      <w:r>
        <w:t xml:space="preserve"> </w:t>
      </w:r>
      <m:oMath>
        <m:sSup>
          <m:e>
            <m:r>
              <m:t>R</m:t>
            </m:r>
          </m:e>
          <m:sup>
            <m:r>
              <m:t>2</m:t>
            </m:r>
          </m:sup>
        </m:sSup>
      </m:oMath>
      <w:r>
        <w:t xml:space="preserve"> </w:t>
      </w:r>
      <w: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t xml:space="preserve"> </w:t>
      </w:r>
      <m:oMath>
        <m:sSup>
          <m:e>
            <m:r>
              <m:t>R</m:t>
            </m:r>
          </m:e>
          <m:sup>
            <m:r>
              <m:t>2</m:t>
            </m:r>
          </m:sup>
        </m:sSup>
      </m:oMath>
      <w:r>
        <w:t xml:space="preserve">, a 95% confidence interval obtained from 20,000 paired bootstrap resamples of the six per-sample differences, and a two-sided exact Wilcoxon signed-rank test; with n = 6 paired samples the smallest attainable two-sided p value is 0.031.</w:t>
      </w:r>
    </w:p>
    <w:bookmarkEnd w:id="24"/>
    <w:bookmarkEnd w:id="25"/>
    <w:bookmarkEnd w:id="26"/>
    <w:bookmarkStart w:id="42" w:name="results"/>
    <w:p>
      <w:pPr>
        <w:pStyle w:val="Heading1"/>
      </w:pPr>
      <w:r>
        <w:rPr>
          <w:b/>
          <w:bCs/>
        </w:rPr>
        <w:t xml:space="preserve">Results</w:t>
      </w:r>
    </w:p>
    <w:p>
      <w:pPr>
        <w:pStyle w:val="FirstParagraph"/>
      </w:pPr>
      <w:r>
        <w:t xml:space="preserve">We evaluated Selphi 2 against Beagle 5.5 and the original Selphi 1.5.3 on three reference panels spanning two orders of magnitude in size: the 1000 Genomes Phase 3 panel</w:t>
      </w:r>
      <w:r>
        <w:t xml:space="preserve"> </w:t>
      </w:r>
      <w:r>
        <w:rPr>
          <w:vertAlign w:val="superscript"/>
        </w:rPr>
        <w:t xml:space="preserve">14</w:t>
      </w:r>
      <w:r>
        <w:t xml:space="preserve"> </w:t>
      </w:r>
      <w:r>
        <w:t xml:space="preserve">(4,802 haplotypes), the TOPMed Freeze 8 panel</w:t>
      </w:r>
      <w:r>
        <w:t xml:space="preserve"> </w:t>
      </w:r>
      <w:r>
        <w:rPr>
          <w:vertAlign w:val="superscript"/>
        </w:rPr>
        <w:t xml:space="preserve">15</w:t>
      </w:r>
      <w:r>
        <w:t xml:space="preserve"> </w:t>
      </w:r>
      <w: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t xml:space="preserve"> </w:t>
      </w:r>
      <m:oMath>
        <m:sSup>
          <m:e>
            <m:r>
              <m:t>R</m:t>
            </m:r>
          </m:e>
          <m:sup>
            <m:r>
              <m:t>2</m:t>
            </m:r>
          </m:sup>
        </m:sSup>
      </m:oMath>
      <w:r>
        <w:t xml:space="preserve"> </w:t>
      </w:r>
      <w:r>
        <w:t xml:space="preserve">is computed against held-out whole-genome-sequenced truth, stratified by minor allele frequency (MAF) in the reference panel. All benchmarks were run on the same machine with 16 threads.</w:t>
      </w:r>
    </w:p>
    <w:bookmarkStart w:id="27" w:name="X46caf4a2c80e9c093b358db7a92269fb779e049"/>
    <w:p>
      <w:pPr>
        <w:pStyle w:val="Heading2"/>
      </w:pPr>
      <w:r>
        <w:rPr>
          <w:b/>
          <w:bCs/>
        </w:rPr>
        <w:t xml:space="preserve">Imputation accuracy on the 1000 Genomes Phase 3 reference panel</w:t>
      </w:r>
    </w:p>
    <w:p>
      <w:pPr>
        <w:pStyle w:val="FirstParagraph"/>
      </w:pPr>
      <w:r>
        <w:t xml:space="preserve">On chromosome 22 of the 1000 Genomes Phase 3 panel (4,802 haplotypes, 1,070,401 variants) imputed for 801 held-out samples, Selphi 2’s default diploid engine attains an overall</w:t>
      </w:r>
      <w:r>
        <w:t xml:space="preserve"> </w:t>
      </w:r>
      <m:oMath>
        <m:sSup>
          <m:e>
            <m:r>
              <m:t>R</m:t>
            </m:r>
          </m:e>
          <m:sup>
            <m:r>
              <m:t>2</m:t>
            </m:r>
          </m:sup>
        </m:sSup>
      </m:oMath>
      <w:r>
        <w:t xml:space="preserve"> </w:t>
      </w:r>
      <w:r>
        <w:t xml:space="preserve">of 0.4832 against the whole-genome-sequenced truth, compared to 0.4727 for Beagle 5.5, 0.4688 for Minimac4, and 0.4594 for IMPUTE5, with all four tools imputing the identical phased target against the identical 1000 Genomes reference panel. The per-sample mean</w:t>
      </w:r>
      <w:r>
        <w:t xml:space="preserve"> </w:t>
      </w:r>
      <m:oMath>
        <m:sSup>
          <m:e>
            <m:r>
              <m:t>R</m:t>
            </m:r>
          </m:e>
          <m:sup>
            <m:r>
              <m:t>2</m:t>
            </m:r>
          </m:sup>
        </m:sSup>
      </m:oMath>
      <w:r>
        <w:t xml:space="preserve"> </w:t>
      </w:r>
      <w:r>
        <w:t xml:space="preserve">is 0.9159 (Selphi 2) versus 0.9048 (Beagle 5.5), 0.9030 (Minimac4), and 0.9025 (IMPUTE5). The same comparison on chromosome 1 (5,769,087 variants) gives overall</w:t>
      </w:r>
      <w:r>
        <w:t xml:space="preserve"> </w:t>
      </w:r>
      <m:oMath>
        <m:sSup>
          <m:e>
            <m:r>
              <m:t>R</m:t>
            </m:r>
          </m:e>
          <m:sup>
            <m:r>
              <m:t>2</m:t>
            </m:r>
          </m:sup>
        </m:sSup>
      </m:oMath>
      <w:r>
        <w:t xml:space="preserve"> </w:t>
      </w:r>
      <w:r>
        <w:t xml:space="preserve">0.5739 (Selphi 2) versus 0.5640 (Beagle 5.5), and per-sample mean 0.9564 versus 0.9507. Selphi 2 attains the highest</w:t>
      </w:r>
      <w:r>
        <w:t xml:space="preserve"> </w:t>
      </w:r>
      <m:oMath>
        <m:sSup>
          <m:e>
            <m:r>
              <m:t>R</m:t>
            </m:r>
          </m:e>
          <m:sup>
            <m:r>
              <m:t>2</m:t>
            </m:r>
          </m:sup>
        </m:sSup>
      </m:oMath>
      <w:r>
        <w:t xml:space="preserve"> </w:t>
      </w:r>
      <w: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t xml:space="preserve"> </w:t>
      </w:r>
      <m:oMath>
        <m:sSup>
          <m:e>
            <m:r>
              <m:t>R</m:t>
            </m:r>
          </m:e>
          <m:sup>
            <m:r>
              <m:t>2</m:t>
            </m:r>
          </m:sup>
        </m:sSup>
      </m:oMath>
      <w:r>
        <w:t xml:space="preserve"> </w:t>
      </w:r>
      <w:r>
        <w:t xml:space="preserve">0.5838 versus 0.5764 (Beagle 5.5), 0.5668 (Minimac4) and 0.5635 (IMPUTE5), and per-sample mean</w:t>
      </w:r>
      <w:r>
        <w:t xml:space="preserve"> </w:t>
      </w:r>
      <m:oMath>
        <m:sSup>
          <m:e>
            <m:r>
              <m:t>R</m:t>
            </m:r>
          </m:e>
          <m:sup>
            <m:r>
              <m:t>2</m:t>
            </m:r>
          </m:sup>
        </m:sSup>
      </m:oMath>
      <w:r>
        <w:t xml:space="preserve"> </w:t>
      </w:r>
      <w: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t xml:space="preserve"> </w:t>
      </w:r>
      <m:oMath>
        <m:sSup>
          <m:e>
            <m:r>
              <m:t>R</m:t>
            </m:r>
          </m:e>
          <m:sup>
            <m:r>
              <m:t>2</m:t>
            </m:r>
          </m:sup>
        </m:sSup>
      </m:oMath>
      <w:r>
        <w:t xml:space="preserve"> </w:t>
      </w:r>
      <w:r>
        <w:t xml:space="preserve">metric (the genome-wide aggregate above and in Figure 2a spans the 20-autosome set; Table 1 reports their per-MAF detail on chromosome 22). Selphi 2 and Beagle 5.5 were additionally re-run genome-wide with the current release.</w:t>
      </w:r>
    </w:p>
    <w:p>
      <w:pPr>
        <w:pStyle w:val="BodyText"/>
      </w:pPr>
      <w:r>
        <w:rPr>
          <w:b/>
          <w:bCs/>
        </w:rPr>
        <w:t xml:space="preserve">Table 1. Imputation</w:t>
      </w:r>
      <w:r>
        <w:rPr>
          <w:b/>
          <w:bCs/>
        </w:rPr>
        <w:t xml:space="preserve"> </w:t>
      </w:r>
      <m:oMath>
        <m:sSup>
          <m:e>
            <m:r>
              <m:t>R</m:t>
            </m:r>
          </m:e>
          <m:sup>
            <m:r>
              <m:t>2</m:t>
            </m:r>
          </m:sup>
        </m:sSup>
      </m:oMath>
      <w:r>
        <w:rPr>
          <w:b/>
          <w:bCs/>
        </w:rPr>
        <w:t xml:space="preserve"> </w:t>
      </w:r>
      <w:r>
        <w:rPr>
          <w:b/>
          <w:bCs/>
        </w:rPr>
        <w:t xml:space="preserve">on the 1000 Genomes Phase 3 panel, by MAF.</w:t>
      </w:r>
      <w:r>
        <w:t xml:space="preserve"> </w:t>
      </w:r>
      <w:r>
        <w:t xml:space="preserve">Each cell reports</w:t>
      </w:r>
      <w:r>
        <w:t xml:space="preserve"> </w:t>
      </w:r>
      <m:oMath>
        <m:sSup>
          <m:e>
            <m:r>
              <m:t>R</m:t>
            </m:r>
          </m:e>
          <m:sup>
            <m:r>
              <m:t>2</m:t>
            </m:r>
          </m:sup>
        </m:sSup>
      </m:oMath>
      <w:r>
        <w:t xml:space="preserve"> </w:t>
      </w:r>
      <w: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t xml:space="preserve"> </w:t>
      </w:r>
      <m:oMath>
        <m:sSup>
          <m:e>
            <m:r>
              <m:t>R</m:t>
            </m:r>
          </m:e>
          <m:sup>
            <m:r>
              <m:t>2</m:t>
            </m:r>
          </m:sup>
        </m:sSup>
      </m:oMath>
      <w:r>
        <w:t xml:space="preserve"> </w:t>
      </w:r>
      <w:r>
        <w:t xml:space="preserve">in each chromosome group.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MAF</w:t>
            </w:r>
          </w:p>
        </w:tc>
        <w:tc>
          <w:tcPr/>
          <w:p>
            <w:pPr>
              <w:pStyle w:val="Compact"/>
            </w:pPr>
            <w:r>
              <w:t xml:space="preserve">chr22 Selphi 2</w:t>
            </w:r>
          </w:p>
        </w:tc>
        <w:tc>
          <w:tcPr/>
          <w:p>
            <w:pPr>
              <w:pStyle w:val="Compact"/>
            </w:pPr>
            <w:r>
              <w:t xml:space="preserve">chr22 Beagle 5.5</w:t>
            </w:r>
          </w:p>
        </w:tc>
        <w:tc>
          <w:tcPr/>
          <w:p>
            <w:pPr>
              <w:pStyle w:val="Compact"/>
            </w:pPr>
            <w:r>
              <w:t xml:space="preserve">chr22 IMPUTE5</w:t>
            </w:r>
          </w:p>
        </w:tc>
        <w:tc>
          <w:tcPr/>
          <w:p>
            <w:pPr>
              <w:pStyle w:val="Compact"/>
            </w:pPr>
            <w:r>
              <w:t xml:space="preserve">chr22 Minimac4</w:t>
            </w:r>
          </w:p>
        </w:tc>
        <w:tc>
          <w:tcPr/>
          <w:p>
            <w:pPr>
              <w:pStyle w:val="Compact"/>
            </w:pPr>
            <w:r>
              <w:t xml:space="preserve">chr1 Selphi 2</w:t>
            </w:r>
          </w:p>
        </w:tc>
        <w:tc>
          <w:tcPr/>
          <w:p>
            <w:pPr>
              <w:pStyle w:val="Compact"/>
            </w:pPr>
            <w:r>
              <w:t xml:space="preserve">chr1 Beagle 5.5</w:t>
            </w:r>
          </w:p>
        </w:tc>
      </w:tr>
      <w:tr>
        <w:tc>
          <w:tcPr/>
          <w:p>
            <w:pPr>
              <w:pStyle w:val="Compact"/>
            </w:pPr>
            <w:r>
              <w:t xml:space="preserve">0.05–0.1%</w:t>
            </w:r>
          </w:p>
        </w:tc>
        <w:tc>
          <w:tcPr/>
          <w:p>
            <w:pPr>
              <w:pStyle w:val="Compact"/>
            </w:pPr>
            <w:r>
              <w:t xml:space="preserve">0.2768</w:t>
            </w:r>
          </w:p>
        </w:tc>
        <w:tc>
          <w:tcPr/>
          <w:p>
            <w:pPr>
              <w:pStyle w:val="Compact"/>
            </w:pPr>
            <w:r>
              <w:rPr>
                <w:b/>
                <w:bCs/>
              </w:rPr>
              <w:t xml:space="preserve">0.2800</w:t>
            </w:r>
          </w:p>
        </w:tc>
        <w:tc>
          <w:tcPr/>
          <w:p>
            <w:pPr>
              <w:pStyle w:val="Compact"/>
            </w:pPr>
            <w:r>
              <w:t xml:space="preserve">0.2613</w:t>
            </w:r>
          </w:p>
        </w:tc>
        <w:tc>
          <w:tcPr/>
          <w:p>
            <w:pPr>
              <w:pStyle w:val="Compact"/>
            </w:pPr>
            <w:r>
              <w:t xml:space="preserve">0.2757</w:t>
            </w:r>
          </w:p>
        </w:tc>
        <w:tc>
          <w:tcPr/>
          <w:p>
            <w:pPr>
              <w:pStyle w:val="Compact"/>
            </w:pPr>
            <w:r>
              <w:t xml:space="preserve">0.3616</w:t>
            </w:r>
          </w:p>
        </w:tc>
        <w:tc>
          <w:tcPr/>
          <w:p>
            <w:pPr>
              <w:pStyle w:val="Compact"/>
            </w:pPr>
            <w:r>
              <w:rPr>
                <w:b/>
                <w:bCs/>
              </w:rPr>
              <w:t xml:space="preserve">0.3638</w:t>
            </w:r>
          </w:p>
        </w:tc>
      </w:tr>
      <w:tr>
        <w:tc>
          <w:tcPr/>
          <w:p>
            <w:pPr>
              <w:pStyle w:val="Compact"/>
            </w:pPr>
            <w:r>
              <w:t xml:space="preserve">0.1–0.2%</w:t>
            </w:r>
          </w:p>
        </w:tc>
        <w:tc>
          <w:tcPr/>
          <w:p>
            <w:pPr>
              <w:pStyle w:val="Compact"/>
            </w:pPr>
            <w:r>
              <w:rPr>
                <w:b/>
                <w:bCs/>
              </w:rPr>
              <w:t xml:space="preserve">0.3262</w:t>
            </w:r>
          </w:p>
        </w:tc>
        <w:tc>
          <w:tcPr/>
          <w:p>
            <w:pPr>
              <w:pStyle w:val="Compact"/>
            </w:pPr>
            <w:r>
              <w:t xml:space="preserve">0.3177</w:t>
            </w:r>
          </w:p>
        </w:tc>
        <w:tc>
          <w:tcPr/>
          <w:p>
            <w:pPr>
              <w:pStyle w:val="Compact"/>
            </w:pPr>
            <w:r>
              <w:t xml:space="preserve">0.3029</w:t>
            </w:r>
          </w:p>
        </w:tc>
        <w:tc>
          <w:tcPr/>
          <w:p>
            <w:pPr>
              <w:pStyle w:val="Compact"/>
            </w:pPr>
            <w:r>
              <w:t xml:space="preserve">0.3155</w:t>
            </w:r>
          </w:p>
        </w:tc>
        <w:tc>
          <w:tcPr/>
          <w:p>
            <w:pPr>
              <w:pStyle w:val="Compact"/>
            </w:pPr>
            <w:r>
              <w:rPr>
                <w:b/>
                <w:bCs/>
              </w:rPr>
              <w:t xml:space="preserve">0.4175</w:t>
            </w:r>
          </w:p>
        </w:tc>
        <w:tc>
          <w:tcPr/>
          <w:p>
            <w:pPr>
              <w:pStyle w:val="Compact"/>
            </w:pPr>
            <w:r>
              <w:t xml:space="preserve">0.4065</w:t>
            </w:r>
          </w:p>
        </w:tc>
      </w:tr>
      <w:tr>
        <w:tc>
          <w:tcPr/>
          <w:p>
            <w:pPr>
              <w:pStyle w:val="Compact"/>
            </w:pPr>
            <w:r>
              <w:t xml:space="preserve">0.2–0.5%</w:t>
            </w:r>
          </w:p>
        </w:tc>
        <w:tc>
          <w:tcPr/>
          <w:p>
            <w:pPr>
              <w:pStyle w:val="Compact"/>
            </w:pPr>
            <w:r>
              <w:rPr>
                <w:b/>
                <w:bCs/>
              </w:rPr>
              <w:t xml:space="preserve">0.4237</w:t>
            </w:r>
          </w:p>
        </w:tc>
        <w:tc>
          <w:tcPr/>
          <w:p>
            <w:pPr>
              <w:pStyle w:val="Compact"/>
            </w:pPr>
            <w:r>
              <w:t xml:space="preserve">0.4073</w:t>
            </w:r>
          </w:p>
        </w:tc>
        <w:tc>
          <w:tcPr/>
          <w:p>
            <w:pPr>
              <w:pStyle w:val="Compact"/>
            </w:pPr>
            <w:r>
              <w:t xml:space="preserve">0.3936</w:t>
            </w:r>
          </w:p>
        </w:tc>
        <w:tc>
          <w:tcPr/>
          <w:p>
            <w:pPr>
              <w:pStyle w:val="Compact"/>
            </w:pPr>
            <w:r>
              <w:t xml:space="preserve">0.4010</w:t>
            </w:r>
          </w:p>
        </w:tc>
        <w:tc>
          <w:tcPr/>
          <w:p>
            <w:pPr>
              <w:pStyle w:val="Compact"/>
            </w:pPr>
            <w:r>
              <w:rPr>
                <w:b/>
                <w:bCs/>
              </w:rPr>
              <w:t xml:space="preserve">0.5134</w:t>
            </w:r>
          </w:p>
        </w:tc>
        <w:tc>
          <w:tcPr/>
          <w:p>
            <w:pPr>
              <w:pStyle w:val="Compact"/>
            </w:pPr>
            <w:r>
              <w:t xml:space="preserve">0.4950</w:t>
            </w:r>
          </w:p>
        </w:tc>
      </w:tr>
      <w:tr>
        <w:tc>
          <w:tcPr/>
          <w:p>
            <w:pPr>
              <w:pStyle w:val="Compact"/>
            </w:pPr>
            <w:r>
              <w:t xml:space="preserve">0.5–1%</w:t>
            </w:r>
          </w:p>
        </w:tc>
        <w:tc>
          <w:tcPr/>
          <w:p>
            <w:pPr>
              <w:pStyle w:val="Compact"/>
            </w:pPr>
            <w:r>
              <w:rPr>
                <w:b/>
                <w:bCs/>
              </w:rPr>
              <w:t xml:space="preserve">0.5074</w:t>
            </w:r>
          </w:p>
        </w:tc>
        <w:tc>
          <w:tcPr/>
          <w:p>
            <w:pPr>
              <w:pStyle w:val="Compact"/>
            </w:pPr>
            <w:r>
              <w:t xml:space="preserve">0.4866</w:t>
            </w:r>
          </w:p>
        </w:tc>
        <w:tc>
          <w:tcPr/>
          <w:p>
            <w:pPr>
              <w:pStyle w:val="Compact"/>
            </w:pPr>
            <w:r>
              <w:t xml:space="preserve">0.4763</w:t>
            </w:r>
          </w:p>
        </w:tc>
        <w:tc>
          <w:tcPr/>
          <w:p>
            <w:pPr>
              <w:pStyle w:val="Compact"/>
            </w:pPr>
            <w:r>
              <w:t xml:space="preserve">0.4807</w:t>
            </w:r>
          </w:p>
        </w:tc>
        <w:tc>
          <w:tcPr/>
          <w:p>
            <w:pPr>
              <w:pStyle w:val="Compact"/>
            </w:pPr>
            <w:r>
              <w:rPr>
                <w:b/>
                <w:bCs/>
              </w:rPr>
              <w:t xml:space="preserve">0.6146</w:t>
            </w:r>
          </w:p>
        </w:tc>
        <w:tc>
          <w:tcPr/>
          <w:p>
            <w:pPr>
              <w:pStyle w:val="Compact"/>
            </w:pPr>
            <w:r>
              <w:t xml:space="preserve">0.5924</w:t>
            </w:r>
          </w:p>
        </w:tc>
      </w:tr>
      <w:tr>
        <w:tc>
          <w:tcPr/>
          <w:p>
            <w:pPr>
              <w:pStyle w:val="Compact"/>
            </w:pPr>
            <w:r>
              <w:t xml:space="preserve">1–2%</w:t>
            </w:r>
          </w:p>
        </w:tc>
        <w:tc>
          <w:tcPr/>
          <w:p>
            <w:pPr>
              <w:pStyle w:val="Compact"/>
            </w:pPr>
            <w:r>
              <w:rPr>
                <w:b/>
                <w:bCs/>
              </w:rPr>
              <w:t xml:space="preserve">0.5719</w:t>
            </w:r>
          </w:p>
        </w:tc>
        <w:tc>
          <w:tcPr/>
          <w:p>
            <w:pPr>
              <w:pStyle w:val="Compact"/>
            </w:pPr>
            <w:r>
              <w:t xml:space="preserve">0.5480</w:t>
            </w:r>
          </w:p>
        </w:tc>
        <w:tc>
          <w:tcPr/>
          <w:p>
            <w:pPr>
              <w:pStyle w:val="Compact"/>
            </w:pPr>
            <w:r>
              <w:t xml:space="preserve">0.5415</w:t>
            </w:r>
          </w:p>
        </w:tc>
        <w:tc>
          <w:tcPr/>
          <w:p>
            <w:pPr>
              <w:pStyle w:val="Compact"/>
            </w:pPr>
            <w:r>
              <w:t xml:space="preserve">0.5442</w:t>
            </w:r>
          </w:p>
        </w:tc>
        <w:tc>
          <w:tcPr/>
          <w:p>
            <w:pPr>
              <w:pStyle w:val="Compact"/>
            </w:pPr>
            <w:r>
              <w:rPr>
                <w:b/>
                <w:bCs/>
              </w:rPr>
              <w:t xml:space="preserve">0.6805</w:t>
            </w:r>
          </w:p>
        </w:tc>
        <w:tc>
          <w:tcPr/>
          <w:p>
            <w:pPr>
              <w:pStyle w:val="Compact"/>
            </w:pPr>
            <w:r>
              <w:t xml:space="preserve">0.6578</w:t>
            </w:r>
          </w:p>
        </w:tc>
      </w:tr>
      <w:tr>
        <w:tc>
          <w:tcPr/>
          <w:p>
            <w:pPr>
              <w:pStyle w:val="Compact"/>
            </w:pPr>
            <w:r>
              <w:t xml:space="preserve">2–5%</w:t>
            </w:r>
          </w:p>
        </w:tc>
        <w:tc>
          <w:tcPr/>
          <w:p>
            <w:pPr>
              <w:pStyle w:val="Compact"/>
            </w:pPr>
            <w:r>
              <w:rPr>
                <w:b/>
                <w:bCs/>
              </w:rPr>
              <w:t xml:space="preserve">0.6758</w:t>
            </w:r>
          </w:p>
        </w:tc>
        <w:tc>
          <w:tcPr/>
          <w:p>
            <w:pPr>
              <w:pStyle w:val="Compact"/>
            </w:pPr>
            <w:r>
              <w:t xml:space="preserve">0.6519</w:t>
            </w:r>
          </w:p>
        </w:tc>
        <w:tc>
          <w:tcPr/>
          <w:p>
            <w:pPr>
              <w:pStyle w:val="Compact"/>
            </w:pPr>
            <w:r>
              <w:t xml:space="preserve">0.6486</w:t>
            </w:r>
          </w:p>
        </w:tc>
        <w:tc>
          <w:tcPr/>
          <w:p>
            <w:pPr>
              <w:pStyle w:val="Compact"/>
            </w:pPr>
            <w:r>
              <w:t xml:space="preserve">0.6503</w:t>
            </w:r>
          </w:p>
        </w:tc>
        <w:tc>
          <w:tcPr/>
          <w:p>
            <w:pPr>
              <w:pStyle w:val="Compact"/>
            </w:pPr>
            <w:r>
              <w:rPr>
                <w:b/>
                <w:bCs/>
              </w:rPr>
              <w:t xml:space="preserve">0.7556</w:t>
            </w:r>
          </w:p>
        </w:tc>
        <w:tc>
          <w:tcPr/>
          <w:p>
            <w:pPr>
              <w:pStyle w:val="Compact"/>
            </w:pPr>
            <w:r>
              <w:t xml:space="preserve">0.7338</w:t>
            </w:r>
          </w:p>
        </w:tc>
      </w:tr>
      <w:tr>
        <w:tc>
          <w:tcPr/>
          <w:p>
            <w:pPr>
              <w:pStyle w:val="Compact"/>
            </w:pPr>
            <w:r>
              <w:t xml:space="preserve">5–10%</w:t>
            </w:r>
          </w:p>
        </w:tc>
        <w:tc>
          <w:tcPr/>
          <w:p>
            <w:pPr>
              <w:pStyle w:val="Compact"/>
            </w:pPr>
            <w:r>
              <w:rPr>
                <w:b/>
                <w:bCs/>
              </w:rPr>
              <w:t xml:space="preserve">0.7591</w:t>
            </w:r>
          </w:p>
        </w:tc>
        <w:tc>
          <w:tcPr/>
          <w:p>
            <w:pPr>
              <w:pStyle w:val="Compact"/>
            </w:pPr>
            <w:r>
              <w:t xml:space="preserve">0.7385</w:t>
            </w:r>
          </w:p>
        </w:tc>
        <w:tc>
          <w:tcPr/>
          <w:p>
            <w:pPr>
              <w:pStyle w:val="Compact"/>
            </w:pPr>
            <w:r>
              <w:t xml:space="preserve">0.7355</w:t>
            </w:r>
          </w:p>
        </w:tc>
        <w:tc>
          <w:tcPr/>
          <w:p>
            <w:pPr>
              <w:pStyle w:val="Compact"/>
            </w:pPr>
            <w:r>
              <w:t xml:space="preserve">0.7358</w:t>
            </w:r>
          </w:p>
        </w:tc>
        <w:tc>
          <w:tcPr/>
          <w:p>
            <w:pPr>
              <w:pStyle w:val="Compact"/>
            </w:pPr>
            <w:r>
              <w:rPr>
                <w:b/>
                <w:bCs/>
              </w:rPr>
              <w:t xml:space="preserve">0.8500</w:t>
            </w:r>
          </w:p>
        </w:tc>
        <w:tc>
          <w:tcPr/>
          <w:p>
            <w:pPr>
              <w:pStyle w:val="Compact"/>
            </w:pPr>
            <w:r>
              <w:t xml:space="preserve">0.8343</w:t>
            </w:r>
          </w:p>
        </w:tc>
      </w:tr>
      <w:tr>
        <w:tc>
          <w:tcPr/>
          <w:p>
            <w:pPr>
              <w:pStyle w:val="Compact"/>
            </w:pPr>
            <w:r>
              <w:t xml:space="preserve">10–20%</w:t>
            </w:r>
          </w:p>
        </w:tc>
        <w:tc>
          <w:tcPr/>
          <w:p>
            <w:pPr>
              <w:pStyle w:val="Compact"/>
            </w:pPr>
            <w:r>
              <w:rPr>
                <w:b/>
                <w:bCs/>
              </w:rPr>
              <w:t xml:space="preserve">0.7955</w:t>
            </w:r>
          </w:p>
        </w:tc>
        <w:tc>
          <w:tcPr/>
          <w:p>
            <w:pPr>
              <w:pStyle w:val="Compact"/>
            </w:pPr>
            <w:r>
              <w:t xml:space="preserve">0.7789</w:t>
            </w:r>
          </w:p>
        </w:tc>
        <w:tc>
          <w:tcPr/>
          <w:p>
            <w:pPr>
              <w:pStyle w:val="Compact"/>
            </w:pPr>
            <w:r>
              <w:t xml:space="preserve">0.7769</w:t>
            </w:r>
          </w:p>
        </w:tc>
        <w:tc>
          <w:tcPr/>
          <w:p>
            <w:pPr>
              <w:pStyle w:val="Compact"/>
            </w:pPr>
            <w:r>
              <w:t xml:space="preserve">0.7731</w:t>
            </w:r>
          </w:p>
        </w:tc>
        <w:tc>
          <w:tcPr/>
          <w:p>
            <w:pPr>
              <w:pStyle w:val="Compact"/>
            </w:pPr>
            <w:r>
              <w:rPr>
                <w:b/>
                <w:bCs/>
              </w:rPr>
              <w:t xml:space="preserve">0.9010</w:t>
            </w:r>
          </w:p>
        </w:tc>
        <w:tc>
          <w:tcPr/>
          <w:p>
            <w:pPr>
              <w:pStyle w:val="Compact"/>
            </w:pPr>
            <w:r>
              <w:t xml:space="preserve">0.8901</w:t>
            </w:r>
          </w:p>
        </w:tc>
      </w:tr>
      <w:tr>
        <w:tc>
          <w:tcPr/>
          <w:p>
            <w:pPr>
              <w:pStyle w:val="Compact"/>
            </w:pPr>
            <w:r>
              <w:t xml:space="preserve">20–50%</w:t>
            </w:r>
          </w:p>
        </w:tc>
        <w:tc>
          <w:tcPr/>
          <w:p>
            <w:pPr>
              <w:pStyle w:val="Compact"/>
            </w:pPr>
            <w:r>
              <w:rPr>
                <w:b/>
                <w:bCs/>
              </w:rPr>
              <w:t xml:space="preserve">0.8414</w:t>
            </w:r>
          </w:p>
        </w:tc>
        <w:tc>
          <w:tcPr/>
          <w:p>
            <w:pPr>
              <w:pStyle w:val="Compact"/>
            </w:pPr>
            <w:r>
              <w:t xml:space="preserve">0.8270</w:t>
            </w:r>
          </w:p>
        </w:tc>
        <w:tc>
          <w:tcPr/>
          <w:p>
            <w:pPr>
              <w:pStyle w:val="Compact"/>
            </w:pPr>
            <w:r>
              <w:t xml:space="preserve">0.8255</w:t>
            </w:r>
          </w:p>
        </w:tc>
        <w:tc>
          <w:tcPr/>
          <w:p>
            <w:pPr>
              <w:pStyle w:val="Compact"/>
            </w:pPr>
            <w:r>
              <w:t xml:space="preserve">0.8215</w:t>
            </w:r>
          </w:p>
        </w:tc>
        <w:tc>
          <w:tcPr/>
          <w:p>
            <w:pPr>
              <w:pStyle w:val="Compact"/>
            </w:pPr>
            <w:r>
              <w:rPr>
                <w:b/>
                <w:bCs/>
              </w:rPr>
              <w:t xml:space="preserve">0.9311</w:t>
            </w:r>
          </w:p>
        </w:tc>
        <w:tc>
          <w:tcPr/>
          <w:p>
            <w:pPr>
              <w:pStyle w:val="Compact"/>
            </w:pPr>
            <w:r>
              <w:t xml:space="preserve">0.9231</w:t>
            </w:r>
          </w:p>
        </w:tc>
      </w:tr>
      <w:tr>
        <w:tc>
          <w:tcPr/>
          <w:p>
            <w:pPr>
              <w:pStyle w:val="Compact"/>
            </w:pPr>
            <w:r>
              <w:t xml:space="preserve">OVERALL</w:t>
            </w:r>
          </w:p>
        </w:tc>
        <w:tc>
          <w:tcPr/>
          <w:p>
            <w:pPr>
              <w:pStyle w:val="Compact"/>
            </w:pPr>
            <w:r>
              <w:rPr>
                <w:b/>
                <w:bCs/>
              </w:rPr>
              <w:t xml:space="preserve">0.4832</w:t>
            </w:r>
          </w:p>
        </w:tc>
        <w:tc>
          <w:tcPr/>
          <w:p>
            <w:pPr>
              <w:pStyle w:val="Compact"/>
            </w:pPr>
            <w:r>
              <w:t xml:space="preserve">0.4727</w:t>
            </w:r>
          </w:p>
        </w:tc>
        <w:tc>
          <w:tcPr/>
          <w:p>
            <w:pPr>
              <w:pStyle w:val="Compact"/>
            </w:pPr>
            <w:r>
              <w:t xml:space="preserve">0.4594</w:t>
            </w:r>
          </w:p>
        </w:tc>
        <w:tc>
          <w:tcPr/>
          <w:p>
            <w:pPr>
              <w:pStyle w:val="Compact"/>
            </w:pPr>
            <w:r>
              <w:t xml:space="preserve">0.4688</w:t>
            </w:r>
          </w:p>
        </w:tc>
        <w:tc>
          <w:tcPr/>
          <w:p>
            <w:pPr>
              <w:pStyle w:val="Compact"/>
            </w:pPr>
            <w:r>
              <w:rPr>
                <w:b/>
                <w:bCs/>
              </w:rPr>
              <w:t xml:space="preserve">0.5739</w:t>
            </w:r>
          </w:p>
        </w:tc>
        <w:tc>
          <w:tcPr/>
          <w:p>
            <w:pPr>
              <w:pStyle w:val="Compact"/>
            </w:pPr>
            <w:r>
              <w:t xml:space="preserve">0.5640</w:t>
            </w:r>
          </w:p>
        </w:tc>
      </w:tr>
    </w:tbl>
    <w:p>
      <w:pPr>
        <w:pStyle w:val="BodyText"/>
      </w:pPr>
      <w:r>
        <w:t xml:space="preserve">At the rarest bin (MAF 0.05–0.1%), Beagle 5.5 narrowly outperforms Selphi 2 on both chromosomes (</w:t>
      </w:r>
      <m:oMath>
        <m:r>
          <m:rPr>
            <m:sty m:val="p"/>
          </m:rPr>
          <m:t>Δ</m:t>
        </m:r>
      </m:oMath>
      <w:r>
        <w:t xml:space="preserve"> </w:t>
      </w:r>
      <w: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bookmarkEnd w:id="27"/>
    <w:bookmarkStart w:id="28" w:name="X6d3bddefc4b11d49fb24047a32f959377528e94"/>
    <w:p>
      <w:pPr>
        <w:pStyle w:val="Heading2"/>
      </w:pPr>
      <w:r>
        <w:rPr>
          <w:b/>
          <w:bCs/>
        </w:rPr>
        <w:t xml:space="preserve">Imputation accuracy on a biobank-scale admixed cohort</w:t>
      </w:r>
    </w:p>
    <w:p>
      <w:pPr>
        <w:pStyle w:val="FirstParagraph"/>
      </w:pPr>
      <w:r>
        <w:t xml:space="preserve">The Selphi 1 candidate-set cap of</w:t>
      </w:r>
      <w:r>
        <w:t xml:space="preserve"> </w:t>
      </w:r>
      <m:oMath>
        <m:sSub>
          <m:e>
            <m:r>
              <m:t>K</m:t>
            </m:r>
          </m:e>
          <m:sub>
            <m:r>
              <m:t>2</m:t>
            </m:r>
          </m:sub>
        </m:sSub>
      </m:oMath>
      <w:r>
        <w:t xml:space="preserve"> </w:t>
      </w:r>
      <w: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r>
        <w:t xml:space="preserve"> </w:t>
      </w:r>
      <w:r>
        <w:rPr>
          <w:vertAlign w:val="superscript"/>
        </w:rPr>
        <w:t xml:space="preserve">27</w:t>
      </w:r>
      <w:r>
        <w:t xml:space="preserve"> </w:t>
      </w:r>
      <w: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pPr>
      <w:r>
        <w:t xml:space="preserve">Selphi 2’s panel-adaptive sizing formula (Methods, Candidate selection and HMM) yields</w:t>
      </w:r>
      <w:r>
        <w:t xml:space="preserve"> </w:t>
      </w:r>
      <m:oMath>
        <m:sSub>
          <m:e>
            <m:r>
              <m:t>m</m:t>
            </m:r>
          </m:e>
          <m:sub>
            <m:r>
              <m:t>c</m:t>
            </m:r>
          </m:sub>
        </m:sSub>
      </m:oMath>
      <w:r>
        <w:t xml:space="preserve"> </w:t>
      </w:r>
      <w:r>
        <w:t xml:space="preserve">= 132,676 for the TOPMed panel (panel-tile-compression diversity CV = 0.845, scaled fraction 0.776). At this candidate-set size, Selphi 2 attains overall</w:t>
      </w:r>
      <w:r>
        <w:t xml:space="preserve"> </w:t>
      </w:r>
      <m:oMath>
        <m:sSup>
          <m:e>
            <m:r>
              <m:t>R</m:t>
            </m:r>
          </m:e>
          <m:sup>
            <m:r>
              <m:t>2</m:t>
            </m:r>
          </m:sup>
        </m:sSup>
      </m:oMath>
      <w:r>
        <w:t xml:space="preserve"> </w:t>
      </w:r>
      <w:r>
        <w:t xml:space="preserve">0.6157 on the MESA cohort, compared to 0.5921 for Beagle 5.5 on the same full-panel set of 17.9 million variants (</w:t>
      </w:r>
      <m:oMath>
        <m:r>
          <m:rPr>
            <m:sty m:val="p"/>
          </m:rPr>
          <m:t>Δ</m:t>
        </m:r>
      </m:oMath>
      <w:r>
        <w:t xml:space="preserve"> </w:t>
      </w:r>
      <w:r>
        <w:t xml:space="preserve">= +0.0236). Per-sample mean</w:t>
      </w:r>
      <w:r>
        <w:t xml:space="preserve"> </w:t>
      </w:r>
      <m:oMath>
        <m:sSup>
          <m:e>
            <m:r>
              <m:t>R</m:t>
            </m:r>
          </m:e>
          <m:sup>
            <m:r>
              <m:t>2</m:t>
            </m:r>
          </m:sup>
        </m:sSup>
      </m:oMath>
      <w:r>
        <w:t xml:space="preserve"> </w:t>
      </w:r>
      <w:r>
        <w:t xml:space="preserve">is 0.8978 (Selphi 2) versus 0.8764 (Beagle 5.5),</w:t>
      </w:r>
      <w:r>
        <w:t xml:space="preserve"> </w:t>
      </w:r>
      <m:oMath>
        <m:r>
          <m:rPr>
            <m:sty m:val="p"/>
          </m:rPr>
          <m:t>Δ</m:t>
        </m:r>
      </m:oMath>
      <w:r>
        <w:t xml:space="preserve"> </w:t>
      </w:r>
      <w:r>
        <w:t xml:space="preserve">= +0.0214; broken down by self-reported ancestry, Selphi 2 leads Beagle 5.5 in all four MESA groups (+0.019 to +0.032 per-sample</w:t>
      </w:r>
      <w:r>
        <w:t xml:space="preserve"> </w:t>
      </w:r>
      <m:oMath>
        <m:sSup>
          <m:e>
            <m:r>
              <m:t>R</m:t>
            </m:r>
          </m:e>
          <m:sup>
            <m:r>
              <m:t>2</m:t>
            </m:r>
          </m:sup>
        </m:sSup>
      </m:oMath>
      <w:r>
        <w:t xml:space="preserve">, largest on the East-Asian group; Figure 2b). Increasing the candidate set further to</w:t>
      </w:r>
      <w:r>
        <w:t xml:space="preserve"> </w:t>
      </w:r>
      <m:oMath>
        <m:sSub>
          <m:e>
            <m:r>
              <m:t>m</m:t>
            </m:r>
          </m:e>
          <m:sub>
            <m:r>
              <m:t>c</m:t>
            </m:r>
          </m:sub>
        </m:sSub>
      </m:oMath>
      <w:r>
        <w:t xml:space="preserve"> </w:t>
      </w:r>
      <w:r>
        <w:t xml:space="preserve">= 150,000 yields a marginal additional gain (overall</w:t>
      </w:r>
      <w:r>
        <w:t xml:space="preserve"> </w:t>
      </w:r>
      <m:oMath>
        <m:sSup>
          <m:e>
            <m:r>
              <m:t>R</m:t>
            </m:r>
          </m:e>
          <m:sup>
            <m:r>
              <m:t>2</m:t>
            </m:r>
          </m:sup>
        </m:sSup>
      </m:oMath>
      <w:r>
        <w:t xml:space="preserve"> </w:t>
      </w:r>
      <w:r>
        <w:t xml:space="preserve">0.6162, +0.0005 over the default</w:t>
      </w:r>
      <w:r>
        <w:t xml:space="preserve"> </w:t>
      </w:r>
      <m:oMath>
        <m:sSub>
          <m:e>
            <m:r>
              <m:t>m</m:t>
            </m:r>
          </m:e>
          <m:sub>
            <m:r>
              <m:t>c</m:t>
            </m:r>
          </m:sub>
        </m:sSub>
      </m:oMath>
      <w:r>
        <w:t xml:space="preserve"> </w:t>
      </w:r>
      <w:r>
        <w:t xml:space="preserve">= 132,676) and confirms the diminishing-returns regime captured by the formula.</w:t>
      </w:r>
    </w:p>
    <w:p>
      <w:pPr>
        <w:pStyle w:val="BodyText"/>
      </w:pPr>
      <w:r>
        <w:t xml:space="preserve">To isolate the contribution of the new sizing rule, we ran Selphi 2 on the same admixed cohort with</w:t>
      </w:r>
      <w:r>
        <w:t xml:space="preserve"> </w:t>
      </w:r>
      <m:oMath>
        <m:sSub>
          <m:e>
            <m:r>
              <m:t>m</m:t>
            </m:r>
          </m:e>
          <m:sub>
            <m:r>
              <m:t>c</m:t>
            </m:r>
          </m:sub>
        </m:sSub>
      </m:oMath>
      <w:r>
        <w:t xml:space="preserve"> </w:t>
      </w:r>
      <w:r>
        <w:t xml:space="preserve">fixed at 2,500 (the configuration that mirrors Selphi 1’s</w:t>
      </w:r>
      <w:r>
        <w:t xml:space="preserve"> </w:t>
      </w:r>
      <m:oMath>
        <m:sSub>
          <m:e>
            <m:r>
              <m:t>K</m:t>
            </m:r>
          </m:e>
          <m:sub>
            <m:r>
              <m:t>2</m:t>
            </m:r>
          </m:sub>
        </m:sSub>
      </m:oMath>
      <w:r>
        <w:t xml:space="preserve"> </w:t>
      </w:r>
      <w:r>
        <w:t xml:space="preserve">= 60 cap on a panel of this size in retained-fraction terms). On a 500-sample MESA subset (chr20, TOPMed panel),</w:t>
      </w:r>
      <w:r>
        <w:t xml:space="preserve"> </w:t>
      </w:r>
      <m:oMath>
        <m:sSub>
          <m:e>
            <m:r>
              <m:t>m</m:t>
            </m:r>
          </m:e>
          <m:sub>
            <m:r>
              <m:t>c</m:t>
            </m:r>
          </m:sub>
        </m:sSub>
      </m:oMath>
      <w:r>
        <w:t xml:space="preserve"> </w:t>
      </w:r>
      <w:r>
        <w:t xml:space="preserve">= 2,500 yielded overall</w:t>
      </w:r>
      <w:r>
        <w:t xml:space="preserve"> </w:t>
      </w:r>
      <m:oMath>
        <m:sSup>
          <m:e>
            <m:r>
              <m:t>R</m:t>
            </m:r>
          </m:e>
          <m:sup>
            <m:r>
              <m:t>2</m:t>
            </m:r>
          </m:sup>
        </m:sSup>
      </m:oMath>
      <w:r>
        <w:t xml:space="preserve"> </w:t>
      </w:r>
      <w:r>
        <w:t xml:space="preserve">0.5771 while</w:t>
      </w:r>
      <w:r>
        <w:t xml:space="preserve"> </w:t>
      </w:r>
      <m:oMath>
        <m:sSub>
          <m:e>
            <m:r>
              <m:t>m</m:t>
            </m:r>
          </m:e>
          <m:sub>
            <m:r>
              <m:t>c</m:t>
            </m:r>
          </m:sub>
        </m:sSub>
      </m:oMath>
      <w:r>
        <w:t xml:space="preserve"> </w:t>
      </w:r>
      <w:r>
        <w:t xml:space="preserve">= 132,676 (auto) yielded</w:t>
      </w:r>
      <w:r>
        <w:t xml:space="preserve"> </w:t>
      </w:r>
      <m:oMath>
        <m:sSup>
          <m:e>
            <m:r>
              <m:t>R</m:t>
            </m:r>
          </m:e>
          <m:sup>
            <m:r>
              <m:t>2</m:t>
            </m:r>
          </m:sup>
        </m:sSup>
      </m:oMath>
      <w:r>
        <w:t xml:space="preserve"> </w:t>
      </w:r>
      <w:r>
        <w:t xml:space="preserve">0.6422, a gain of +0.0651 attributable entirely to the candidate-set size (Table 2).</w:t>
      </w:r>
    </w:p>
    <w:p>
      <w:pPr>
        <w:pStyle w:val="BodyText"/>
      </w:pPr>
      <w:r>
        <w:rPr>
          <w:b/>
          <w:bCs/>
        </w:rPr>
        <w:t xml:space="preserve">Table 2. Effect of candidate-set size on imputation</w:t>
      </w:r>
      <w:r>
        <w:rPr>
          <w:b/>
          <w:bCs/>
        </w:rPr>
        <w:t xml:space="preserve"> </w:t>
      </w:r>
      <m:oMath>
        <m:sSup>
          <m:e>
            <m:r>
              <m:t>R</m:t>
            </m:r>
          </m:e>
          <m:sup>
            <m:r>
              <m:t>2</m:t>
            </m:r>
          </m:sup>
        </m:sSup>
      </m:oMath>
      <w:r>
        <w:rPr>
          <w:b/>
          <w:bCs/>
        </w:rPr>
        <w:t xml:space="preserve">, MESA admixed cohort</w:t>
      </w:r>
      <w:r>
        <w:rPr>
          <w:b/>
          <w:bCs/>
        </w:rPr>
        <w:t xml:space="preserve"> </w:t>
      </w:r>
      <m:oMath>
        <m:r>
          <m:rPr>
            <m:sty m:val="p"/>
          </m:rPr>
          <m:t>×</m:t>
        </m:r>
      </m:oMath>
      <w:r>
        <w:rPr>
          <w:b/>
          <w:bCs/>
        </w:rPr>
        <w:t xml:space="preserve"> </w:t>
      </w:r>
      <w:r>
        <w:rPr>
          <w:b/>
          <w:bCs/>
        </w:rPr>
        <w:t xml:space="preserve">TOPMed panel.</w:t>
      </w:r>
      <w:r>
        <w:t xml:space="preserve"> </w:t>
      </w:r>
      <m:oMath>
        <m:sSup>
          <m:e>
            <m:r>
              <m:t>R</m:t>
            </m:r>
          </m:e>
          <m:sup>
            <m:r>
              <m:t>2</m:t>
            </m:r>
          </m:sup>
        </m:sSup>
      </m:oMath>
      <w:r>
        <w:t xml:space="preserve"> </w:t>
      </w:r>
      <w:r>
        <w:t xml:space="preserve">for two candidate-set sizes on a 500-sample subset of MESA, chr20, at representative MAF bins spanning the frequency range (the full nine-bin breakdown, stratified by ancestry, is in Table 2b).</w:t>
      </w:r>
      <w:r>
        <w:t xml:space="preserve"> </w:t>
      </w:r>
      <m:oMath>
        <m:sSub>
          <m:e>
            <m:r>
              <m:t>m</m:t>
            </m:r>
          </m:e>
          <m:sub>
            <m:r>
              <m:t>c</m:t>
            </m:r>
          </m:sub>
        </m:sSub>
      </m:oMath>
      <w:r>
        <w:t xml:space="preserve"> </w:t>
      </w:r>
      <w:r>
        <w:t xml:space="preserve">= 2,500 mirrors Selphi 1’s</w:t>
      </w:r>
      <w:r>
        <w:t xml:space="preserve"> </w:t>
      </w:r>
      <m:oMath>
        <m:sSub>
          <m:e>
            <m:r>
              <m:t>K</m:t>
            </m:r>
          </m:e>
          <m:sub>
            <m:r>
              <m:t>2</m:t>
            </m:r>
          </m:sub>
        </m:sSub>
      </m:oMath>
      <w:r>
        <w:t xml:space="preserve"> </w:t>
      </w:r>
      <w:r>
        <w:t xml:space="preserve">cap on a panel of this size;</w:t>
      </w:r>
      <w:r>
        <w:t xml:space="preserve"> </w:t>
      </w:r>
      <m:oMath>
        <m:sSub>
          <m:e>
            <m:r>
              <m:t>m</m:t>
            </m:r>
          </m:e>
          <m:sub>
            <m:r>
              <m:t>c</m:t>
            </m:r>
          </m:sub>
        </m:sSub>
      </m:oMath>
      <w:r>
        <w:t xml:space="preserve"> </w:t>
      </w:r>
      <w:r>
        <w:t xml:space="preserve">= 132,676 is the value chosen by the panel-adaptive formula (Methods).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MAF</w:t>
            </w:r>
          </w:p>
        </w:tc>
        <w:tc>
          <w:tcPr/>
          <w:p>
            <w:pPr>
              <w:pStyle w:val="Compact"/>
            </w:pPr>
            <m:oMath>
              <m:sSub>
                <m:e>
                  <m:r>
                    <m:t>m</m:t>
                  </m:r>
                </m:e>
                <m:sub>
                  <m:r>
                    <m:t>c</m:t>
                  </m:r>
                </m:sub>
              </m:sSub>
            </m:oMath>
            <w:r>
              <w:t xml:space="preserve"> </w:t>
            </w:r>
            <w:r>
              <w:t xml:space="preserve">= 2,500</w:t>
            </w:r>
          </w:p>
        </w:tc>
        <w:tc>
          <w:tcPr/>
          <w:p>
            <w:pPr>
              <w:pStyle w:val="Compact"/>
            </w:pPr>
            <m:oMath>
              <m:sSub>
                <m:e>
                  <m:r>
                    <m:t>m</m:t>
                  </m:r>
                </m:e>
                <m:sub>
                  <m:r>
                    <m:t>c</m:t>
                  </m:r>
                </m:sub>
              </m:sSub>
            </m:oMath>
            <w:r>
              <w:t xml:space="preserve"> </w:t>
            </w:r>
            <w:r>
              <w:t xml:space="preserve">= 132,676 (auto)</w:t>
            </w:r>
          </w:p>
        </w:tc>
        <w:tc>
          <w:tcPr/>
          <w:p>
            <w:pPr>
              <w:pStyle w:val="Compact"/>
            </w:pPr>
            <m:oMath>
              <m:r>
                <m:rPr>
                  <m:sty m:val="p"/>
                </m:rPr>
                <m:t>Δ</m:t>
              </m:r>
            </m:oMath>
          </w:p>
        </w:tc>
      </w:tr>
      <w:tr>
        <w:tc>
          <w:tcPr/>
          <w:p>
            <w:pPr>
              <w:pStyle w:val="Compact"/>
            </w:pPr>
            <w:r>
              <w:t xml:space="preserve">0.1–0.2%</w:t>
            </w:r>
          </w:p>
        </w:tc>
        <w:tc>
          <w:tcPr/>
          <w:p>
            <w:pPr>
              <w:pStyle w:val="Compact"/>
            </w:pPr>
            <w:r>
              <w:t xml:space="preserve">0.5066</w:t>
            </w:r>
          </w:p>
        </w:tc>
        <w:tc>
          <w:tcPr/>
          <w:p>
            <w:pPr>
              <w:pStyle w:val="Compact"/>
            </w:pPr>
            <w:r>
              <w:t xml:space="preserve">0.6150</w:t>
            </w:r>
          </w:p>
        </w:tc>
        <w:tc>
          <w:tcPr/>
          <w:p>
            <w:pPr>
              <w:pStyle w:val="Compact"/>
            </w:pPr>
            <w:r>
              <w:t xml:space="preserve">+0.1084</w:t>
            </w:r>
          </w:p>
        </w:tc>
      </w:tr>
      <w:tr>
        <w:tc>
          <w:tcPr/>
          <w:p>
            <w:pPr>
              <w:pStyle w:val="Compact"/>
            </w:pPr>
            <w:r>
              <w:t xml:space="preserve">0.2–0.5%</w:t>
            </w:r>
          </w:p>
        </w:tc>
        <w:tc>
          <w:tcPr/>
          <w:p>
            <w:pPr>
              <w:pStyle w:val="Compact"/>
            </w:pPr>
            <w:r>
              <w:t xml:space="preserve">0.5373</w:t>
            </w:r>
          </w:p>
        </w:tc>
        <w:tc>
          <w:tcPr/>
          <w:p>
            <w:pPr>
              <w:pStyle w:val="Compact"/>
            </w:pPr>
            <w:r>
              <w:t xml:space="preserve">0.6101</w:t>
            </w:r>
          </w:p>
        </w:tc>
        <w:tc>
          <w:tcPr/>
          <w:p>
            <w:pPr>
              <w:pStyle w:val="Compact"/>
            </w:pPr>
            <w:r>
              <w:t xml:space="preserve">+0.0728</w:t>
            </w:r>
          </w:p>
        </w:tc>
      </w:tr>
      <w:tr>
        <w:tc>
          <w:tcPr/>
          <w:p>
            <w:pPr>
              <w:pStyle w:val="Compact"/>
            </w:pPr>
            <w:r>
              <w:t xml:space="preserve">0.5–1%</w:t>
            </w:r>
          </w:p>
        </w:tc>
        <w:tc>
          <w:tcPr/>
          <w:p>
            <w:pPr>
              <w:pStyle w:val="Compact"/>
            </w:pPr>
            <w:r>
              <w:t xml:space="preserve">0.5961</w:t>
            </w:r>
          </w:p>
        </w:tc>
        <w:tc>
          <w:tcPr/>
          <w:p>
            <w:pPr>
              <w:pStyle w:val="Compact"/>
            </w:pPr>
            <w:r>
              <w:t xml:space="preserve">0.6504</w:t>
            </w:r>
          </w:p>
        </w:tc>
        <w:tc>
          <w:tcPr/>
          <w:p>
            <w:pPr>
              <w:pStyle w:val="Compact"/>
            </w:pPr>
            <w:r>
              <w:t xml:space="preserve">+0.0543</w:t>
            </w:r>
          </w:p>
        </w:tc>
      </w:tr>
      <w:tr>
        <w:tc>
          <w:tcPr/>
          <w:p>
            <w:pPr>
              <w:pStyle w:val="Compact"/>
            </w:pPr>
            <w:r>
              <w:t xml:space="preserve">1–2%</w:t>
            </w:r>
          </w:p>
        </w:tc>
        <w:tc>
          <w:tcPr/>
          <w:p>
            <w:pPr>
              <w:pStyle w:val="Compact"/>
            </w:pPr>
            <w:r>
              <w:t xml:space="preserve">0.6277</w:t>
            </w:r>
          </w:p>
        </w:tc>
        <w:tc>
          <w:tcPr/>
          <w:p>
            <w:pPr>
              <w:pStyle w:val="Compact"/>
            </w:pPr>
            <w:r>
              <w:t xml:space="preserve">0.6677</w:t>
            </w:r>
          </w:p>
        </w:tc>
        <w:tc>
          <w:tcPr/>
          <w:p>
            <w:pPr>
              <w:pStyle w:val="Compact"/>
            </w:pPr>
            <w:r>
              <w:t xml:space="preserve">+0.0400</w:t>
            </w:r>
          </w:p>
        </w:tc>
      </w:tr>
      <w:tr>
        <w:tc>
          <w:tcPr/>
          <w:p>
            <w:pPr>
              <w:pStyle w:val="Compact"/>
            </w:pPr>
            <w:r>
              <w:t xml:space="preserve">5–10%</w:t>
            </w:r>
          </w:p>
        </w:tc>
        <w:tc>
          <w:tcPr/>
          <w:p>
            <w:pPr>
              <w:pStyle w:val="Compact"/>
            </w:pPr>
            <w:r>
              <w:t xml:space="preserve">0.6471</w:t>
            </w:r>
          </w:p>
        </w:tc>
        <w:tc>
          <w:tcPr/>
          <w:p>
            <w:pPr>
              <w:pStyle w:val="Compact"/>
            </w:pPr>
            <w:r>
              <w:t xml:space="preserve">0.6650</w:t>
            </w:r>
          </w:p>
        </w:tc>
        <w:tc>
          <w:tcPr/>
          <w:p>
            <w:pPr>
              <w:pStyle w:val="Compact"/>
            </w:pPr>
            <w:r>
              <w:t xml:space="preserve">+0.0179</w:t>
            </w:r>
          </w:p>
        </w:tc>
      </w:tr>
      <w:tr>
        <w:tc>
          <w:tcPr/>
          <w:p>
            <w:pPr>
              <w:pStyle w:val="Compact"/>
            </w:pPr>
            <w:r>
              <w:t xml:space="preserve">20–50%</w:t>
            </w:r>
          </w:p>
        </w:tc>
        <w:tc>
          <w:tcPr/>
          <w:p>
            <w:pPr>
              <w:pStyle w:val="Compact"/>
            </w:pPr>
            <w:r>
              <w:t xml:space="preserve">0.6688</w:t>
            </w:r>
          </w:p>
        </w:tc>
        <w:tc>
          <w:tcPr/>
          <w:p>
            <w:pPr>
              <w:pStyle w:val="Compact"/>
            </w:pPr>
            <w:r>
              <w:t xml:space="preserve">0.6769</w:t>
            </w:r>
          </w:p>
        </w:tc>
        <w:tc>
          <w:tcPr/>
          <w:p>
            <w:pPr>
              <w:pStyle w:val="Compact"/>
            </w:pPr>
            <w:r>
              <w:t xml:space="preserve">+0.0081</w:t>
            </w:r>
          </w:p>
        </w:tc>
      </w:tr>
      <w:tr>
        <w:tc>
          <w:tcPr/>
          <w:p>
            <w:pPr>
              <w:pStyle w:val="Compact"/>
            </w:pPr>
            <w:r>
              <w:t xml:space="preserve">OVERALL</w:t>
            </w:r>
          </w:p>
        </w:tc>
        <w:tc>
          <w:tcPr/>
          <w:p>
            <w:pPr>
              <w:pStyle w:val="Compact"/>
            </w:pPr>
            <w:r>
              <w:t xml:space="preserve">0.5771</w:t>
            </w:r>
          </w:p>
        </w:tc>
        <w:tc>
          <w:tcPr/>
          <w:p>
            <w:pPr>
              <w:pStyle w:val="Compact"/>
            </w:pPr>
            <w:r>
              <w:rPr>
                <w:b/>
                <w:bCs/>
              </w:rPr>
              <w:t xml:space="preserve">0.6422</w:t>
            </w:r>
          </w:p>
        </w:tc>
        <w:tc>
          <w:tcPr/>
          <w:p>
            <w:pPr>
              <w:pStyle w:val="Compact"/>
            </w:pPr>
            <w:r>
              <w:rPr>
                <w:b/>
                <w:bCs/>
              </w:rPr>
              <w:t xml:space="preserve">+0.0651</w:t>
            </w:r>
          </w:p>
        </w:tc>
      </w:tr>
    </w:tbl>
    <w:p>
      <w:pPr>
        <w:pStyle w:val="BodyText"/>
      </w:pPr>
      <w:r>
        <w:t xml:space="preserve">The gain is monotonically larger at rarer MAF bins, confirming that the fixed cap in Selphi 1 was preferentially truncating rare-variant carriers. The panel-adaptive formula recovers this accuracy without manual tuning.</w:t>
      </w:r>
    </w:p>
    <w:p>
      <w:pPr>
        <w:pStyle w:val="BodyText"/>
      </w:pPr>
      <w:r>
        <w:t xml:space="preserve">To test whether this candidate-set truncation falls preferentially on minority ancestries, as the proposed mechanism predicts, we re-imputed the full 5,000-sample cohort twice (fixed</w:t>
      </w:r>
      <w:r>
        <w:t xml:space="preserve"> </w:t>
      </w:r>
      <m:oMath>
        <m:sSub>
          <m:e>
            <m:r>
              <m:t>m</m:t>
            </m:r>
          </m:e>
          <m:sub>
            <m:r>
              <m:t>c</m:t>
            </m:r>
          </m:sub>
        </m:sSub>
      </m:oMath>
      <w:r>
        <w:t xml:space="preserve"> </w:t>
      </w:r>
      <w:r>
        <w:t xml:space="preserve">= 2,500 versus panel-adaptive</w:t>
      </w:r>
      <w:r>
        <w:t xml:space="preserve"> </w:t>
      </w:r>
      <m:oMath>
        <m:sSub>
          <m:e>
            <m:r>
              <m:t>m</m:t>
            </m:r>
          </m:e>
          <m:sub>
            <m:r>
              <m:t>c</m:t>
            </m:r>
          </m:sub>
        </m:sSub>
      </m:oMath>
      <w:r>
        <w:t xml:space="preserve"> </w:t>
      </w:r>
      <w:r>
        <w:t xml:space="preserve">= 132,676, identical in every other respect) and stratified the recovered accuracy (adaptive minus fixed) by self-reported ancestry and minor-allele frequency (3,948 of 5,000 samples carry an ancestry label; per-variant</w:t>
      </w:r>
      <w:r>
        <w:t xml:space="preserve"> </w:t>
      </w:r>
      <m:oMath>
        <m:sSup>
          <m:e>
            <m:r>
              <m:t>R</m:t>
            </m:r>
          </m:e>
          <m:sup>
            <m:r>
              <m:t>2</m:t>
            </m:r>
          </m:sup>
        </m:sSup>
      </m:oMath>
      <w:r>
        <w:t xml:space="preserve"> </w:t>
      </w:r>
      <w:r>
        <w:t xml:space="preserve">binned by within-group MAF). The recovery is concentrated at rare variants and is largest for the most admixed or diverged populations (Table 2b): at the rarest bin (MAF 0.05–0.1%) the panel-adaptive sizing recovers +0.172</w:t>
      </w:r>
      <w:r>
        <w:t xml:space="preserve"> </w:t>
      </w:r>
      <m:oMath>
        <m:sSup>
          <m:e>
            <m:r>
              <m:t>R</m:t>
            </m:r>
          </m:e>
          <m:sup>
            <m:r>
              <m:t>2</m:t>
            </m:r>
          </m:sup>
        </m:sSup>
      </m:oMath>
      <w:r>
        <w:t xml:space="preserve"> </w:t>
      </w:r>
      <w: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pPr>
      <w:r>
        <w:rPr>
          <w:b/>
          <w:bCs/>
        </w:rPr>
        <w:t xml:space="preserve">Table 2b. Rare-variant accuracy recovered by panel-adaptive candidate sizing, stratified by ancestry.</w:t>
      </w:r>
      <w:r>
        <w:t xml:space="preserve"> </w:t>
      </w:r>
      <w:r>
        <w:t xml:space="preserve">Per-variant</w:t>
      </w:r>
      <w:r>
        <w:t xml:space="preserve"> </w:t>
      </w:r>
      <m:oMath>
        <m:sSup>
          <m:e>
            <m:r>
              <m:t>R</m:t>
            </m:r>
          </m:e>
          <m:sup>
            <m:r>
              <m:t>2</m:t>
            </m:r>
          </m:sup>
        </m:sSup>
      </m:oMath>
      <w:r>
        <w:t xml:space="preserve"> </w:t>
      </w:r>
      <w:r>
        <w:t xml:space="preserve">gain (panel-adaptive</w:t>
      </w:r>
      <w:r>
        <w:t xml:space="preserve"> </w:t>
      </w:r>
      <m:oMath>
        <m:sSub>
          <m:e>
            <m:r>
              <m:t>m</m:t>
            </m:r>
          </m:e>
          <m:sub>
            <m:r>
              <m:t>c</m:t>
            </m:r>
          </m:sub>
        </m:sSub>
      </m:oMath>
      <w:r>
        <w:t xml:space="preserve"> </w:t>
      </w:r>
      <w:r>
        <w:t xml:space="preserve">= 132,676 minus fixed</w:t>
      </w:r>
      <w:r>
        <w:t xml:space="preserve"> </w:t>
      </w:r>
      <m:oMath>
        <m:sSub>
          <m:e>
            <m:r>
              <m:t>m</m:t>
            </m:r>
          </m:e>
          <m:sub>
            <m:r>
              <m:t>c</m:t>
            </m:r>
          </m:sub>
        </m:sSub>
      </m:oMath>
      <w:r>
        <w:t xml:space="preserve"> </w:t>
      </w:r>
      <w:r>
        <w:t xml:space="preserve">= 2,500) on the full 5,000-sample MESA cohort imputed against the TOPMed panel (chr20), binned by within-group minor-allele frequency. Both runs are identical except for the candidate-set size. n = labelled samples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MAF</w:t>
            </w:r>
          </w:p>
        </w:tc>
        <w:tc>
          <w:tcPr/>
          <w:p>
            <w:pPr>
              <w:pStyle w:val="Compact"/>
            </w:pPr>
            <w:r>
              <w:t xml:space="preserve">African-American (924)</w:t>
            </w:r>
          </w:p>
        </w:tc>
        <w:tc>
          <w:tcPr/>
          <w:p>
            <w:pPr>
              <w:pStyle w:val="Compact"/>
            </w:pPr>
            <w:r>
              <w:t xml:space="preserve">Hispanic (859)</w:t>
            </w:r>
          </w:p>
        </w:tc>
        <w:tc>
          <w:tcPr/>
          <w:p>
            <w:pPr>
              <w:pStyle w:val="Compact"/>
            </w:pPr>
            <w:r>
              <w:t xml:space="preserve">White (1,631)</w:t>
            </w:r>
          </w:p>
        </w:tc>
        <w:tc>
          <w:tcPr/>
          <w:p>
            <w:pPr>
              <w:pStyle w:val="Compact"/>
            </w:pPr>
            <w:r>
              <w:t xml:space="preserve">Chinese-American (534)</w:t>
            </w:r>
          </w:p>
        </w:tc>
      </w:tr>
      <w:tr>
        <w:tc>
          <w:tcPr/>
          <w:p>
            <w:pPr>
              <w:pStyle w:val="Compact"/>
            </w:pPr>
            <w:r>
              <w:t xml:space="preserve">0.05–0.1%</w:t>
            </w:r>
          </w:p>
        </w:tc>
        <w:tc>
          <w:tcPr/>
          <w:p>
            <w:pPr>
              <w:pStyle w:val="Compact"/>
            </w:pPr>
            <w:r>
              <w:t xml:space="preserve">+0.1391</w:t>
            </w:r>
          </w:p>
        </w:tc>
        <w:tc>
          <w:tcPr/>
          <w:p>
            <w:pPr>
              <w:pStyle w:val="Compact"/>
            </w:pPr>
            <w:r>
              <w:rPr>
                <w:b/>
                <w:bCs/>
              </w:rPr>
              <w:t xml:space="preserve">+0.1715</w:t>
            </w:r>
          </w:p>
        </w:tc>
        <w:tc>
          <w:tcPr/>
          <w:p>
            <w:pPr>
              <w:pStyle w:val="Compact"/>
            </w:pPr>
            <w:r>
              <w:t xml:space="preserve">+0.1195</w:t>
            </w:r>
          </w:p>
        </w:tc>
        <w:tc>
          <w:tcPr/>
          <w:p>
            <w:pPr>
              <w:pStyle w:val="Compact"/>
            </w:pPr>
            <w:r>
              <w:t xml:space="preserve">+0.0170</w:t>
            </w:r>
          </w:p>
        </w:tc>
      </w:tr>
      <w:tr>
        <w:tc>
          <w:tcPr/>
          <w:p>
            <w:pPr>
              <w:pStyle w:val="Compact"/>
            </w:pPr>
            <w:r>
              <w:t xml:space="preserve">0.1–0.2%</w:t>
            </w:r>
          </w:p>
        </w:tc>
        <w:tc>
          <w:tcPr/>
          <w:p>
            <w:pPr>
              <w:pStyle w:val="Compact"/>
            </w:pPr>
            <w:r>
              <w:t xml:space="preserve">+0.1211</w:t>
            </w:r>
          </w:p>
        </w:tc>
        <w:tc>
          <w:tcPr/>
          <w:p>
            <w:pPr>
              <w:pStyle w:val="Compact"/>
            </w:pPr>
            <w:r>
              <w:t xml:space="preserve">+0.1554</w:t>
            </w:r>
          </w:p>
        </w:tc>
        <w:tc>
          <w:tcPr/>
          <w:p>
            <w:pPr>
              <w:pStyle w:val="Compact"/>
            </w:pPr>
            <w:r>
              <w:t xml:space="preserve">+0.0858</w:t>
            </w:r>
          </w:p>
        </w:tc>
        <w:tc>
          <w:tcPr/>
          <w:p>
            <w:pPr>
              <w:pStyle w:val="Compact"/>
            </w:pPr>
            <w:r>
              <w:t xml:space="preserve">+0.0123</w:t>
            </w:r>
          </w:p>
        </w:tc>
      </w:tr>
      <w:tr>
        <w:tc>
          <w:tcPr/>
          <w:p>
            <w:pPr>
              <w:pStyle w:val="Compact"/>
            </w:pPr>
            <w:r>
              <w:t xml:space="preserve">0.2–0.5%</w:t>
            </w:r>
          </w:p>
        </w:tc>
        <w:tc>
          <w:tcPr/>
          <w:p>
            <w:pPr>
              <w:pStyle w:val="Compact"/>
            </w:pPr>
            <w:r>
              <w:t xml:space="preserve">+0.0885</w:t>
            </w:r>
          </w:p>
        </w:tc>
        <w:tc>
          <w:tcPr/>
          <w:p>
            <w:pPr>
              <w:pStyle w:val="Compact"/>
            </w:pPr>
            <w:r>
              <w:t xml:space="preserve">+0.1268</w:t>
            </w:r>
          </w:p>
        </w:tc>
        <w:tc>
          <w:tcPr/>
          <w:p>
            <w:pPr>
              <w:pStyle w:val="Compact"/>
            </w:pPr>
            <w:r>
              <w:t xml:space="preserve">+0.0587</w:t>
            </w:r>
          </w:p>
        </w:tc>
        <w:tc>
          <w:tcPr/>
          <w:p>
            <w:pPr>
              <w:pStyle w:val="Compact"/>
            </w:pPr>
            <w:r>
              <w:t xml:space="preserve">+0.0055</w:t>
            </w:r>
          </w:p>
        </w:tc>
      </w:tr>
      <w:tr>
        <w:tc>
          <w:tcPr/>
          <w:p>
            <w:pPr>
              <w:pStyle w:val="Compact"/>
            </w:pPr>
            <w:r>
              <w:t xml:space="preserve">0.5–1%</w:t>
            </w:r>
          </w:p>
        </w:tc>
        <w:tc>
          <w:tcPr/>
          <w:p>
            <w:pPr>
              <w:pStyle w:val="Compact"/>
            </w:pPr>
            <w:r>
              <w:t xml:space="preserve">+0.0642</w:t>
            </w:r>
          </w:p>
        </w:tc>
        <w:tc>
          <w:tcPr/>
          <w:p>
            <w:pPr>
              <w:pStyle w:val="Compact"/>
            </w:pPr>
            <w:r>
              <w:t xml:space="preserve">+0.0968</w:t>
            </w:r>
          </w:p>
        </w:tc>
        <w:tc>
          <w:tcPr/>
          <w:p>
            <w:pPr>
              <w:pStyle w:val="Compact"/>
            </w:pPr>
            <w:r>
              <w:t xml:space="preserve">+0.0381</w:t>
            </w:r>
          </w:p>
        </w:tc>
        <w:tc>
          <w:tcPr/>
          <w:p>
            <w:pPr>
              <w:pStyle w:val="Compact"/>
            </w:pPr>
            <w:r>
              <w:t xml:space="preserve">+0.0008</w:t>
            </w:r>
          </w:p>
        </w:tc>
      </w:tr>
      <w:tr>
        <w:tc>
          <w:tcPr/>
          <w:p>
            <w:pPr>
              <w:pStyle w:val="Compact"/>
            </w:pPr>
            <w:r>
              <w:t xml:space="preserve">1–2%</w:t>
            </w:r>
          </w:p>
        </w:tc>
        <w:tc>
          <w:tcPr/>
          <w:p>
            <w:pPr>
              <w:pStyle w:val="Compact"/>
            </w:pPr>
            <w:r>
              <w:t xml:space="preserve">+0.0528</w:t>
            </w:r>
          </w:p>
        </w:tc>
        <w:tc>
          <w:tcPr/>
          <w:p>
            <w:pPr>
              <w:pStyle w:val="Compact"/>
            </w:pPr>
            <w:r>
              <w:t xml:space="preserve">+0.0692</w:t>
            </w:r>
          </w:p>
        </w:tc>
        <w:tc>
          <w:tcPr/>
          <w:p>
            <w:pPr>
              <w:pStyle w:val="Compact"/>
            </w:pPr>
            <w:r>
              <w:t xml:space="preserve">+0.0242</w:t>
            </w:r>
          </w:p>
        </w:tc>
        <w:tc>
          <w:tcPr/>
          <w:p>
            <w:pPr>
              <w:pStyle w:val="Compact"/>
            </w:pPr>
            <w:r>
              <w:t xml:space="preserve">-0.0034</w:t>
            </w:r>
          </w:p>
        </w:tc>
      </w:tr>
      <w:tr>
        <w:tc>
          <w:tcPr/>
          <w:p>
            <w:pPr>
              <w:pStyle w:val="Compact"/>
            </w:pPr>
            <w:r>
              <w:t xml:space="preserve">2–5%</w:t>
            </w:r>
          </w:p>
        </w:tc>
        <w:tc>
          <w:tcPr/>
          <w:p>
            <w:pPr>
              <w:pStyle w:val="Compact"/>
            </w:pPr>
            <w:r>
              <w:t xml:space="preserve">+0.0436</w:t>
            </w:r>
          </w:p>
        </w:tc>
        <w:tc>
          <w:tcPr/>
          <w:p>
            <w:pPr>
              <w:pStyle w:val="Compact"/>
            </w:pPr>
            <w:r>
              <w:t xml:space="preserve">+0.0436</w:t>
            </w:r>
          </w:p>
        </w:tc>
        <w:tc>
          <w:tcPr/>
          <w:p>
            <w:pPr>
              <w:pStyle w:val="Compact"/>
            </w:pPr>
            <w:r>
              <w:t xml:space="preserve">+0.0141</w:t>
            </w:r>
          </w:p>
        </w:tc>
        <w:tc>
          <w:tcPr/>
          <w:p>
            <w:pPr>
              <w:pStyle w:val="Compact"/>
            </w:pPr>
            <w:r>
              <w:t xml:space="preserve">-0.0055</w:t>
            </w:r>
          </w:p>
        </w:tc>
      </w:tr>
      <w:tr>
        <w:tc>
          <w:tcPr/>
          <w:p>
            <w:pPr>
              <w:pStyle w:val="Compact"/>
            </w:pPr>
            <w:r>
              <w:t xml:space="preserve">5–10%</w:t>
            </w:r>
          </w:p>
        </w:tc>
        <w:tc>
          <w:tcPr/>
          <w:p>
            <w:pPr>
              <w:pStyle w:val="Compact"/>
            </w:pPr>
            <w:r>
              <w:t xml:space="preserve">+0.0343</w:t>
            </w:r>
          </w:p>
        </w:tc>
        <w:tc>
          <w:tcPr/>
          <w:p>
            <w:pPr>
              <w:pStyle w:val="Compact"/>
            </w:pPr>
            <w:r>
              <w:t xml:space="preserve">+0.0255</w:t>
            </w:r>
          </w:p>
        </w:tc>
        <w:tc>
          <w:tcPr/>
          <w:p>
            <w:pPr>
              <w:pStyle w:val="Compact"/>
            </w:pPr>
            <w:r>
              <w:t xml:space="preserve">+0.0128</w:t>
            </w:r>
          </w:p>
        </w:tc>
        <w:tc>
          <w:tcPr/>
          <w:p>
            <w:pPr>
              <w:pStyle w:val="Compact"/>
            </w:pPr>
            <w:r>
              <w:t xml:space="preserve">-0.0060</w:t>
            </w:r>
          </w:p>
        </w:tc>
      </w:tr>
      <w:tr>
        <w:tc>
          <w:tcPr/>
          <w:p>
            <w:pPr>
              <w:pStyle w:val="Compact"/>
            </w:pPr>
            <w:r>
              <w:t xml:space="preserve">10–20%</w:t>
            </w:r>
          </w:p>
        </w:tc>
        <w:tc>
          <w:tcPr/>
          <w:p>
            <w:pPr>
              <w:pStyle w:val="Compact"/>
            </w:pPr>
            <w:r>
              <w:t xml:space="preserve">+0.0266</w:t>
            </w:r>
          </w:p>
        </w:tc>
        <w:tc>
          <w:tcPr/>
          <w:p>
            <w:pPr>
              <w:pStyle w:val="Compact"/>
            </w:pPr>
            <w:r>
              <w:t xml:space="preserve">+0.0199</w:t>
            </w:r>
          </w:p>
        </w:tc>
        <w:tc>
          <w:tcPr/>
          <w:p>
            <w:pPr>
              <w:pStyle w:val="Compact"/>
            </w:pPr>
            <w:r>
              <w:t xml:space="preserve">+0.0114</w:t>
            </w:r>
          </w:p>
        </w:tc>
        <w:tc>
          <w:tcPr/>
          <w:p>
            <w:pPr>
              <w:pStyle w:val="Compact"/>
            </w:pPr>
            <w:r>
              <w:t xml:space="preserve">-0.0059</w:t>
            </w:r>
          </w:p>
        </w:tc>
      </w:tr>
      <w:tr>
        <w:tc>
          <w:tcPr/>
          <w:p>
            <w:pPr>
              <w:pStyle w:val="Compact"/>
            </w:pPr>
            <w:r>
              <w:t xml:space="preserve">20–50%</w:t>
            </w:r>
          </w:p>
        </w:tc>
        <w:tc>
          <w:tcPr/>
          <w:p>
            <w:pPr>
              <w:pStyle w:val="Compact"/>
            </w:pPr>
            <w:r>
              <w:t xml:space="preserve">+0.0173</w:t>
            </w:r>
          </w:p>
        </w:tc>
        <w:tc>
          <w:tcPr/>
          <w:p>
            <w:pPr>
              <w:pStyle w:val="Compact"/>
            </w:pPr>
            <w:r>
              <w:t xml:space="preserve">+0.0125</w:t>
            </w:r>
          </w:p>
        </w:tc>
        <w:tc>
          <w:tcPr/>
          <w:p>
            <w:pPr>
              <w:pStyle w:val="Compact"/>
            </w:pPr>
            <w:r>
              <w:t xml:space="preserve">+0.0063</w:t>
            </w:r>
          </w:p>
        </w:tc>
        <w:tc>
          <w:tcPr/>
          <w:p>
            <w:pPr>
              <w:pStyle w:val="Compact"/>
            </w:pPr>
            <w:r>
              <w:t xml:space="preserve">-0.0038</w:t>
            </w:r>
          </w:p>
        </w:tc>
      </w:tr>
      <w:tr>
        <w:tc>
          <w:tcPr/>
          <w:p>
            <w:pPr>
              <w:pStyle w:val="Compact"/>
            </w:pPr>
            <w:r>
              <w:t xml:space="preserve">OVERALL</w:t>
            </w:r>
          </w:p>
        </w:tc>
        <w:tc>
          <w:tcPr/>
          <w:p>
            <w:pPr>
              <w:pStyle w:val="Compact"/>
            </w:pPr>
            <w:r>
              <w:t xml:space="preserve">+0.0874</w:t>
            </w:r>
          </w:p>
        </w:tc>
        <w:tc>
          <w:tcPr/>
          <w:p>
            <w:pPr>
              <w:pStyle w:val="Compact"/>
            </w:pPr>
            <w:r>
              <w:t xml:space="preserve">+0.1133</w:t>
            </w:r>
          </w:p>
        </w:tc>
        <w:tc>
          <w:tcPr/>
          <w:p>
            <w:pPr>
              <w:pStyle w:val="Compact"/>
            </w:pPr>
            <w:r>
              <w:t xml:space="preserve">+0.0539</w:t>
            </w:r>
          </w:p>
        </w:tc>
        <w:tc>
          <w:tcPr/>
          <w:p>
            <w:pPr>
              <w:pStyle w:val="Compact"/>
            </w:pPr>
            <w:r>
              <w:t xml:space="preserve">+0.0011</w:t>
            </w:r>
          </w:p>
        </w:tc>
      </w:tr>
    </w:tbl>
    <w:bookmarkEnd w:id="28"/>
    <w:bookmarkStart w:id="32" w:name="X531f82d26301f05db98be986a955c39ecd49cb6"/>
    <w:p>
      <w:pPr>
        <w:pStyle w:val="Heading2"/>
      </w:pPr>
      <w:r>
        <w:rPr>
          <w:b/>
          <w:bCs/>
        </w:rPr>
        <w:t xml:space="preserve">Out-of-panel generalization to ancestries absent from the reference panel</w:t>
      </w:r>
    </w:p>
    <w:p>
      <w:pPr>
        <w:pStyle w:val="FirstParagraph"/>
      </w:pPr>
      <w: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r>
        <w:t xml:space="preserve"> </w:t>
      </w:r>
      <w:r>
        <w:rPr>
          <w:vertAlign w:val="superscript"/>
        </w:rPr>
        <w:t xml:space="preserve">28</w:t>
      </w:r>
      <w: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pPr>
      <w:r>
        <w:t xml:space="preserve">Across all 22 autosomes, Selphi 2 (default diploid engine) exceeds Beagle 5.5 in per-sample</w:t>
      </w:r>
      <w:r>
        <w:t xml:space="preserve"> </w:t>
      </w:r>
      <m:oMath>
        <m:sSup>
          <m:e>
            <m:r>
              <m:t>R</m:t>
            </m:r>
          </m:e>
          <m:sup>
            <m:r>
              <m:t>2</m:t>
            </m:r>
          </m:sup>
        </m:sSup>
      </m:oMath>
      <w:r>
        <w:t xml:space="preserve"> </w:t>
      </w:r>
      <w: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t xml:space="preserve"> </w:t>
      </w:r>
      <m:oMath>
        <m:r>
          <m:rPr>
            <m:sty m:val="p"/>
          </m:rPr>
          <m:t>Δ</m:t>
        </m:r>
      </m:oMath>
      <w:r>
        <w:t xml:space="preserve"> </w:t>
      </w:r>
      <w: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pPr>
      <w:r>
        <w:rPr>
          <w:b/>
          <w:bCs/>
        </w:rPr>
        <w:t xml:space="preserve">Table 2c. Out-of-panel generalization: HGDP targets imputed against a 1000 Genomes panel, genome-wide.</w:t>
      </w:r>
      <w:r>
        <w:t xml:space="preserve"> </w:t>
      </w:r>
      <w:r>
        <w:t xml:space="preserve">Per-sample mean</w:t>
      </w:r>
      <w:r>
        <w:t xml:space="preserve"> </w:t>
      </w:r>
      <m:oMath>
        <m:sSup>
          <m:e>
            <m:r>
              <m:t>R</m:t>
            </m:r>
          </m:e>
          <m:sup>
            <m:r>
              <m:t>2</m:t>
            </m:r>
          </m:sup>
        </m:sSup>
      </m:oMath>
      <w:r>
        <w:t xml:space="preserve"> </w:t>
      </w:r>
      <w: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 (n)</w:t>
            </w:r>
          </w:p>
        </w:tc>
        <w:tc>
          <w:tcPr/>
          <w:p>
            <w:pPr>
              <w:pStyle w:val="Compact"/>
            </w:pPr>
            <w:r>
              <w:t xml:space="preserve">Selphi 2</w:t>
            </w:r>
          </w:p>
        </w:tc>
        <w:tc>
          <w:tcPr/>
          <w:p>
            <w:pPr>
              <w:pStyle w:val="Compact"/>
            </w:pPr>
            <w:r>
              <w:t xml:space="preserve">Beagle 5.5</w:t>
            </w:r>
          </w:p>
        </w:tc>
        <w:tc>
          <w:tcPr/>
          <w:p>
            <w:pPr>
              <w:pStyle w:val="Compact"/>
            </w:pPr>
            <m:oMath>
              <m:r>
                <m:rPr>
                  <m:sty m:val="p"/>
                </m:rPr>
                <m:t>Δ</m:t>
              </m:r>
            </m:oMath>
          </w:p>
        </w:tc>
      </w:tr>
      <w:tr>
        <w:tc>
          <w:tcPr/>
          <w:p>
            <w:pPr>
              <w:pStyle w:val="Compact"/>
            </w:pPr>
            <w:r>
              <w:t xml:space="preserve">Oceanian, not in panel (30)</w:t>
            </w:r>
          </w:p>
        </w:tc>
        <w:tc>
          <w:tcPr/>
          <w:p>
            <w:pPr>
              <w:pStyle w:val="Compact"/>
            </w:pPr>
            <w:r>
              <w:rPr>
                <w:b/>
                <w:bCs/>
              </w:rPr>
              <w:t xml:space="preserve">0.8984</w:t>
            </w:r>
          </w:p>
        </w:tc>
        <w:tc>
          <w:tcPr/>
          <w:p>
            <w:pPr>
              <w:pStyle w:val="Compact"/>
            </w:pPr>
            <w:r>
              <w:t xml:space="preserve">0.8880</w:t>
            </w:r>
          </w:p>
        </w:tc>
        <w:tc>
          <w:tcPr/>
          <w:p>
            <w:pPr>
              <w:pStyle w:val="Compact"/>
            </w:pPr>
            <w:r>
              <w:t xml:space="preserve">+0.0104</w:t>
            </w:r>
          </w:p>
        </w:tc>
      </w:tr>
      <w:tr>
        <w:tc>
          <w:tcPr/>
          <w:p>
            <w:pPr>
              <w:pStyle w:val="Compact"/>
            </w:pPr>
            <w:r>
              <w:t xml:space="preserve">Middle-Eastern, not in panel (157)</w:t>
            </w:r>
          </w:p>
        </w:tc>
        <w:tc>
          <w:tcPr/>
          <w:p>
            <w:pPr>
              <w:pStyle w:val="Compact"/>
            </w:pPr>
            <w:r>
              <w:rPr>
                <w:b/>
                <w:bCs/>
              </w:rPr>
              <w:t xml:space="preserve">0.9386</w:t>
            </w:r>
          </w:p>
        </w:tc>
        <w:tc>
          <w:tcPr/>
          <w:p>
            <w:pPr>
              <w:pStyle w:val="Compact"/>
            </w:pPr>
            <w:r>
              <w:t xml:space="preserve">0.9326</w:t>
            </w:r>
          </w:p>
        </w:tc>
        <w:tc>
          <w:tcPr/>
          <w:p>
            <w:pPr>
              <w:pStyle w:val="Compact"/>
            </w:pPr>
            <w:r>
              <w:t xml:space="preserve">+0.0060</w:t>
            </w:r>
          </w:p>
        </w:tc>
      </w:tr>
      <w:tr>
        <w:tc>
          <w:tcPr/>
          <w:p>
            <w:pPr>
              <w:pStyle w:val="Compact"/>
            </w:pPr>
            <w:r>
              <w:t xml:space="preserve">African (107)</w:t>
            </w:r>
          </w:p>
        </w:tc>
        <w:tc>
          <w:tcPr/>
          <w:p>
            <w:pPr>
              <w:pStyle w:val="Compact"/>
            </w:pPr>
            <w:r>
              <w:rPr>
                <w:b/>
                <w:bCs/>
              </w:rPr>
              <w:t xml:space="preserve">0.8778</w:t>
            </w:r>
          </w:p>
        </w:tc>
        <w:tc>
          <w:tcPr/>
          <w:p>
            <w:pPr>
              <w:pStyle w:val="Compact"/>
            </w:pPr>
            <w:r>
              <w:t xml:space="preserve">0.8652</w:t>
            </w:r>
          </w:p>
        </w:tc>
        <w:tc>
          <w:tcPr/>
          <w:p>
            <w:pPr>
              <w:pStyle w:val="Compact"/>
            </w:pPr>
            <w:r>
              <w:t xml:space="preserve">+0.0126</w:t>
            </w:r>
          </w:p>
        </w:tc>
      </w:tr>
      <w:tr>
        <w:tc>
          <w:tcPr/>
          <w:p>
            <w:pPr>
              <w:pStyle w:val="Compact"/>
            </w:pPr>
            <w:r>
              <w:t xml:space="preserve">East-Asian (233)</w:t>
            </w:r>
          </w:p>
        </w:tc>
        <w:tc>
          <w:tcPr/>
          <w:p>
            <w:pPr>
              <w:pStyle w:val="Compact"/>
            </w:pPr>
            <w:r>
              <w:rPr>
                <w:b/>
                <w:bCs/>
              </w:rPr>
              <w:t xml:space="preserve">0.9506</w:t>
            </w:r>
          </w:p>
        </w:tc>
        <w:tc>
          <w:tcPr/>
          <w:p>
            <w:pPr>
              <w:pStyle w:val="Compact"/>
            </w:pPr>
            <w:r>
              <w:t xml:space="preserve">0.9431</w:t>
            </w:r>
          </w:p>
        </w:tc>
        <w:tc>
          <w:tcPr/>
          <w:p>
            <w:pPr>
              <w:pStyle w:val="Compact"/>
            </w:pPr>
            <w:r>
              <w:t xml:space="preserve">+0.0075</w:t>
            </w:r>
          </w:p>
        </w:tc>
      </w:tr>
      <w:tr>
        <w:tc>
          <w:tcPr/>
          <w:p>
            <w:pPr>
              <w:pStyle w:val="Compact"/>
            </w:pPr>
            <w:r>
              <w:t xml:space="preserve">Central/South-Asian (183)</w:t>
            </w:r>
          </w:p>
        </w:tc>
        <w:tc>
          <w:tcPr/>
          <w:p>
            <w:pPr>
              <w:pStyle w:val="Compact"/>
            </w:pPr>
            <w:r>
              <w:rPr>
                <w:b/>
                <w:bCs/>
              </w:rPr>
              <w:t xml:space="preserve">0.9465</w:t>
            </w:r>
          </w:p>
        </w:tc>
        <w:tc>
          <w:tcPr/>
          <w:p>
            <w:pPr>
              <w:pStyle w:val="Compact"/>
            </w:pPr>
            <w:r>
              <w:t xml:space="preserve">0.9418</w:t>
            </w:r>
          </w:p>
        </w:tc>
        <w:tc>
          <w:tcPr/>
          <w:p>
            <w:pPr>
              <w:pStyle w:val="Compact"/>
            </w:pPr>
            <w:r>
              <w:t xml:space="preserve">+0.0047</w:t>
            </w:r>
          </w:p>
        </w:tc>
      </w:tr>
      <w:tr>
        <w:tc>
          <w:tcPr/>
          <w:p>
            <w:pPr>
              <w:pStyle w:val="Compact"/>
            </w:pPr>
            <w:r>
              <w:t xml:space="preserve">European (153)</w:t>
            </w:r>
          </w:p>
        </w:tc>
        <w:tc>
          <w:tcPr/>
          <w:p>
            <w:pPr>
              <w:pStyle w:val="Compact"/>
            </w:pPr>
            <w:r>
              <w:rPr>
                <w:b/>
                <w:bCs/>
              </w:rPr>
              <w:t xml:space="preserve">0.9572</w:t>
            </w:r>
          </w:p>
        </w:tc>
        <w:tc>
          <w:tcPr/>
          <w:p>
            <w:pPr>
              <w:pStyle w:val="Compact"/>
            </w:pPr>
            <w:r>
              <w:t xml:space="preserve">0.9532</w:t>
            </w:r>
          </w:p>
        </w:tc>
        <w:tc>
          <w:tcPr/>
          <w:p>
            <w:pPr>
              <w:pStyle w:val="Compact"/>
            </w:pPr>
            <w:r>
              <w:t xml:space="preserve">+0.0040</w:t>
            </w:r>
          </w:p>
        </w:tc>
      </w:tr>
      <w:tr>
        <w:tc>
          <w:tcPr/>
          <w:p>
            <w:pPr>
              <w:pStyle w:val="Compact"/>
            </w:pPr>
            <w:r>
              <w:t xml:space="preserve">Admixed-American (62)</w:t>
            </w:r>
          </w:p>
        </w:tc>
        <w:tc>
          <w:tcPr/>
          <w:p>
            <w:pPr>
              <w:pStyle w:val="Compact"/>
            </w:pPr>
            <w:r>
              <w:rPr>
                <w:b/>
                <w:bCs/>
              </w:rPr>
              <w:t xml:space="preserve">0.9626</w:t>
            </w:r>
          </w:p>
        </w:tc>
        <w:tc>
          <w:tcPr/>
          <w:p>
            <w:pPr>
              <w:pStyle w:val="Compact"/>
            </w:pPr>
            <w:r>
              <w:t xml:space="preserve">0.9569</w:t>
            </w:r>
          </w:p>
        </w:tc>
        <w:tc>
          <w:tcPr/>
          <w:p>
            <w:pPr>
              <w:pStyle w:val="Compact"/>
            </w:pPr>
            <w:r>
              <w:t xml:space="preserve">+0.0057</w:t>
            </w:r>
          </w:p>
        </w:tc>
      </w:tr>
      <w:tr>
        <w:tc>
          <w:tcPr/>
          <w:p>
            <w:pPr>
              <w:pStyle w:val="Compact"/>
            </w:pPr>
            <w:r>
              <w:t xml:space="preserve">All (925)</w:t>
            </w:r>
          </w:p>
        </w:tc>
        <w:tc>
          <w:tcPr/>
          <w:p>
            <w:pPr>
              <w:pStyle w:val="Compact"/>
            </w:pPr>
            <w:r>
              <w:rPr>
                <w:b/>
                <w:bCs/>
              </w:rPr>
              <w:t xml:space="preserve">0.9395</w:t>
            </w:r>
          </w:p>
        </w:tc>
        <w:tc>
          <w:tcPr/>
          <w:p>
            <w:pPr>
              <w:pStyle w:val="Compact"/>
            </w:pPr>
            <w:r>
              <w:t xml:space="preserve">0.9329</w:t>
            </w:r>
          </w:p>
        </w:tc>
        <w:tc>
          <w:tcPr/>
          <w:p>
            <w:pPr>
              <w:pStyle w:val="Compact"/>
            </w:pPr>
            <w:r>
              <w:t xml:space="preserve">+0.0066</w:t>
            </w:r>
          </w:p>
        </w:tc>
      </w:tr>
    </w:tbl>
    <w:p>
      <w:pPr>
        <w:pStyle w:val="CaptionedFigure"/>
      </w:pPr>
      <w:r>
        <w:drawing>
          <wp:inline>
            <wp:extent cx="5334000" cy="4049708"/>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970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Imputation accuracy across the allele-frequency spectrum.</w:t>
      </w:r>
      <w:r>
        <w:t xml:space="preserve"> </w:t>
      </w:r>
      <w:r>
        <w:t xml:space="preserve">(a) 1000 Genomes genome-wide (20 autosomes; chr8 and chr11 excluded because Beagle aborted on a duplicate panel marker, so all four tools use the identical chromosome set): n-weighted per-MAF</w:t>
      </w:r>
      <w:r>
        <w:t xml:space="preserve"> </w:t>
      </w:r>
      <m:oMath>
        <m:sSup>
          <m:e>
            <m:r>
              <m:t>R</m:t>
            </m:r>
          </m:e>
          <m:sup>
            <m:r>
              <m:t>2</m:t>
            </m:r>
          </m:sup>
        </m:sSup>
      </m:oMath>
      <w:r>
        <w:t xml:space="preserve"> </w:t>
      </w:r>
      <w:r>
        <w:t xml:space="preserve">for Selphi 2 versus Beagle 5.5, Minimac4 and IMPUTE5; Selphi 2 leads at every bin above the rarest. (b) Per-sample imputation</w:t>
      </w:r>
      <w:r>
        <w:t xml:space="preserve"> </w:t>
      </w:r>
      <m:oMath>
        <m:sSup>
          <m:e>
            <m:r>
              <m:t>R</m:t>
            </m:r>
          </m:e>
          <m:sup>
            <m:r>
              <m:t>2</m:t>
            </m:r>
          </m:sup>
        </m:sSup>
      </m:oMath>
      <w:r>
        <w:t xml:space="preserve"> </w:t>
      </w:r>
      <w:r>
        <w:t xml:space="preserve">by self-reported ancestry on the MESA cohort (chromosome 20, full phase-and-impute pipeline against the TOPMed reference panel): Selphi 2 (default diploid engine) versus Beagle 5.5. Selphi 2 leads in all four ancestry groups (per-group</w:t>
      </w:r>
      <w:r>
        <w:t xml:space="preserve"> </w:t>
      </w:r>
      <m:oMath>
        <m:sSup>
          <m:e>
            <m:r>
              <m:t>R</m:t>
            </m:r>
          </m:e>
          <m:sup>
            <m:r>
              <m:t>2</m:t>
            </m:r>
          </m:sup>
        </m:sSup>
      </m:oMath>
      <w:r>
        <w:t xml:space="preserve"> </w:t>
      </w:r>
      <w:r>
        <w:t xml:space="preserve">gain annotated), with the largest margin on the East-Asian group; the internal candidate-sizing ablation behind this gain is in Table 2b. (c) Out-of-panel generalization, genome-wide: per-sample</w:t>
      </w:r>
      <w:r>
        <w:t xml:space="preserve"> </w:t>
      </w:r>
      <m:oMath>
        <m:sSup>
          <m:e>
            <m:r>
              <m:t>R</m:t>
            </m:r>
          </m:e>
          <m:sup>
            <m:r>
              <m:t>2</m:t>
            </m:r>
          </m:sup>
        </m:sSup>
      </m:oMath>
      <w:r>
        <w:t xml:space="preserve"> </w:t>
      </w:r>
      <w: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t xml:space="preserve"> </w:t>
      </w:r>
      <m:oMath>
        <m:sSup>
          <m:e>
            <m:r>
              <m:t>R</m:t>
            </m:r>
          </m:e>
          <m:sup>
            <m:r>
              <m:t>2</m:t>
            </m:r>
          </m:sup>
        </m:sSup>
      </m:oMath>
      <w:r>
        <w:t xml:space="preserve"> </w:t>
      </w:r>
      <w: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t xml:space="preserve"> </w:t>
      </w:r>
      <m:oMath>
        <m:sSup>
          <m:e>
            <m:r>
              <m:t>R</m:t>
            </m:r>
          </m:e>
          <m:sup>
            <m:r>
              <m:t>2</m:t>
            </m:r>
          </m:sup>
        </m:sSup>
      </m:oMath>
      <w:r>
        <w:t xml:space="preserve"> </w:t>
      </w:r>
      <w:r>
        <w:t xml:space="preserve">at every coverage. On the ultra-rare bin (MAF 0–0.5%; Table 6b) Selphi 2 leads at 2</w:t>
      </w:r>
      <m:oMath>
        <m:r>
          <m:rPr>
            <m:sty m:val="p"/>
          </m:rPr>
          <m:t>×</m:t>
        </m:r>
      </m:oMath>
      <w:r>
        <w:t xml:space="preserve"> </w:t>
      </w:r>
      <w:r>
        <w:t xml:space="preserve">and 4</w:t>
      </w:r>
      <m:oMath>
        <m:r>
          <m:rPr>
            <m:sty m:val="p"/>
          </m:rPr>
          <m:t>×</m:t>
        </m:r>
      </m:oMath>
      <w:r>
        <w:t xml:space="preserve"> </w:t>
      </w:r>
      <w:r>
        <w:t xml:space="preserve">and ties GLIMPSE2 at 1</w:t>
      </w:r>
      <m:oMath>
        <m:r>
          <m:rPr>
            <m:sty m:val="p"/>
          </m:rPr>
          <m:t>×</m:t>
        </m:r>
      </m:oMath>
      <w:r>
        <w:t xml:space="preserve">, with GLIMPSE2 marginally ahead only at the read-starved 0.5</w:t>
      </w:r>
      <m:oMath>
        <m:r>
          <m:rPr>
            <m:sty m:val="p"/>
          </m:rPr>
          <m:t>×</m:t>
        </m:r>
      </m:oMath>
      <w:r>
        <w:t xml:space="preserve">.</w:t>
      </w:r>
    </w:p>
    <w:bookmarkEnd w:id="32"/>
    <w:bookmarkStart w:id="33" w:name="X9e0dc98142f4ca72e1fa7fdf7293104c848b106"/>
    <w:p>
      <w:pPr>
        <w:pStyle w:val="Heading2"/>
      </w:pPr>
      <w:r>
        <w:rPr>
          <w:b/>
          <w:bCs/>
        </w:rPr>
        <w:t xml:space="preserve">Independent validation against leak-free GIAB truth</w:t>
      </w:r>
    </w:p>
    <w:p>
      <w:pPr>
        <w:pStyle w:val="FirstParagraph"/>
      </w:pPr>
      <w: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pPr>
      <w:r>
        <w:t xml:space="preserve">On chr21, Selphi 2 attains</w:t>
      </w:r>
      <w:r>
        <w:t xml:space="preserve"> </w:t>
      </w:r>
      <m:oMath>
        <m:sSup>
          <m:e>
            <m:r>
              <m:t>R</m:t>
            </m:r>
          </m:e>
          <m:sup>
            <m:r>
              <m:t>2</m:t>
            </m:r>
          </m:sup>
        </m:sSup>
      </m:oMath>
      <w:r>
        <w:t xml:space="preserve"> </w:t>
      </w:r>
      <w:r>
        <w:t xml:space="preserve">0.9704 (concordance 0.9777) versus Beagle 5.5 (build 03 Oct 2025) 0.9676 (concordance 0.9762) and Selphi 1.5.3 0.9702 (concordance 0.9776). Selphi 2 and Selphi 1.5.3 are effectively tied on this leak-free truth (</w:t>
      </w:r>
      <m:oMath>
        <m:r>
          <m:rPr>
            <m:sty m:val="p"/>
          </m:rPr>
          <m:t>Δ</m:t>
        </m:r>
      </m:oMath>
      <w:r>
        <w:t xml:space="preserve"> </w:t>
      </w:r>
      <w:r>
        <w:t xml:space="preserve">= +0.0002, within run-to-run variation); both exceed Beagle 5.5 by 0.0028. On chr1, Selphi 2 attains</w:t>
      </w:r>
      <w:r>
        <w:t xml:space="preserve"> </w:t>
      </w:r>
      <m:oMath>
        <m:sSup>
          <m:e>
            <m:r>
              <m:t>R</m:t>
            </m:r>
          </m:e>
          <m:sup>
            <m:r>
              <m:t>2</m:t>
            </m:r>
          </m:sup>
        </m:sSup>
      </m:oMath>
      <w:r>
        <w:t xml:space="preserve"> </w:t>
      </w:r>
      <w: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pPr>
      <w: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t xml:space="preserve"> </w:t>
      </w:r>
      <w: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t xml:space="preserve"> </w:t>
      </w:r>
      <w:r>
        <w:t xml:space="preserve">relative to Beagle 5.5.</w:t>
      </w:r>
    </w:p>
    <w:bookmarkEnd w:id="33"/>
    <w:bookmarkStart w:id="34" w:name="X7682954b6030efca8f62743f2d44a25aae36e8e"/>
    <w:p>
      <w:pPr>
        <w:pStyle w:val="Heading2"/>
      </w:pPr>
      <w:r>
        <w:rPr>
          <w:b/>
          <w:bCs/>
        </w:rPr>
        <w:t xml:space="preserve">Imputation accuracy on consumer arrays against high-coverage WGS truth</w:t>
      </w:r>
    </w:p>
    <w:p>
      <w:pPr>
        <w:pStyle w:val="FirstParagraph"/>
      </w:pPr>
      <w: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pPr>
      <w:r>
        <w:t xml:space="preserve">Given both tools the same Beagle-derived phasing, Selphi 2’s imputation exceeds Beagle 5.5 on both variant classes, averaged across all 22 autosomes and the six samples: mean SNP</w:t>
      </w:r>
      <w:r>
        <w:t xml:space="preserve"> </w:t>
      </w:r>
      <m:oMath>
        <m:sSup>
          <m:e>
            <m:r>
              <m:t>R</m:t>
            </m:r>
          </m:e>
          <m:sup>
            <m:r>
              <m:t>2</m:t>
            </m:r>
          </m:sup>
        </m:sSup>
      </m:oMath>
      <w:r>
        <w:t xml:space="preserve"> </w:t>
      </w:r>
      <w:r>
        <w:t xml:space="preserve">0.9601 versus 0.9584 and mean indel</w:t>
      </w:r>
      <w:r>
        <w:t xml:space="preserve"> </w:t>
      </w:r>
      <m:oMath>
        <m:sSup>
          <m:e>
            <m:r>
              <m:t>R</m:t>
            </m:r>
          </m:e>
          <m:sup>
            <m:r>
              <m:t>2</m:t>
            </m:r>
          </m:sup>
        </m:sSup>
      </m:oMath>
      <w:r>
        <w:t xml:space="preserve"> </w:t>
      </w:r>
      <w: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t xml:space="preserve"> </w:t>
      </w:r>
      <m:oMath>
        <m:sSup>
          <m:e>
            <m:r>
              <m:t>R</m:t>
            </m:r>
          </m:e>
          <m:sup>
            <m:r>
              <m:t>2</m:t>
            </m:r>
          </m:sup>
        </m:sSup>
      </m:oMath>
      <w:r>
        <w:t xml:space="preserve"> </w:t>
      </w:r>
      <w:r>
        <w:t xml:space="preserve">0.9605, indel</w:t>
      </w:r>
      <w:r>
        <w:t xml:space="preserve"> </w:t>
      </w:r>
      <m:oMath>
        <m:sSup>
          <m:e>
            <m:r>
              <m:t>R</m:t>
            </m:r>
          </m:e>
          <m:sup>
            <m:r>
              <m:t>2</m:t>
            </m:r>
          </m:sup>
        </m:sSup>
      </m:oMath>
      <w:r>
        <w:t xml:space="preserve"> </w:t>
      </w:r>
      <w: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t xml:space="preserve"> </w:t>
      </w:r>
      <m:oMath>
        <m:sSup>
          <m:e>
            <m:r>
              <m:t>R</m:t>
            </m:r>
          </m:e>
          <m:sup>
            <m:r>
              <m:t>2</m:t>
            </m:r>
          </m:sup>
        </m:sSup>
      </m:oMath>
      <w:r>
        <w:t xml:space="preserve"> </w:t>
      </w:r>
      <w: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t xml:space="preserve"> </w:t>
      </w:r>
      <m:oMath>
        <m:r>
          <m:rPr>
            <m:sty m:val="p"/>
          </m:rPr>
          <m:t>Δ</m:t>
        </m:r>
        <m:sSup>
          <m:e>
            <m:r>
              <m:t>R</m:t>
            </m:r>
          </m:e>
          <m:sup>
            <m:r>
              <m:t>2</m:t>
            </m:r>
          </m:sup>
        </m:sSup>
      </m:oMath>
      <w:r>
        <w:t xml:space="preserve"> </w:t>
      </w:r>
      <w: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pPr>
      <w:r>
        <w:rPr>
          <w:b/>
          <w:bCs/>
        </w:rPr>
        <w:t xml:space="preserve">Table 3. Genome-wide imputation</w:t>
      </w:r>
      <w:r>
        <w:rPr>
          <w:b/>
          <w:bCs/>
        </w:rPr>
        <w:t xml:space="preserve"> </w:t>
      </w:r>
      <m:oMath>
        <m:sSup>
          <m:e>
            <m:r>
              <m:t>R</m:t>
            </m:r>
          </m:e>
          <m:sup>
            <m:r>
              <m:t>2</m:t>
            </m:r>
          </m:sup>
        </m:sSup>
      </m:oMath>
      <w:r>
        <w:rPr>
          <w:b/>
          <w:bCs/>
        </w:rPr>
        <w:t xml:space="preserve"> </w:t>
      </w:r>
      <w:r>
        <w:rPr>
          <w:b/>
          <w:bCs/>
        </w:rPr>
        <w:t xml:space="preserve">on real consumer arrays against high-coverage WGS truth.</w:t>
      </w:r>
      <w:r>
        <w:t xml:space="preserve"> </w:t>
      </w:r>
      <w: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t xml:space="preserve">) between imputed dosage and truth genotype.</w:t>
      </w:r>
      <w:r>
        <w:t xml:space="preserve"> </w:t>
      </w:r>
      <w:r>
        <w:t xml:space="preserve">“Beagle-phased”</w:t>
      </w:r>
      <w:r>
        <w:t xml:space="preserve"> </w:t>
      </w:r>
      <w:r>
        <w:t xml:space="preserve">rows feed both imputers the identical Beagle phase-only output (isolating the imputation step);</w:t>
      </w:r>
      <w:r>
        <w:t xml:space="preserve"> </w:t>
      </w:r>
      <w:r>
        <w:t xml:space="preserve">“haploid/diploid”</w:t>
      </w:r>
      <w:r>
        <w:t xml:space="preserve"> </w:t>
      </w:r>
      <w: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 (phasing → imputation)</w:t>
            </w:r>
          </w:p>
        </w:tc>
        <w:tc>
          <w:tcPr/>
          <w:p>
            <w:pPr>
              <w:pStyle w:val="Compact"/>
            </w:pPr>
            <w:r>
              <w:t xml:space="preserve">SNP</w:t>
            </w:r>
            <w:r>
              <w:t xml:space="preserve"> </w:t>
            </w:r>
            <m:oMath>
              <m:sSup>
                <m:e>
                  <m:r>
                    <m:t>R</m:t>
                  </m:r>
                </m:e>
                <m:sup>
                  <m:r>
                    <m:t>2</m:t>
                  </m:r>
                </m:sup>
              </m:sSup>
            </m:oMath>
          </w:p>
        </w:tc>
        <w:tc>
          <w:tcPr/>
          <w:p>
            <w:pPr>
              <w:pStyle w:val="Compact"/>
            </w:pPr>
            <w:r>
              <w:t xml:space="preserve">Indel</w:t>
            </w:r>
            <w:r>
              <w:t xml:space="preserve"> </w:t>
            </w:r>
            <m:oMath>
              <m:sSup>
                <m:e>
                  <m:r>
                    <m:t>R</m:t>
                  </m:r>
                </m:e>
                <m:sup>
                  <m:r>
                    <m:t>2</m:t>
                  </m:r>
                </m:sup>
              </m:sSup>
            </m:oMath>
          </w:p>
        </w:tc>
      </w:tr>
      <w:tr>
        <w:tc>
          <w:tcPr/>
          <w:p>
            <w:pPr>
              <w:pStyle w:val="Compact"/>
            </w:pPr>
            <w:r>
              <w:t xml:space="preserve">Selphi 2 (Beagle-phased)</w:t>
            </w:r>
          </w:p>
        </w:tc>
        <w:tc>
          <w:tcPr/>
          <w:p>
            <w:pPr>
              <w:pStyle w:val="Compact"/>
            </w:pPr>
            <w:r>
              <w:t xml:space="preserve">0.9601</w:t>
            </w:r>
          </w:p>
        </w:tc>
        <w:tc>
          <w:tcPr/>
          <w:p>
            <w:pPr>
              <w:pStyle w:val="Compact"/>
            </w:pPr>
            <w:r>
              <w:t xml:space="preserve">0.7911</w:t>
            </w:r>
          </w:p>
        </w:tc>
      </w:tr>
      <w:tr>
        <w:tc>
          <w:tcPr/>
          <w:p>
            <w:pPr>
              <w:pStyle w:val="Compact"/>
            </w:pPr>
            <w:r>
              <w:t xml:space="preserve">Selphi 1.5.3 (Beagle-phased)</w:t>
            </w:r>
          </w:p>
        </w:tc>
        <w:tc>
          <w:tcPr/>
          <w:p>
            <w:pPr>
              <w:pStyle w:val="Compact"/>
            </w:pPr>
            <w:r>
              <w:t xml:space="preserve">0.9599</w:t>
            </w:r>
          </w:p>
        </w:tc>
        <w:tc>
          <w:tcPr/>
          <w:p>
            <w:pPr>
              <w:pStyle w:val="Compact"/>
            </w:pPr>
            <w:r>
              <w:t xml:space="preserve">0.7932</w:t>
            </w:r>
          </w:p>
        </w:tc>
      </w:tr>
      <w:tr>
        <w:tc>
          <w:tcPr/>
          <w:p>
            <w:pPr>
              <w:pStyle w:val="Compact"/>
            </w:pPr>
            <w:r>
              <w:t xml:space="preserve">Beagle 5.5 (phase + impute)</w:t>
            </w:r>
          </w:p>
        </w:tc>
        <w:tc>
          <w:tcPr/>
          <w:p>
            <w:pPr>
              <w:pStyle w:val="Compact"/>
            </w:pPr>
            <w:r>
              <w:t xml:space="preserve">0.9584</w:t>
            </w:r>
          </w:p>
        </w:tc>
        <w:tc>
          <w:tcPr/>
          <w:p>
            <w:pPr>
              <w:pStyle w:val="Compact"/>
            </w:pPr>
            <w:r>
              <w:t xml:space="preserve">0.7840</w:t>
            </w:r>
          </w:p>
        </w:tc>
      </w:tr>
      <w:tr>
        <w:tc>
          <w:tcPr/>
          <w:p>
            <w:pPr>
              <w:pStyle w:val="Compact"/>
            </w:pPr>
            <w:r>
              <w:t xml:space="preserve">Selphi 2 (haploid engine, internal phasing)</w:t>
            </w:r>
          </w:p>
        </w:tc>
        <w:tc>
          <w:tcPr/>
          <w:p>
            <w:pPr>
              <w:pStyle w:val="Compact"/>
            </w:pPr>
            <w:r>
              <w:t xml:space="preserve">0.9587</w:t>
            </w:r>
          </w:p>
        </w:tc>
        <w:tc>
          <w:tcPr/>
          <w:p>
            <w:pPr>
              <w:pStyle w:val="Compact"/>
            </w:pPr>
            <w:r>
              <w:t xml:space="preserve">0.7909</w:t>
            </w:r>
          </w:p>
        </w:tc>
      </w:tr>
      <w:tr>
        <w:tc>
          <w:tcPr/>
          <w:p>
            <w:pPr>
              <w:pStyle w:val="Compact"/>
            </w:pPr>
            <w:r>
              <w:t xml:space="preserve">Selphi 2 (diploid engine, internal phasing)</w:t>
            </w:r>
          </w:p>
        </w:tc>
        <w:tc>
          <w:tcPr/>
          <w:p>
            <w:pPr>
              <w:pStyle w:val="Compact"/>
            </w:pPr>
            <w:r>
              <w:rPr>
                <w:b/>
                <w:bCs/>
              </w:rPr>
              <w:t xml:space="preserve">0.9605</w:t>
            </w:r>
          </w:p>
        </w:tc>
        <w:tc>
          <w:tcPr/>
          <w:p>
            <w:pPr>
              <w:pStyle w:val="Compact"/>
            </w:pPr>
            <w:r>
              <w:rPr>
                <w:b/>
                <w:bCs/>
              </w:rPr>
              <w:t xml:space="preserve">0.7935</w:t>
            </w:r>
          </w:p>
        </w:tc>
      </w:tr>
    </w:tbl>
    <w:p>
      <w:pPr>
        <w:pStyle w:val="BodyText"/>
      </w:pPr>
      <w: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t xml:space="preserve"> </w:t>
      </w:r>
      <w:r>
        <w:t xml:space="preserve">faster end-to-end), at a peak resident memory of about 25 GB versus Beagle’s roughly 40 GB (about 1.6</w:t>
      </w:r>
      <m:oMath>
        <m:r>
          <m:rPr>
            <m:sty m:val="p"/>
          </m:rPr>
          <m:t>×</m:t>
        </m:r>
      </m:oMath>
      <w:r>
        <w:t xml:space="preserve"> </w:t>
      </w:r>
      <w: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pPr>
      <w:r>
        <w:rPr>
          <w:b/>
          <w:bCs/>
        </w:rPr>
        <w:t xml:space="preserve">Table 3b. Whole-genome wall time and peak memory on the consumer-array benchmark.</w:t>
      </w:r>
      <w:r>
        <w:t xml:space="preserve"> </w:t>
      </w:r>
      <w: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Whole-genome wall time</w:t>
            </w:r>
          </w:p>
        </w:tc>
        <w:tc>
          <w:tcPr/>
          <w:p>
            <w:pPr>
              <w:pStyle w:val="Compact"/>
            </w:pPr>
            <w:r>
              <w:t xml:space="preserve">Peak memory</w:t>
            </w:r>
          </w:p>
        </w:tc>
      </w:tr>
      <w:tr>
        <w:tc>
          <w:tcPr/>
          <w:p>
            <w:pPr>
              <w:pStyle w:val="Compact"/>
            </w:pPr>
            <w:r>
              <w:t xml:space="preserve">Selphi 2 (default diploid)</w:t>
            </w:r>
          </w:p>
        </w:tc>
        <w:tc>
          <w:tcPr/>
          <w:p>
            <w:pPr>
              <w:pStyle w:val="Compact"/>
            </w:pPr>
            <w:r>
              <w:t xml:space="preserve">27.7 min</w:t>
            </w:r>
          </w:p>
        </w:tc>
        <w:tc>
          <w:tcPr/>
          <w:p>
            <w:pPr>
              <w:pStyle w:val="Compact"/>
            </w:pPr>
            <w:r>
              <w:t xml:space="preserve">≈ 25 GB</w:t>
            </w:r>
          </w:p>
        </w:tc>
      </w:tr>
      <w:tr>
        <w:tc>
          <w:tcPr/>
          <w:p>
            <w:pPr>
              <w:pStyle w:val="Compact"/>
            </w:pPr>
            <w:r>
              <w:t xml:space="preserve">Beagle 5.5 (phase + impute)</w:t>
            </w:r>
          </w:p>
        </w:tc>
        <w:tc>
          <w:tcPr/>
          <w:p>
            <w:pPr>
              <w:pStyle w:val="Compact"/>
            </w:pPr>
            <w:r>
              <w:t xml:space="preserve">36.4 min</w:t>
            </w:r>
          </w:p>
        </w:tc>
        <w:tc>
          <w:tcPr/>
          <w:p>
            <w:pPr>
              <w:pStyle w:val="Compact"/>
            </w:pPr>
            <w:r>
              <w:t xml:space="preserve">≈ 40 GB</w:t>
            </w:r>
          </w:p>
        </w:tc>
      </w:tr>
    </w:tbl>
    <w:bookmarkEnd w:id="34"/>
    <w:bookmarkStart w:id="35" w:name="X8eda26a10fa6ad4579080827b2dc7f6ef81355e"/>
    <w:p>
      <w:pPr>
        <w:pStyle w:val="Heading2"/>
      </w:pPr>
      <w:r>
        <w:rPr>
          <w:b/>
          <w:bCs/>
        </w:rPr>
        <w:t xml:space="preserve">Phasing accuracy on the 1000 Genomes trio dataset</w:t>
      </w:r>
    </w:p>
    <w:p>
      <w:pPr>
        <w:pStyle w:val="FirstParagraph"/>
      </w:pPr>
      <w: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t xml:space="preserve">“no-trios”</w:t>
      </w:r>
      <w:r>
        <w:t xml:space="preserve"> </w:t>
      </w:r>
      <w:r>
        <w:t xml:space="preserve">panel). For SHAPEIT5 v5.1.1, the full pipeline was run (phase_common at MAF ≥ 0.001, then phase_rare on the common-variant scaffold). For Beagle 5.5, the default phasing pass was used. Switch error rate (SER) was computed against the parent-of-origin truth using</w:t>
      </w:r>
      <w:r>
        <w:t xml:space="preserve"> </w:t>
      </w:r>
      <w:r>
        <w:rPr>
          <w:rStyle w:val="VerbatimChar"/>
        </w:rPr>
        <w:t xml:space="preserve">bcftools +trio-switch-rate</w:t>
      </w:r>
      <w:r>
        <w:t xml:space="preserve">. The set of testable heterozygous sites was determined by the trio genotypes and was therefore the same for every tool (1,992,617 sites on chr22; 10,632,243 sites on chr1, summed across the 54 trios).</w:t>
      </w:r>
    </w:p>
    <w:p>
      <w:pPr>
        <w:pStyle w:val="BodyText"/>
      </w:pPr>
      <w: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t xml:space="preserve"> </w:t>
      </w:r>
      <w:r>
        <w:t xml:space="preserve">Beagle’s wall time and chr1 in 0.67</w:t>
      </w:r>
      <m:oMath>
        <m:r>
          <m:rPr>
            <m:sty m:val="p"/>
          </m:rPr>
          <m:t>×</m:t>
        </m:r>
      </m:oMath>
      <w:r>
        <w:t xml:space="preserve">, with ~4</w:t>
      </w:r>
      <m:oMath>
        <m:r>
          <m:rPr>
            <m:sty m:val="p"/>
          </m:rPr>
          <m:t>×</m:t>
        </m:r>
      </m:oMath>
      <w:r>
        <w:t xml:space="preserve"> </w:t>
      </w:r>
      <w:r>
        <w:t xml:space="preserve">lower peak memory than Beagle 5.5 (Table 4).</w:t>
      </w:r>
    </w:p>
    <w:p>
      <w:pPr>
        <w:pStyle w:val="BodyText"/>
      </w:pPr>
      <w:r>
        <w:rPr>
          <w:b/>
          <w:bCs/>
        </w:rPr>
        <w:t xml:space="preserve">Table 4. Phasing accuracy, wall time, and peak memory on the 1000 Genomes trio dataset.</w:t>
      </w:r>
      <w:r>
        <w:t xml:space="preserve"> </w:t>
      </w:r>
      <w:r>
        <w:t xml:space="preserve">All tools phased the same 54 trio children (whole-genome sequencing density) against the 2,239-sample no-trios reference panel, on the same machine with 16 threads. SER computed by</w:t>
      </w:r>
      <w:r>
        <w:t xml:space="preserve"> </w:t>
      </w:r>
      <w:r>
        <w:rPr>
          <w:rStyle w:val="VerbatimChar"/>
        </w:rPr>
        <w:t xml:space="preserve">bcftools +trio-switch-rate</w:t>
      </w:r>
      <w:r>
        <w:t xml:space="preserve"> </w:t>
      </w:r>
      <w:r>
        <w:t xml:space="preserve">over the same heterozygous site set for every tool (n = 1,992,617 sites on chr22, 10,632,243 sites on chr1, summed across the 54 trios).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Tool</w:t>
            </w:r>
          </w:p>
        </w:tc>
        <w:tc>
          <w:tcPr/>
          <w:p>
            <w:pPr>
              <w:pStyle w:val="Compact"/>
            </w:pPr>
            <w:r>
              <w:t xml:space="preserve">chr22 SER (%)</w:t>
            </w:r>
          </w:p>
        </w:tc>
        <w:tc>
          <w:tcPr/>
          <w:p>
            <w:pPr>
              <w:pStyle w:val="Compact"/>
            </w:pPr>
            <w:r>
              <w:t xml:space="preserve">chr22 wall</w:t>
            </w:r>
          </w:p>
        </w:tc>
        <w:tc>
          <w:tcPr/>
          <w:p>
            <w:pPr>
              <w:pStyle w:val="Compact"/>
            </w:pPr>
            <w:r>
              <w:t xml:space="preserve">chr22 peak RAM</w:t>
            </w:r>
          </w:p>
        </w:tc>
        <w:tc>
          <w:tcPr/>
          <w:p>
            <w:pPr>
              <w:pStyle w:val="Compact"/>
            </w:pPr>
            <w:r>
              <w:t xml:space="preserve">chr1 SER (%)</w:t>
            </w:r>
          </w:p>
        </w:tc>
        <w:tc>
          <w:tcPr/>
          <w:p>
            <w:pPr>
              <w:pStyle w:val="Compact"/>
            </w:pPr>
            <w:r>
              <w:t xml:space="preserve">chr1 wall</w:t>
            </w:r>
          </w:p>
        </w:tc>
        <w:tc>
          <w:tcPr/>
          <w:p>
            <w:pPr>
              <w:pStyle w:val="Compact"/>
            </w:pPr>
            <w:r>
              <w:t xml:space="preserve">chr1 peak RAM</w:t>
            </w:r>
          </w:p>
        </w:tc>
      </w:tr>
      <w:tr>
        <w:tc>
          <w:tcPr/>
          <w:p>
            <w:pPr>
              <w:pStyle w:val="Compact"/>
            </w:pPr>
            <w:r>
              <w:rPr>
                <w:b/>
                <w:bCs/>
              </w:rPr>
              <w:t xml:space="preserve">Selphi 2 diploid</w:t>
            </w:r>
          </w:p>
        </w:tc>
        <w:tc>
          <w:tcPr/>
          <w:p>
            <w:pPr>
              <w:pStyle w:val="Compact"/>
            </w:pPr>
            <w:r>
              <w:rPr>
                <w:b/>
                <w:bCs/>
              </w:rPr>
              <w:t xml:space="preserve">2.521</w:t>
            </w:r>
          </w:p>
        </w:tc>
        <w:tc>
          <w:tcPr/>
          <w:p>
            <w:pPr>
              <w:pStyle w:val="Compact"/>
            </w:pPr>
            <w:r>
              <w:rPr>
                <w:b/>
                <w:bCs/>
              </w:rPr>
              <w:t xml:space="preserve">131 s</w:t>
            </w:r>
          </w:p>
        </w:tc>
        <w:tc>
          <w:tcPr/>
          <w:p>
            <w:pPr>
              <w:pStyle w:val="Compact"/>
            </w:pPr>
            <w:r>
              <w:rPr>
                <w:b/>
                <w:bCs/>
              </w:rPr>
              <w:t xml:space="preserve">4.1 GB</w:t>
            </w:r>
          </w:p>
        </w:tc>
        <w:tc>
          <w:tcPr/>
          <w:p>
            <w:pPr>
              <w:pStyle w:val="Compact"/>
            </w:pPr>
            <w:r>
              <w:t xml:space="preserve">1.876</w:t>
            </w:r>
          </w:p>
        </w:tc>
        <w:tc>
          <w:tcPr/>
          <w:p>
            <w:pPr>
              <w:pStyle w:val="Compact"/>
            </w:pPr>
            <w:r>
              <w:rPr>
                <w:b/>
                <w:bCs/>
              </w:rPr>
              <w:t xml:space="preserve">570 s</w:t>
            </w:r>
          </w:p>
        </w:tc>
        <w:tc>
          <w:tcPr/>
          <w:p>
            <w:pPr>
              <w:pStyle w:val="Compact"/>
            </w:pPr>
            <w:r>
              <w:rPr>
                <w:b/>
                <w:bCs/>
              </w:rPr>
              <w:t xml:space="preserve">11.0 GB</w:t>
            </w:r>
          </w:p>
        </w:tc>
      </w:tr>
      <w:tr>
        <w:tc>
          <w:tcPr/>
          <w:p>
            <w:pPr>
              <w:pStyle w:val="Compact"/>
            </w:pPr>
            <w:r>
              <w:t xml:space="preserve">Beagle 5.5</w:t>
            </w:r>
          </w:p>
        </w:tc>
        <w:tc>
          <w:tcPr/>
          <w:p>
            <w:pPr>
              <w:pStyle w:val="Compact"/>
            </w:pPr>
            <w:r>
              <w:t xml:space="preserve">2.548</w:t>
            </w:r>
          </w:p>
        </w:tc>
        <w:tc>
          <w:tcPr/>
          <w:p>
            <w:pPr>
              <w:pStyle w:val="Compact"/>
            </w:pPr>
            <w:r>
              <w:t xml:space="preserve">197 s</w:t>
            </w:r>
          </w:p>
        </w:tc>
        <w:tc>
          <w:tcPr/>
          <w:p>
            <w:pPr>
              <w:pStyle w:val="Compact"/>
            </w:pPr>
            <w:r>
              <w:t xml:space="preserve">17.6 GB</w:t>
            </w:r>
          </w:p>
        </w:tc>
        <w:tc>
          <w:tcPr/>
          <w:p>
            <w:pPr>
              <w:pStyle w:val="Compact"/>
            </w:pPr>
            <w:r>
              <w:rPr>
                <w:b/>
                <w:bCs/>
              </w:rPr>
              <w:t xml:space="preserve">1.865</w:t>
            </w:r>
          </w:p>
        </w:tc>
        <w:tc>
          <w:tcPr/>
          <w:p>
            <w:pPr>
              <w:pStyle w:val="Compact"/>
            </w:pPr>
            <w:r>
              <w:t xml:space="preserve">846 s</w:t>
            </w:r>
          </w:p>
        </w:tc>
        <w:tc>
          <w:tcPr/>
          <w:p>
            <w:pPr>
              <w:pStyle w:val="Compact"/>
            </w:pPr>
            <w:r>
              <w:t xml:space="preserve">44.9 GB</w:t>
            </w:r>
          </w:p>
        </w:tc>
      </w:tr>
      <w:tr>
        <w:tc>
          <w:tcPr/>
          <w:p>
            <w:pPr>
              <w:pStyle w:val="Compact"/>
            </w:pPr>
            <w:r>
              <w:t xml:space="preserve">Selphi 2 haploid</w:t>
            </w:r>
          </w:p>
        </w:tc>
        <w:tc>
          <w:tcPr/>
          <w:p>
            <w:pPr>
              <w:pStyle w:val="Compact"/>
            </w:pPr>
            <w:r>
              <w:t xml:space="preserve">2.569</w:t>
            </w:r>
          </w:p>
        </w:tc>
        <w:tc>
          <w:tcPr/>
          <w:p>
            <w:pPr>
              <w:pStyle w:val="Compact"/>
            </w:pPr>
            <w:r>
              <w:t xml:space="preserve">591 s</w:t>
            </w:r>
          </w:p>
        </w:tc>
        <w:tc>
          <w:tcPr/>
          <w:p>
            <w:pPr>
              <w:pStyle w:val="Compact"/>
            </w:pPr>
            <w:r>
              <w:t xml:space="preserve">37.4 GB</w:t>
            </w:r>
          </w:p>
        </w:tc>
        <w:tc>
          <w:tcPr/>
          <w:p>
            <w:pPr>
              <w:pStyle w:val="Compact"/>
            </w:pPr>
            <w:r>
              <w:t xml:space="preserve">1.876</w:t>
            </w:r>
          </w:p>
        </w:tc>
        <w:tc>
          <w:tcPr/>
          <w:p>
            <w:pPr>
              <w:pStyle w:val="Compact"/>
            </w:pPr>
            <w:r>
              <w:t xml:space="preserve">1,651 s</w:t>
            </w:r>
          </w:p>
        </w:tc>
        <w:tc>
          <w:tcPr/>
          <w:p>
            <w:pPr>
              <w:pStyle w:val="Compact"/>
            </w:pPr>
            <w:r>
              <w:t xml:space="preserve">78.9 GB</w:t>
            </w:r>
          </w:p>
        </w:tc>
      </w:tr>
      <w:tr>
        <w:tc>
          <w:tcPr/>
          <w:p>
            <w:pPr>
              <w:pStyle w:val="Compact"/>
            </w:pPr>
            <w:r>
              <w:t xml:space="preserve">SHAPEIT5 v5.1.1 (full)</w:t>
            </w:r>
          </w:p>
        </w:tc>
        <w:tc>
          <w:tcPr/>
          <w:p>
            <w:pPr>
              <w:pStyle w:val="Compact"/>
            </w:pPr>
            <w:r>
              <w:t xml:space="preserve">2.611</w:t>
            </w:r>
          </w:p>
        </w:tc>
        <w:tc>
          <w:tcPr/>
          <w:p>
            <w:pPr>
              <w:pStyle w:val="Compact"/>
            </w:pPr>
            <w:r>
              <w:t xml:space="preserve">277 s</w:t>
            </w:r>
          </w:p>
        </w:tc>
        <w:tc>
          <w:tcPr/>
          <w:p>
            <w:pPr>
              <w:pStyle w:val="Compact"/>
            </w:pPr>
            <w:r>
              <w:t xml:space="preserve">5.9 GB</w:t>
            </w:r>
          </w:p>
        </w:tc>
        <w:tc>
          <w:tcPr/>
          <w:p>
            <w:pPr>
              <w:pStyle w:val="Compact"/>
            </w:pPr>
            <w:r>
              <w:t xml:space="preserve">1.935</w:t>
            </w:r>
          </w:p>
        </w:tc>
        <w:tc>
          <w:tcPr/>
          <w:p>
            <w:pPr>
              <w:pStyle w:val="Compact"/>
            </w:pPr>
            <w:r>
              <w:t xml:space="preserve">not measured</w:t>
            </w:r>
          </w:p>
        </w:tc>
        <w:tc>
          <w:tcPr/>
          <w:p>
            <w:pPr>
              <w:pStyle w:val="Compact"/>
            </w:pPr>
            <w:r>
              <w:t xml:space="preserve">31.0 GB</w:t>
            </w:r>
          </w:p>
        </w:tc>
      </w:tr>
    </w:tbl>
    <w:p>
      <w:pPr>
        <w:pStyle w:val="BodyText"/>
      </w:pPr>
      <w:r>
        <w:t xml:space="preserve">The two Selphi 2 engines tie on chr1 (1.876% each) and are within 0.05 percentage points on chr22 (diploid 2.521% versus haploid 2.569%). On admixed biobank-scale data (MESA 5K</w:t>
      </w:r>
      <w:r>
        <w:t xml:space="preserve"> </w:t>
      </w:r>
      <m:oMath>
        <m:r>
          <m:rPr>
            <m:sty m:val="p"/>
          </m:rPr>
          <m:t>×</m:t>
        </m:r>
      </m:oMath>
      <w:r>
        <w:t xml:space="preserve"> </w:t>
      </w:r>
      <w:r>
        <w:t xml:space="preserve">TOPMed chr20), the two engines remain close: the haploid engine attains overall imputation</w:t>
      </w:r>
      <w:r>
        <w:t xml:space="preserve"> </w:t>
      </w:r>
      <m:oMath>
        <m:sSup>
          <m:e>
            <m:r>
              <m:t>R</m:t>
            </m:r>
          </m:e>
          <m:sup>
            <m:r>
              <m:t>2</m:t>
            </m:r>
          </m:sup>
        </m:sSup>
      </m:oMath>
      <w:r>
        <w:t xml:space="preserve"> </w:t>
      </w:r>
      <w:r>
        <w:t xml:space="preserve">0.6156 versus the diploid engine’s 0.6148, a gap of +0.0008, effectively tied on this cohort. We discuss the interpretation of this engine-by-cohort behaviour in the Discussion.</w:t>
      </w:r>
    </w:p>
    <w:p>
      <w:pPr>
        <w:pStyle w:val="BodyText"/>
      </w:pPr>
      <w:r>
        <w:rPr>
          <w:b/>
          <w:bCs/>
        </w:rPr>
        <w:t xml:space="preserve">Pedigree-aware phasing.</w:t>
      </w:r>
      <w:r>
        <w:t xml:space="preserve"> </w:t>
      </w:r>
      <w:r>
        <w:t xml:space="preserve">When trios or duos are available, Selphi 2 applies the Mendelian constraints implied by the pedigree before the HMM (Methods,</w:t>
      </w:r>
      <w:r>
        <w:t xml:space="preserve"> </w:t>
      </w:r>
      <w:r>
        <w:rPr>
          <w:i/>
          <w:iCs/>
        </w:rPr>
        <w:t xml:space="preserve">Pedigree scaffolding</w:t>
      </w:r>
      <w:r>
        <w:t xml:space="preserve">). To quantify the benefit, we re-phased the same 54 children together with their parents (162 individuals) against the no-trios panel with the pedigree supplied (</w:t>
      </w:r>
      <w:r>
        <w:rPr>
          <w:rStyle w:val="VerbatimChar"/>
        </w:rPr>
        <w:t xml:space="preserve">--ped</w:t>
      </w:r>
      <w: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t xml:space="preserve"> </w:t>
      </w:r>
      <w:r>
        <w:rPr>
          <w:rStyle w:val="VerbatimChar"/>
        </w:rPr>
        <w:t xml:space="preserve">phase_common</w:t>
      </w:r>
      <w:r>
        <w:t xml:space="preserve"> </w:t>
      </w:r>
      <w:r>
        <w:t xml:space="preserve">+</w:t>
      </w:r>
      <w:r>
        <w:t xml:space="preserve"> </w:t>
      </w:r>
      <w:r>
        <w:rPr>
          <w:rStyle w:val="VerbatimChar"/>
        </w:rPr>
        <w:t xml:space="preserve">phase_rare</w:t>
      </w:r>
      <w: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pPr>
      <w:r>
        <w:t xml:space="preserve">Switch-error rates measured</w:t>
      </w:r>
      <w:r>
        <w:t xml:space="preserve"> </w:t>
      </w:r>
      <w:r>
        <w:rPr>
          <w:i/>
          <w:iCs/>
        </w:rPr>
        <w:t xml:space="preserve">with</w:t>
      </w:r>
      <w:r>
        <w:t xml:space="preserve"> </w:t>
      </w:r>
      <w: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t xml:space="preserve"> </w:t>
      </w:r>
      <w:r>
        <w:rPr>
          <w:rStyle w:val="VerbatimChar"/>
        </w:rPr>
        <w:t xml:space="preserve">--pedigree</w:t>
      </w:r>
      <w:r>
        <w:t xml:space="preserve"> </w:t>
      </w:r>
      <w: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pPr>
      <w: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t xml:space="preserve"> </w:t>
      </w:r>
      <m:oMath>
        <m:sSup>
          <m:e>
            <m:r>
              <m:t>R</m:t>
            </m:r>
          </m:e>
          <m:sup>
            <m:r>
              <m:t>2</m:t>
            </m:r>
          </m:sup>
        </m:sSup>
      </m:oMath>
      <w:r>
        <w:t xml:space="preserve"> </w:t>
      </w:r>
      <w: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t xml:space="preserve"> </w:t>
      </w:r>
      <m:oMath>
        <m:sSup>
          <m:e>
            <m:r>
              <m:t>R</m:t>
            </m:r>
          </m:e>
          <m:sup>
            <m:r>
              <m:t>2</m:t>
            </m:r>
          </m:sup>
        </m:sSup>
      </m:oMath>
      <w:r>
        <w:t xml:space="preserve"> </w:t>
      </w:r>
      <w:r>
        <w:t xml:space="preserve">within 0.002), so the gain reflects the pedigree information itself rather than the choice of phasing tool.</w:t>
      </w:r>
    </w:p>
    <w:p>
      <w:pPr>
        <w:pStyle w:val="BodyText"/>
      </w:pPr>
      <w:r>
        <w:rPr>
          <w:b/>
          <w:bCs/>
        </w:rPr>
        <w:t xml:space="preserve">Table 4b. Pedigree-aware phasing: switch-error rate with and without trio pedigree.</w:t>
      </w:r>
      <w:r>
        <w:t xml:space="preserve"> </w:t>
      </w:r>
      <w:r>
        <w:t xml:space="preserve">The same 54 trio children were phased against the 2,239-sample no-trios reference panel either alone (no pedigree) or jointly with their parents (162 individuals) with the trio pedigree supplied. SER computed by</w:t>
      </w:r>
      <w:r>
        <w:t xml:space="preserve"> </w:t>
      </w:r>
      <w:r>
        <w:rPr>
          <w:rStyle w:val="VerbatimChar"/>
        </w:rPr>
        <w:t xml:space="preserve">bcftools +trio-switch-rate</w:t>
      </w:r>
      <w:r>
        <w:t xml:space="preserve"> </w:t>
      </w:r>
      <w:r>
        <w:t xml:space="preserve">(column nSwitch %) against the parent-of-origin truth, reported as the mean of per-trio switch-error rates (equal weight per trio, n = 54) over an identical 1,992,617-site testable set for every tool. SHAPEIT5 is the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Tool</w:t>
            </w:r>
          </w:p>
        </w:tc>
        <w:tc>
          <w:tcPr/>
          <w:p>
            <w:pPr>
              <w:pStyle w:val="Compact"/>
            </w:pPr>
            <w:r>
              <w:t xml:space="preserve">chr22 SER, no pedigree (%)</w:t>
            </w:r>
          </w:p>
        </w:tc>
        <w:tc>
          <w:tcPr/>
          <w:p>
            <w:pPr>
              <w:pStyle w:val="Compact"/>
            </w:pPr>
            <w:r>
              <w:t xml:space="preserve">chr22 SER, + pedigree (%)</w:t>
            </w:r>
          </w:p>
        </w:tc>
        <w:tc>
          <w:tcPr/>
          <w:p>
            <w:pPr>
              <w:pStyle w:val="Compact"/>
            </w:pPr>
            <w:r>
              <w:t xml:space="preserve">chr1 SER, no pedigree (%)</w:t>
            </w:r>
          </w:p>
        </w:tc>
        <w:tc>
          <w:tcPr/>
          <w:p>
            <w:pPr>
              <w:pStyle w:val="Compact"/>
            </w:pPr>
            <w:r>
              <w:t xml:space="preserve">chr1 SER, + pedigree (%)</w:t>
            </w:r>
          </w:p>
        </w:tc>
      </w:tr>
      <w:tr>
        <w:tc>
          <w:tcPr/>
          <w:p>
            <w:pPr>
              <w:pStyle w:val="Compact"/>
            </w:pPr>
            <w:r>
              <w:t xml:space="preserve">Selphi 2 (diploid)</w:t>
            </w:r>
          </w:p>
        </w:tc>
        <w:tc>
          <w:tcPr/>
          <w:p>
            <w:pPr>
              <w:pStyle w:val="Compact"/>
            </w:pPr>
            <w:r>
              <w:t xml:space="preserve">2.521</w:t>
            </w:r>
          </w:p>
        </w:tc>
        <w:tc>
          <w:tcPr/>
          <w:p>
            <w:pPr>
              <w:pStyle w:val="Compact"/>
            </w:pPr>
            <w:r>
              <w:rPr>
                <w:b/>
                <w:bCs/>
              </w:rPr>
              <w:t xml:space="preserve">0.849</w:t>
            </w:r>
          </w:p>
        </w:tc>
        <w:tc>
          <w:tcPr/>
          <w:p>
            <w:pPr>
              <w:pStyle w:val="Compact"/>
            </w:pPr>
            <w:r>
              <w:t xml:space="preserve">1.879</w:t>
            </w:r>
          </w:p>
        </w:tc>
        <w:tc>
          <w:tcPr/>
          <w:p>
            <w:pPr>
              <w:pStyle w:val="Compact"/>
            </w:pPr>
            <w:r>
              <w:rPr>
                <w:b/>
                <w:bCs/>
              </w:rPr>
              <w:t xml:space="preserve">0.335</w:t>
            </w:r>
          </w:p>
        </w:tc>
      </w:tr>
      <w:tr>
        <w:tc>
          <w:tcPr/>
          <w:p>
            <w:pPr>
              <w:pStyle w:val="Compact"/>
            </w:pPr>
            <w:r>
              <w:t xml:space="preserve">Beagle 5.5</w:t>
            </w:r>
          </w:p>
        </w:tc>
        <w:tc>
          <w:tcPr/>
          <w:p>
            <w:pPr>
              <w:pStyle w:val="Compact"/>
            </w:pPr>
            <w:r>
              <w:t xml:space="preserve">2.548</w:t>
            </w:r>
          </w:p>
        </w:tc>
        <w:tc>
          <w:tcPr/>
          <w:p>
            <w:pPr>
              <w:pStyle w:val="Compact"/>
            </w:pPr>
            <w:r>
              <w:t xml:space="preserve">1.050</w:t>
            </w:r>
          </w:p>
        </w:tc>
        <w:tc>
          <w:tcPr/>
          <w:p>
            <w:pPr>
              <w:pStyle w:val="Compact"/>
            </w:pPr>
            <w:r>
              <w:t xml:space="preserve">1.865</w:t>
            </w:r>
          </w:p>
        </w:tc>
        <w:tc>
          <w:tcPr/>
          <w:p>
            <w:pPr>
              <w:pStyle w:val="Compact"/>
            </w:pPr>
            <w:r>
              <w:t xml:space="preserve">0.429</w:t>
            </w:r>
          </w:p>
        </w:tc>
      </w:tr>
      <w:tr>
        <w:tc>
          <w:tcPr/>
          <w:p>
            <w:pPr>
              <w:pStyle w:val="Compact"/>
            </w:pPr>
            <w:r>
              <w:t xml:space="preserve">SHAPEIT5 v5.1.1 (full)</w:t>
            </w:r>
          </w:p>
        </w:tc>
        <w:tc>
          <w:tcPr/>
          <w:p>
            <w:pPr>
              <w:pStyle w:val="Compact"/>
            </w:pPr>
            <w:r>
              <w:t xml:space="preserve">2.599</w:t>
            </w:r>
          </w:p>
        </w:tc>
        <w:tc>
          <w:tcPr/>
          <w:p>
            <w:pPr>
              <w:pStyle w:val="Compact"/>
            </w:pPr>
            <w:r>
              <w:t xml:space="preserve">0.000*</w:t>
            </w:r>
          </w:p>
        </w:tc>
        <w:tc>
          <w:tcPr/>
          <w:p>
            <w:pPr>
              <w:pStyle w:val="Compact"/>
            </w:pPr>
            <w:r>
              <w:t xml:space="preserve">1.935</w:t>
            </w:r>
          </w:p>
        </w:tc>
        <w:tc>
          <w:tcPr/>
          <w:p>
            <w:pPr>
              <w:pStyle w:val="Compact"/>
            </w:pPr>
            <w:r>
              <w:t xml:space="preserve">0.000*</w:t>
            </w:r>
          </w:p>
        </w:tc>
      </w:tr>
    </w:tbl>
    <w:p>
      <w:pPr>
        <w:pStyle w:val="BodyText"/>
      </w:pPr>
      <w:r>
        <w:t xml:space="preserve">*0.000% reflects rigid commitment of the child’s phase to the Mendelian configuration, not error-free phasing (see text).</w:t>
      </w:r>
    </w:p>
    <w:p>
      <w:pPr>
        <w:pStyle w:val="BodyText"/>
      </w:pPr>
      <w:r>
        <w:rPr>
          <w:b/>
          <w:bCs/>
        </w:rPr>
        <w:t xml:space="preserve">Table 4c. Pedigree benefit measured by downstream imputation against an independent truth.</w:t>
      </w:r>
      <w:r>
        <w:t xml:space="preserve"> </w:t>
      </w:r>
      <w: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t xml:space="preserve"> </w:t>
      </w:r>
      <m:oMath>
        <m:sSup>
          <m:e>
            <m:r>
              <m:t>R</m:t>
            </m:r>
          </m:e>
          <m:sup>
            <m:r>
              <m:t>2</m:t>
            </m:r>
          </m:sup>
        </m:sSup>
      </m:oMath>
      <w: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Phasing</w:t>
            </w:r>
          </w:p>
        </w:tc>
        <w:tc>
          <w:tcPr/>
          <w:p>
            <w:pPr>
              <w:pStyle w:val="Compact"/>
            </w:pPr>
            <w:r>
              <w:t xml:space="preserve">chr22</w:t>
            </w:r>
            <w:r>
              <w:t xml:space="preserve"> </w:t>
            </w:r>
            <m:oMath>
              <m:sSup>
                <m:e>
                  <m:r>
                    <m:t>R</m:t>
                  </m:r>
                </m:e>
                <m:sup>
                  <m:r>
                    <m:t>2</m:t>
                  </m:r>
                </m:sup>
              </m:sSup>
            </m:oMath>
            <w:r>
              <w:t xml:space="preserve">, no ped</w:t>
            </w:r>
          </w:p>
        </w:tc>
        <w:tc>
          <w:tcPr/>
          <w:p>
            <w:pPr>
              <w:pStyle w:val="Compact"/>
            </w:pPr>
            <w:r>
              <w:t xml:space="preserve">chr22</w:t>
            </w:r>
            <w:r>
              <w:t xml:space="preserve"> </w:t>
            </w:r>
            <m:oMath>
              <m:sSup>
                <m:e>
                  <m:r>
                    <m:t>R</m:t>
                  </m:r>
                </m:e>
                <m:sup>
                  <m:r>
                    <m:t>2</m:t>
                  </m:r>
                </m:sup>
              </m:sSup>
            </m:oMath>
            <w:r>
              <w:t xml:space="preserve">, + ped</w:t>
            </w:r>
          </w:p>
        </w:tc>
        <w:tc>
          <w:tcPr/>
          <w:p>
            <w:pPr>
              <w:pStyle w:val="Compact"/>
            </w:pPr>
            <w:r>
              <w:t xml:space="preserve">chr1</w:t>
            </w:r>
            <w:r>
              <w:t xml:space="preserve"> </w:t>
            </w:r>
            <m:oMath>
              <m:sSup>
                <m:e>
                  <m:r>
                    <m:t>R</m:t>
                  </m:r>
                </m:e>
                <m:sup>
                  <m:r>
                    <m:t>2</m:t>
                  </m:r>
                </m:sup>
              </m:sSup>
            </m:oMath>
            <w:r>
              <w:t xml:space="preserve">, no ped</w:t>
            </w:r>
          </w:p>
        </w:tc>
        <w:tc>
          <w:tcPr/>
          <w:p>
            <w:pPr>
              <w:pStyle w:val="Compact"/>
            </w:pPr>
            <w:r>
              <w:t xml:space="preserve">chr1</w:t>
            </w:r>
            <w:r>
              <w:t xml:space="preserve"> </w:t>
            </w:r>
            <m:oMath>
              <m:sSup>
                <m:e>
                  <m:r>
                    <m:t>R</m:t>
                  </m:r>
                </m:e>
                <m:sup>
                  <m:r>
                    <m:t>2</m:t>
                  </m:r>
                </m:sup>
              </m:sSup>
            </m:oMath>
            <w:r>
              <w:t xml:space="preserve">, + ped</w:t>
            </w:r>
          </w:p>
        </w:tc>
      </w:tr>
      <w:tr>
        <w:tc>
          <w:tcPr/>
          <w:p>
            <w:pPr>
              <w:pStyle w:val="Compact"/>
            </w:pPr>
            <w:r>
              <w:t xml:space="preserve">Selphi 2 (diploid)</w:t>
            </w:r>
          </w:p>
        </w:tc>
        <w:tc>
          <w:tcPr/>
          <w:p>
            <w:pPr>
              <w:pStyle w:val="Compact"/>
            </w:pPr>
            <w:r>
              <w:t xml:space="preserve">0.7495</w:t>
            </w:r>
          </w:p>
        </w:tc>
        <w:tc>
          <w:tcPr/>
          <w:p>
            <w:pPr>
              <w:pStyle w:val="Compact"/>
            </w:pPr>
            <w:r>
              <w:t xml:space="preserve">0.7659</w:t>
            </w:r>
          </w:p>
        </w:tc>
        <w:tc>
          <w:tcPr/>
          <w:p>
            <w:pPr>
              <w:pStyle w:val="Compact"/>
            </w:pPr>
            <w:r>
              <w:t xml:space="preserve">0.8425</w:t>
            </w:r>
          </w:p>
        </w:tc>
        <w:tc>
          <w:tcPr/>
          <w:p>
            <w:pPr>
              <w:pStyle w:val="Compact"/>
            </w:pPr>
            <w:r>
              <w:t xml:space="preserve">0.8570</w:t>
            </w:r>
          </w:p>
        </w:tc>
      </w:tr>
      <w:tr>
        <w:tc>
          <w:tcPr/>
          <w:p>
            <w:pPr>
              <w:pStyle w:val="Compact"/>
            </w:pPr>
            <w:r>
              <w:t xml:space="preserve">Beagle 5.5</w:t>
            </w:r>
          </w:p>
        </w:tc>
        <w:tc>
          <w:tcPr/>
          <w:p>
            <w:pPr>
              <w:pStyle w:val="Compact"/>
            </w:pPr>
            <w:r>
              <w:t xml:space="preserve">0.7508</w:t>
            </w:r>
          </w:p>
        </w:tc>
        <w:tc>
          <w:tcPr/>
          <w:p>
            <w:pPr>
              <w:pStyle w:val="Compact"/>
            </w:pPr>
            <w:r>
              <w:t xml:space="preserve">0.7729</w:t>
            </w:r>
          </w:p>
        </w:tc>
        <w:tc>
          <w:tcPr/>
          <w:p>
            <w:pPr>
              <w:pStyle w:val="Compact"/>
            </w:pPr>
            <w:r>
              <w:t xml:space="preserve">0.8414</w:t>
            </w:r>
          </w:p>
        </w:tc>
        <w:tc>
          <w:tcPr/>
          <w:p>
            <w:pPr>
              <w:pStyle w:val="Compact"/>
            </w:pPr>
            <w:r>
              <w:t xml:space="preserve">0.8592</w:t>
            </w:r>
          </w:p>
        </w:tc>
      </w:tr>
      <w:tr>
        <w:tc>
          <w:tcPr/>
          <w:p>
            <w:pPr>
              <w:pStyle w:val="Compact"/>
            </w:pPr>
            <w:r>
              <w:t xml:space="preserve">SHAPEIT5 v5.1.1</w:t>
            </w:r>
          </w:p>
        </w:tc>
        <w:tc>
          <w:tcPr/>
          <w:p>
            <w:pPr>
              <w:pStyle w:val="Compact"/>
            </w:pPr>
            <w:r>
              <w:t xml:space="preserve">0.7515</w:t>
            </w:r>
          </w:p>
        </w:tc>
        <w:tc>
          <w:tcPr/>
          <w:p>
            <w:pPr>
              <w:pStyle w:val="Compact"/>
            </w:pPr>
            <w:r>
              <w:t xml:space="preserve">0.7680</w:t>
            </w:r>
          </w:p>
        </w:tc>
        <w:tc>
          <w:tcPr/>
          <w:p>
            <w:pPr>
              <w:pStyle w:val="Compact"/>
            </w:pPr>
            <w:r>
              <w:t xml:space="preserve">0.8425</w:t>
            </w:r>
          </w:p>
        </w:tc>
        <w:tc>
          <w:tcPr/>
          <w:p>
            <w:pPr>
              <w:pStyle w:val="Compact"/>
            </w:pPr>
            <w:r>
              <w:t xml:space="preserve">0.8551</w:t>
            </w:r>
          </w:p>
        </w:tc>
      </w:tr>
    </w:tbl>
    <w:bookmarkEnd w:id="35"/>
    <w:bookmarkStart w:id="39" w:name="computational-efficiency"/>
    <w:p>
      <w:pPr>
        <w:pStyle w:val="Heading2"/>
      </w:pPr>
      <w:r>
        <w:rPr>
          <w:b/>
          <w:bCs/>
        </w:rPr>
        <w:t xml:space="preserve">Computational efficiency</w:t>
      </w:r>
    </w:p>
    <w:p>
      <w:pPr>
        <w:pStyle w:val="FirstParagraph"/>
      </w:pPr>
      <w:r>
        <w:t xml:space="preserve">Table 5 summarizes wall time and peak resident memory for Selphi 2, Selphi 1.5.3, and Beagle on the three reference panels evaluated above, on the same machine (16 threads) and on identical inputs.</w:t>
      </w:r>
    </w:p>
    <w:p>
      <w:pPr>
        <w:pStyle w:val="BodyText"/>
      </w:pPr>
      <w:r>
        <w:rPr>
          <w:b/>
          <w:bCs/>
        </w:rPr>
        <w:t xml:space="preserve">Table 5. Wall time and peak memory.</w:t>
      </w:r>
      <w:r>
        <w:t xml:space="preserve"> </w:t>
      </w:r>
      <w:r>
        <w:t xml:space="preserve">All numbers measured on a single workstation (16-thread CPU) with /usr/bin/time -v; Selphi 1.5.3 memory measured via docker stats. The MESA 5K</w:t>
      </w:r>
      <w:r>
        <w:t xml:space="preserve"> </w:t>
      </w:r>
      <m:oMath>
        <m:r>
          <m:rPr>
            <m:sty m:val="p"/>
          </m:rPr>
          <m:t>×</m:t>
        </m:r>
      </m:oMath>
      <w:r>
        <w:t xml:space="preserve"> </w:t>
      </w:r>
      <w:r>
        <w:t xml:space="preserve">TOPMed row reflects Selphi 2 at its panel-adaptive default</w:t>
      </w:r>
      <w:r>
        <w:t xml:space="preserve"> </w:t>
      </w:r>
      <m:oMath>
        <m:sSub>
          <m:e>
            <m:r>
              <m:t>m</m:t>
            </m:r>
          </m:e>
          <m:sub>
            <m:r>
              <m:t>c</m:t>
            </m:r>
          </m:sub>
        </m:sSub>
      </m:oMath>
      <w:r>
        <w:t xml:space="preserve"> </w:t>
      </w:r>
      <w:r>
        <w:t xml:space="preserve">(132,676) and Beagle 5.5 at its default settings, both consuming an unphased chip target and producing imputed dosages. Selphi 1.5.3 did not complete the MESA 5K</w:t>
      </w:r>
      <w:r>
        <w:t xml:space="preserve"> </w:t>
      </w:r>
      <m:oMath>
        <m:r>
          <m:rPr>
            <m:sty m:val="p"/>
          </m:rPr>
          <m:t>×</m:t>
        </m:r>
      </m:oMath>
      <w:r>
        <w:t xml:space="preserve"> </w:t>
      </w:r>
      <w:r>
        <w:t xml:space="preserve">TOPMed run within a reasonable wall-time budget. The Beagle column is Beagle 5.5 (build 03 Oct 2025)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Benchmark</w:t>
            </w:r>
          </w:p>
        </w:tc>
        <w:tc>
          <w:tcPr/>
          <w:p>
            <w:pPr>
              <w:pStyle w:val="Compact"/>
            </w:pPr>
            <w:r>
              <w:t xml:space="preserve">Selphi 2</w:t>
            </w:r>
          </w:p>
        </w:tc>
        <w:tc>
          <w:tcPr/>
          <w:p>
            <w:pPr>
              <w:pStyle w:val="Compact"/>
            </w:pPr>
            <w:r>
              <w:t xml:space="preserve">Selphi 1.5.3</w:t>
            </w:r>
          </w:p>
        </w:tc>
        <w:tc>
          <w:tcPr/>
          <w:p>
            <w:pPr>
              <w:pStyle w:val="Compact"/>
            </w:pPr>
            <w:r>
              <w:t xml:space="preserve">Beagle</w:t>
            </w:r>
          </w:p>
        </w:tc>
      </w:tr>
      <w:tr>
        <w:tc>
          <w:tcPr/>
          <w:p>
            <w:pPr>
              <w:pStyle w:val="Compact"/>
            </w:pPr>
            <w:r>
              <w:t xml:space="preserve">chr22 1KG 801s (impute-only, phased input)</w:t>
            </w:r>
          </w:p>
        </w:tc>
        <w:tc>
          <w:tcPr/>
          <w:p>
            <w:pPr>
              <w:pStyle w:val="Compact"/>
            </w:pPr>
            <w:r>
              <w:t xml:space="preserve">69 s / 13.2 GB</w:t>
            </w:r>
          </w:p>
        </w:tc>
        <w:tc>
          <w:tcPr/>
          <w:p>
            <w:pPr>
              <w:pStyle w:val="Compact"/>
            </w:pPr>
            <w:r>
              <w:t xml:space="preserve">n/a</w:t>
            </w:r>
          </w:p>
        </w:tc>
        <w:tc>
          <w:tcPr/>
          <w:p>
            <w:pPr>
              <w:pStyle w:val="Compact"/>
            </w:pPr>
            <w:r>
              <w:t xml:space="preserve">58 s / 21.7 GB</w:t>
            </w:r>
          </w:p>
        </w:tc>
      </w:tr>
      <w:tr>
        <w:tc>
          <w:tcPr/>
          <w:p>
            <w:pPr>
              <w:pStyle w:val="Compact"/>
            </w:pPr>
            <w:r>
              <w:t xml:space="preserve">chr1 1KG 801s (impute-only, phased input)</w:t>
            </w:r>
          </w:p>
        </w:tc>
        <w:tc>
          <w:tcPr/>
          <w:p>
            <w:pPr>
              <w:pStyle w:val="Compact"/>
            </w:pPr>
            <w:r>
              <w:t xml:space="preserve">373 s / 21.9 GB</w:t>
            </w:r>
          </w:p>
        </w:tc>
        <w:tc>
          <w:tcPr/>
          <w:p>
            <w:pPr>
              <w:pStyle w:val="Compact"/>
            </w:pPr>
            <w:r>
              <w:t xml:space="preserve">n/a</w:t>
            </w:r>
          </w:p>
        </w:tc>
        <w:tc>
          <w:tcPr/>
          <w:p>
            <w:pPr>
              <w:pStyle w:val="Compact"/>
            </w:pPr>
            <w:r>
              <w:t xml:space="preserve">207 s / 20.2 GB</w:t>
            </w:r>
          </w:p>
        </w:tc>
      </w:tr>
      <w:tr>
        <w:tc>
          <w:tcPr/>
          <w:p>
            <w:pPr>
              <w:pStyle w:val="Compact"/>
            </w:pPr>
            <w:r>
              <w:t xml:space="preserve">chr21 GIAB 6 samples (impute-only)</w:t>
            </w:r>
          </w:p>
        </w:tc>
        <w:tc>
          <w:tcPr/>
          <w:p>
            <w:pPr>
              <w:pStyle w:val="Compact"/>
            </w:pPr>
            <w:r>
              <w:t xml:space="preserve">7.2 s / 6.2 GB</w:t>
            </w:r>
          </w:p>
        </w:tc>
        <w:tc>
          <w:tcPr/>
          <w:p>
            <w:pPr>
              <w:pStyle w:val="Compact"/>
            </w:pPr>
            <w:r>
              <w:t xml:space="preserve">112.8 s / 7.1 GB</w:t>
            </w:r>
          </w:p>
        </w:tc>
        <w:tc>
          <w:tcPr/>
          <w:p>
            <w:pPr>
              <w:pStyle w:val="Compact"/>
            </w:pPr>
            <w:r>
              <w:t xml:space="preserve">12.5 s / 14.5 GB</w:t>
            </w:r>
          </w:p>
        </w:tc>
      </w:tr>
      <w:tr>
        <w:tc>
          <w:tcPr/>
          <w:p>
            <w:pPr>
              <w:pStyle w:val="Compact"/>
            </w:pPr>
            <w:r>
              <w:t xml:space="preserve">chr1 GIAB 6 samples (impute-only)</w:t>
            </w:r>
          </w:p>
        </w:tc>
        <w:tc>
          <w:tcPr/>
          <w:p>
            <w:pPr>
              <w:pStyle w:val="Compact"/>
            </w:pPr>
            <w:r>
              <w:t xml:space="preserve">38.8 s / 16.3 GB</w:t>
            </w:r>
          </w:p>
        </w:tc>
        <w:tc>
          <w:tcPr/>
          <w:p>
            <w:pPr>
              <w:pStyle w:val="Compact"/>
            </w:pPr>
            <w:r>
              <w:t xml:space="preserve">1923 s / 22.1 GB</w:t>
            </w:r>
          </w:p>
        </w:tc>
        <w:tc>
          <w:tcPr/>
          <w:p>
            <w:pPr>
              <w:pStyle w:val="Compact"/>
            </w:pPr>
            <w:r>
              <w:t xml:space="preserve">43.2 s / 39.2 GB</w:t>
            </w:r>
          </w:p>
        </w:tc>
      </w:tr>
      <w:tr>
        <w:tc>
          <w:tcPr/>
          <w:p>
            <w:pPr>
              <w:pStyle w:val="Compact"/>
            </w:pPr>
            <w:r>
              <w:t xml:space="preserve">MESA 5K</w:t>
            </w:r>
            <w:r>
              <w:t xml:space="preserve"> </w:t>
            </w:r>
            <m:oMath>
              <m:r>
                <m:rPr>
                  <m:sty m:val="p"/>
                </m:rPr>
                <m:t>×</m:t>
              </m:r>
            </m:oMath>
            <w:r>
              <w:t xml:space="preserve"> </w:t>
            </w:r>
            <w:r>
              <w:t xml:space="preserve">TOPMed chr20 (full pipeline)</w:t>
            </w:r>
          </w:p>
        </w:tc>
        <w:tc>
          <w:tcPr/>
          <w:p>
            <w:pPr>
              <w:pStyle w:val="Compact"/>
            </w:pPr>
            <w:r>
              <w:t xml:space="preserve">11289 s / 65.5 GB</w:t>
            </w:r>
          </w:p>
        </w:tc>
        <w:tc>
          <w:tcPr/>
          <w:p>
            <w:pPr>
              <w:pStyle w:val="Compact"/>
            </w:pPr>
            <w:r>
              <w:t xml:space="preserve">did not finish</w:t>
            </w:r>
          </w:p>
        </w:tc>
        <w:tc>
          <w:tcPr/>
          <w:p>
            <w:pPr>
              <w:pStyle w:val="Compact"/>
            </w:pPr>
            <w:r>
              <w:t xml:space="preserve">4148 s / 96.5 GB</w:t>
            </w:r>
          </w:p>
        </w:tc>
      </w:tr>
    </w:tbl>
    <w:p>
      <w:pPr>
        <w:pStyle w:val="CaptionedFigure"/>
      </w:pPr>
      <w:r>
        <w:drawing>
          <wp:inline>
            <wp:extent cx="5334000" cy="1643263"/>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3263"/>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Computational efficiency.</w:t>
      </w:r>
      <w:r>
        <w:t xml:space="preserve"> </w:t>
      </w:r>
      <w: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t xml:space="preserve"> </w:t>
      </w:r>
      <w:r>
        <w:t xml:space="preserve">faster) at about 25 GB versus 40 GB peak memory (~1.6</w:t>
      </w:r>
      <m:oMath>
        <m:r>
          <m:rPr>
            <m:sty m:val="p"/>
          </m:rPr>
          <m:t>×</m:t>
        </m:r>
      </m:oMath>
      <w:r>
        <w:t xml:space="preserve"> </w:t>
      </w:r>
      <w:r>
        <w:t xml:space="preserve">leaner; Table 3b). (c) Per-sample low-coverage wall time for chromosome 22, all three tools measured on the entire chromosome (1</w:t>
      </w:r>
      <m:oMath>
        <m:r>
          <m:rPr>
            <m:sty m:val="p"/>
          </m:rPr>
          <m:t>×</m:t>
        </m:r>
      </m:oMath>
      <w:r>
        <w:t xml:space="preserve"> </w:t>
      </w:r>
      <w:r>
        <w:t xml:space="preserve">coverage, 16 threads, same machine; log scale): 115 s for Selphi 2 versus 287 s for GLIMPSE2 (its 15 native chunks plus ligation) and 1,729 s for QUILT2 (tiled across the chromosome), so Selphi 2 is roughly 2.5</w:t>
      </w:r>
      <m:oMath>
        <m:r>
          <m:rPr>
            <m:sty m:val="p"/>
          </m:rPr>
          <m:t>×</m:t>
        </m:r>
      </m:oMath>
      <w:r>
        <w:t xml:space="preserve"> </w:t>
      </w:r>
      <w:r>
        <w:t xml:space="preserve">faster than GLIMPSE2 and 15</w:t>
      </w:r>
      <m:oMath>
        <m:r>
          <m:rPr>
            <m:sty m:val="p"/>
          </m:rPr>
          <m:t>×</m:t>
        </m:r>
      </m:oMath>
      <w:r>
        <w:t xml:space="preserve"> </w:t>
      </w:r>
      <w:r>
        <w:t xml:space="preserve">faster than QUILT2 (Table 6b).</w:t>
      </w:r>
    </w:p>
    <w:p>
      <w:pPr>
        <w:pStyle w:val="BodyText"/>
      </w:pPr>
      <w:r>
        <w:t xml:space="preserve">Selphi 2’s wall time is 16</w:t>
      </w:r>
      <m:oMath>
        <m:r>
          <m:rPr>
            <m:sty m:val="p"/>
          </m:rPr>
          <m:t>×</m:t>
        </m:r>
      </m:oMath>
      <w:r>
        <w:t xml:space="preserve"> </w:t>
      </w:r>
      <w:r>
        <w:t xml:space="preserve">to 50</w:t>
      </w:r>
      <m:oMath>
        <m:r>
          <m:rPr>
            <m:sty m:val="p"/>
          </m:rPr>
          <m:t>×</m:t>
        </m:r>
      </m:oMath>
      <w:r>
        <w:t xml:space="preserve"> </w:t>
      </w:r>
      <w: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t xml:space="preserve">) but its peak memory is 32% lower (65.5 GB versus 96.5 GB). The runtime cost on the biobank-scale panel is the price paid for the larger candidate-set retained per target (</w:t>
      </w:r>
      <m:oMath>
        <m:sSub>
          <m:e>
            <m:r>
              <m:t>m</m:t>
            </m:r>
          </m:e>
          <m:sub>
            <m:r>
              <m:t>c</m:t>
            </m:r>
          </m:sub>
        </m:sSub>
      </m:oMath>
      <w:r>
        <w:t xml:space="preserve"> </w:t>
      </w:r>
      <w:r>
        <w:t xml:space="preserve">= 132,676 versus Beagle’s window-local composite haplotypes); the corresponding accuracy gain is +0.0236 overall</w:t>
      </w:r>
      <w:r>
        <w:t xml:space="preserve"> </w:t>
      </w:r>
      <m:oMath>
        <m:sSup>
          <m:e>
            <m:r>
              <m:t>R</m:t>
            </m:r>
          </m:e>
          <m:sup>
            <m:r>
              <m:t>2</m:t>
            </m:r>
          </m:sup>
        </m:sSup>
      </m:oMath>
      <w:r>
        <w:t xml:space="preserve"> </w:t>
      </w:r>
      <w:r>
        <w:t xml:space="preserve">and is concentrated on the rare-variant bins.</w:t>
      </w:r>
    </w:p>
    <w:p>
      <w:pPr>
        <w:pStyle w:val="BodyText"/>
      </w:pPr>
      <w: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bookmarkEnd w:id="39"/>
    <w:bookmarkStart w:id="40" w:name="X29a61a2dc7ccc36192c39ae264354c7efa08240"/>
    <w:p>
      <w:pPr>
        <w:pStyle w:val="Heading2"/>
      </w:pPr>
      <w:r>
        <w:rPr>
          <w:b/>
          <w:bCs/>
        </w:rPr>
        <w:t xml:space="preserve">Output-format equivalence and reproducibility</w:t>
      </w:r>
    </w:p>
    <w:p>
      <w:pPr>
        <w:pStyle w:val="FirstParagraph"/>
      </w:pPr>
      <w:r>
        <w:t xml:space="preserve">Selphi 2 emits every output format from a single interpolation pass (Methods), so the format choice does not change the imputed values. We verified this on the 1000 Genomes chromosome-22 benchmark (801 samples, 1,070,401 variants). Across</w:t>
      </w:r>
      <w:r>
        <w:t xml:space="preserve"> </w:t>
      </w:r>
      <m:oMath>
        <m:r>
          <m:t>2.7</m:t>
        </m:r>
        <m:r>
          <m:rPr>
            <m:sty m:val="p"/>
          </m:rPr>
          <m:t>×</m:t>
        </m:r>
        <m:sSup>
          <m:e>
            <m:r>
              <m:t>10</m:t>
            </m:r>
          </m:e>
          <m:sup>
            <m:r>
              <m:t>7</m:t>
            </m:r>
          </m:sup>
        </m:sSup>
      </m:oMath>
      <w:r>
        <w:t xml:space="preserve"> </w:t>
      </w:r>
      <w: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t xml:space="preserve"> </w:t>
      </w:r>
      <m:oMath>
        <m:r>
          <m:rPr>
            <m:sty m:val="p"/>
          </m:rPr>
          <m:t>|</m:t>
        </m:r>
        <m:r>
          <m:rPr>
            <m:sty m:val="p"/>
          </m:rPr>
          <m:t>Δ</m:t>
        </m:r>
        <m:r>
          <m:rPr>
            <m:sty m:val="p"/>
          </m:rPr>
          <m:t>|</m:t>
        </m:r>
      </m:oMath>
      <w:r>
        <w:t xml:space="preserve"> </w:t>
      </w:r>
      <w:r>
        <w:t xml:space="preserve">=</w:t>
      </w:r>
      <w:r>
        <w:t xml:space="preserve"> </w:t>
      </w:r>
      <m:oMath>
        <m:r>
          <m:t>6.1</m:t>
        </m:r>
        <m:r>
          <m:rPr>
            <m:sty m:val="p"/>
          </m:rPr>
          <m:t>×</m:t>
        </m:r>
        <m:sSup>
          <m:e>
            <m:r>
              <m:t>10</m:t>
            </m:r>
          </m:e>
          <m:sup>
            <m:r>
              <m:rPr>
                <m:sty m:val="p"/>
              </m:rPr>
              <m:t>−</m:t>
            </m:r>
            <m:r>
              <m:t>5</m:t>
            </m:r>
          </m:sup>
        </m:sSup>
      </m:oMath>
      <w:r>
        <w:t xml:space="preserve">, exactly PGEN’s 16-bit dosage step), while VCF text-rounds to three decimals (maximum</w:t>
      </w:r>
      <w: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t xml:space="preserve"> </w:t>
      </w:r>
      <w: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t xml:space="preserve"> </w:t>
      </w:r>
      <m:oMath>
        <m:r>
          <m:rPr>
            <m:sty m:val="p"/>
          </m:rPr>
          <m:t>×</m:t>
        </m:r>
      </m:oMath>
      <w:r>
        <w:t xml:space="preserve"> </w:t>
      </w:r>
      <w:r>
        <w:t xml:space="preserve">2,239 samples), so the in-binary converters replace the external bref3/xcf/msav round-trips without information loss.</w:t>
      </w:r>
    </w:p>
    <w:bookmarkEnd w:id="40"/>
    <w:bookmarkStart w:id="41" w:name="low-coverage-sequencing-imputation"/>
    <w:p>
      <w:pPr>
        <w:pStyle w:val="Heading2"/>
      </w:pPr>
      <w:r>
        <w:rPr>
          <w:b/>
          <w:bCs/>
        </w:rPr>
        <w:t xml:space="preserve">Low-coverage sequencing imputation</w:t>
      </w:r>
    </w:p>
    <w:p>
      <w:pPr>
        <w:pStyle w:val="FirstParagraph"/>
      </w:pPr>
      <w:r>
        <w:t xml:space="preserve">We assessed the lcWGS engine (</w:t>
      </w:r>
      <w:r>
        <w:rPr>
          <w:rStyle w:val="VerbatimChar"/>
        </w:rPr>
        <w:t xml:space="preserve">--lcwgs</w:t>
      </w:r>
      <w: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t xml:space="preserve"> </w:t>
      </w:r>
      <w:r>
        <w:t xml:space="preserve">whole-genome alignments (brain-genomics-public, GRCh38) were downsampled to ~1.8</w:t>
      </w:r>
      <m:oMath>
        <m:r>
          <m:rPr>
            <m:sty m:val="p"/>
          </m:rPr>
          <m:t>×</m:t>
        </m:r>
      </m:oMath>
      <w:r>
        <w:t xml:space="preserve"> </w:t>
      </w:r>
      <w: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t xml:space="preserve"> </w:t>
      </w:r>
      <m:oMath>
        <m:sSup>
          <m:e>
            <m:r>
              <m:t>R</m:t>
            </m:r>
          </m:e>
          <m:sup>
            <m:r>
              <m:t>2</m:t>
            </m:r>
          </m:sup>
        </m:sSup>
      </m:oMath>
      <w:r>
        <w:t xml:space="preserve"> </w:t>
      </w:r>
      <w:r>
        <w:t xml:space="preserve">was computed against the GIAB v4.2.1 high-confidence truth over the high-confidence variant sites, on the identical set of sites imputed by both tools, and compared to GLIMPSE2</w:t>
      </w:r>
      <w:r>
        <w:t xml:space="preserve"> </w:t>
      </w:r>
      <w:r>
        <w:rPr>
          <w:vertAlign w:val="superscript"/>
        </w:rPr>
        <w:t xml:space="preserve">2</w:t>
      </w:r>
      <w:r>
        <w:t xml:space="preserve">.</w:t>
      </w:r>
    </w:p>
    <w:p>
      <w:pPr>
        <w:pStyle w:val="BodyText"/>
      </w:pPr>
      <w: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t xml:space="preserve"> </w:t>
      </w:r>
      <w:r>
        <w:rPr>
          <w:rStyle w:val="VerbatimChar"/>
        </w:rPr>
        <w:t xml:space="preserve">LCWGS_RECOMB_DENOM=max</w:t>
      </w:r>
      <w: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t xml:space="preserve"> </w:t>
      </w:r>
      <m:oMath>
        <m:rad>
          <m:radPr>
            <m:degHide m:val="on"/>
          </m:radPr>
          <m:deg/>
          <m:e>
            <m:r>
              <m:t>n</m:t>
            </m:r>
          </m:e>
        </m:rad>
      </m:oMath>
      <w:r>
        <w:t xml:space="preserve"> </w:t>
      </w:r>
      <w:r>
        <w:t xml:space="preserve">checkpoint columns and recomputed per block during the backward pass, so the full-chromosome reference panel is never materialized in memory.</w:t>
      </w:r>
    </w:p>
    <w:p>
      <w:pPr>
        <w:pStyle w:val="BodyText"/>
      </w:pPr>
      <w:r>
        <w:t xml:space="preserve">On the GIAB samples Selphi 2 exceeds GLIMPSE2 in per-sample</w:t>
      </w:r>
      <w:r>
        <w:t xml:space="preserve"> </w:t>
      </w:r>
      <m:oMath>
        <m:sSup>
          <m:e>
            <m:r>
              <m:t>R</m:t>
            </m:r>
          </m:e>
          <m:sup>
            <m:r>
              <m:t>2</m:t>
            </m:r>
          </m:sup>
        </m:sSup>
      </m:oMath>
      <w:r>
        <w:t xml:space="preserve"> </w:t>
      </w:r>
      <w: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t xml:space="preserve"> </w:t>
      </w:r>
      <w:r>
        <w:t xml:space="preserve">= +0.0037, on the identical site set for both tools; Table 6). At the rarest frequencies (MAF 0–0.5%) the two tools are within ≈0.005</w:t>
      </w:r>
      <w:r>
        <w:t xml:space="preserve"> </w:t>
      </w:r>
      <m:oMath>
        <m:sSup>
          <m:e>
            <m:r>
              <m:t>R</m:t>
            </m:r>
          </m:e>
          <m:sup>
            <m:r>
              <m:t>2</m:t>
            </m:r>
          </m:sup>
        </m:sSup>
      </m:oMath>
      <w:r>
        <w:t xml:space="preserve"> </w:t>
      </w:r>
      <w: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t xml:space="preserve"> </w:t>
      </w:r>
      <w: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t xml:space="preserve"> </w:t>
      </w:r>
      <w: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t xml:space="preserve"> </w:t>
      </w:r>
      <w:r>
        <w:t xml:space="preserve">to 4</w:t>
      </w:r>
      <m:oMath>
        <m:r>
          <m:rPr>
            <m:sty m:val="p"/>
          </m:rPr>
          <m:t>×</m:t>
        </m:r>
      </m:oMath>
      <w:r>
        <w:t xml:space="preserve"> </w:t>
      </w:r>
      <w:r>
        <w:t xml:space="preserve">and a three-way comparison that adds QUILT2</w:t>
      </w:r>
      <w:r>
        <w:t xml:space="preserve"> </w:t>
      </w:r>
      <w:r>
        <w:rPr>
          <w:vertAlign w:val="superscript"/>
        </w:rPr>
        <w:t xml:space="preserve">16</w:t>
      </w:r>
      <w:r>
        <w:t xml:space="preserve"> </w:t>
      </w:r>
      <w:r>
        <w:t xml:space="preserve">as a second low-coverage baseline are reported below (Table 6b).</w:t>
      </w:r>
    </w:p>
    <w:p>
      <w:pPr>
        <w:pStyle w:val="BodyText"/>
      </w:pPr>
      <w:r>
        <w:rPr>
          <w:b/>
          <w:bCs/>
        </w:rPr>
        <w:t xml:space="preserve">Table 6. Low-coverage sequencing imputation accuracy and efficiency versus GLIMPSE2.</w:t>
      </w:r>
      <w:r>
        <w:t xml:space="preserve"> </w:t>
      </w:r>
      <w:r>
        <w:t xml:space="preserve">GIAB reference samples HG002–HG007 (six samples, the Ashkenazi and Han Chinese trios; none in the 1000 Genomes Project): the public NovaSeq PCR-free 30</w:t>
      </w:r>
      <m:oMath>
        <m:r>
          <m:rPr>
            <m:sty m:val="p"/>
          </m:rPr>
          <m:t>×</m:t>
        </m:r>
      </m:oMath>
      <w:r>
        <w:t xml:space="preserve"> </w:t>
      </w:r>
      <w:r>
        <w:t xml:space="preserve">WGS alignments (brain-genomics-public, GRCh38) were downsampled to ~1.8</w:t>
      </w:r>
      <m:oMath>
        <m:r>
          <m:rPr>
            <m:sty m:val="p"/>
          </m:rPr>
          <m:t>×</m:t>
        </m:r>
      </m:oMath>
      <w:r>
        <w:t xml:space="preserve"> </w:t>
      </w:r>
      <w: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t xml:space="preserve"> </w:t>
      </w:r>
      <m:oMath>
        <m:sSup>
          <m:e>
            <m:r>
              <m:t>R</m:t>
            </m:r>
          </m:e>
          <m:sup>
            <m:r>
              <m:t>2</m:t>
            </m:r>
          </m:sup>
        </m:sSup>
      </m:oMath>
      <w:r>
        <w:t xml:space="preserve"> </w:t>
      </w:r>
      <w: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Selphi 2</w:t>
            </w:r>
            <w:r>
              <w:t xml:space="preserve"> </w:t>
            </w:r>
            <m:oMath>
              <m:sSup>
                <m:e>
                  <m:r>
                    <m:t>R</m:t>
                  </m:r>
                </m:e>
                <m:sup>
                  <m:r>
                    <m:t>2</m:t>
                  </m:r>
                </m:sup>
              </m:sSup>
            </m:oMath>
          </w:p>
        </w:tc>
        <w:tc>
          <w:tcPr/>
          <w:p>
            <w:pPr>
              <w:pStyle w:val="Compact"/>
            </w:pPr>
            <w:r>
              <w:t xml:space="preserve">GLIMPSE2</w:t>
            </w:r>
            <w:r>
              <w:t xml:space="preserve"> </w:t>
            </w:r>
            <m:oMath>
              <m:sSup>
                <m:e>
                  <m:r>
                    <m:t>R</m:t>
                  </m:r>
                </m:e>
                <m:sup>
                  <m:r>
                    <m:t>2</m:t>
                  </m:r>
                </m:sup>
              </m:sSup>
            </m:oMath>
          </w:p>
        </w:tc>
        <w:tc>
          <w:tcPr/>
          <w:p>
            <w:pPr>
              <w:pStyle w:val="Compact"/>
            </w:pPr>
            <m:oMath>
              <m:r>
                <m:rPr>
                  <m:sty m:val="p"/>
                </m:rPr>
                <m:t>Δ</m:t>
              </m:r>
            </m:oMath>
          </w:p>
        </w:tc>
      </w:tr>
      <w:tr>
        <w:tc>
          <w:tcPr/>
          <w:p>
            <w:pPr>
              <w:pStyle w:val="Compact"/>
            </w:pPr>
            <w:r>
              <w:t xml:space="preserve">HG002</w:t>
            </w:r>
          </w:p>
        </w:tc>
        <w:tc>
          <w:tcPr/>
          <w:p>
            <w:pPr>
              <w:pStyle w:val="Compact"/>
            </w:pPr>
            <w:r>
              <w:t xml:space="preserve">0.9457</w:t>
            </w:r>
          </w:p>
        </w:tc>
        <w:tc>
          <w:tcPr/>
          <w:p>
            <w:pPr>
              <w:pStyle w:val="Compact"/>
            </w:pPr>
            <w:r>
              <w:t xml:space="preserve">0.9421</w:t>
            </w:r>
          </w:p>
        </w:tc>
        <w:tc>
          <w:tcPr/>
          <w:p>
            <w:pPr>
              <w:pStyle w:val="Compact"/>
            </w:pPr>
            <w:r>
              <w:t xml:space="preserve">+0.0036</w:t>
            </w:r>
          </w:p>
        </w:tc>
      </w:tr>
      <w:tr>
        <w:tc>
          <w:tcPr/>
          <w:p>
            <w:pPr>
              <w:pStyle w:val="Compact"/>
            </w:pPr>
            <w:r>
              <w:t xml:space="preserve">HG003</w:t>
            </w:r>
          </w:p>
        </w:tc>
        <w:tc>
          <w:tcPr/>
          <w:p>
            <w:pPr>
              <w:pStyle w:val="Compact"/>
            </w:pPr>
            <w:r>
              <w:t xml:space="preserve">0.9515</w:t>
            </w:r>
          </w:p>
        </w:tc>
        <w:tc>
          <w:tcPr/>
          <w:p>
            <w:pPr>
              <w:pStyle w:val="Compact"/>
            </w:pPr>
            <w:r>
              <w:t xml:space="preserve">0.9459</w:t>
            </w:r>
          </w:p>
        </w:tc>
        <w:tc>
          <w:tcPr/>
          <w:p>
            <w:pPr>
              <w:pStyle w:val="Compact"/>
            </w:pPr>
            <w:r>
              <w:t xml:space="preserve">+0.0056</w:t>
            </w:r>
          </w:p>
        </w:tc>
      </w:tr>
      <w:tr>
        <w:tc>
          <w:tcPr/>
          <w:p>
            <w:pPr>
              <w:pStyle w:val="Compact"/>
            </w:pPr>
            <w:r>
              <w:t xml:space="preserve">HG004</w:t>
            </w:r>
          </w:p>
        </w:tc>
        <w:tc>
          <w:tcPr/>
          <w:p>
            <w:pPr>
              <w:pStyle w:val="Compact"/>
            </w:pPr>
            <w:r>
              <w:t xml:space="preserve">0.9479</w:t>
            </w:r>
          </w:p>
        </w:tc>
        <w:tc>
          <w:tcPr/>
          <w:p>
            <w:pPr>
              <w:pStyle w:val="Compact"/>
            </w:pPr>
            <w:r>
              <w:t xml:space="preserve">0.9435</w:t>
            </w:r>
          </w:p>
        </w:tc>
        <w:tc>
          <w:tcPr/>
          <w:p>
            <w:pPr>
              <w:pStyle w:val="Compact"/>
            </w:pPr>
            <w:r>
              <w:t xml:space="preserve">+0.0044</w:t>
            </w:r>
          </w:p>
        </w:tc>
      </w:tr>
      <w:tr>
        <w:tc>
          <w:tcPr/>
          <w:p>
            <w:pPr>
              <w:pStyle w:val="Compact"/>
            </w:pPr>
            <w:r>
              <w:t xml:space="preserve">HG005</w:t>
            </w:r>
          </w:p>
        </w:tc>
        <w:tc>
          <w:tcPr/>
          <w:p>
            <w:pPr>
              <w:pStyle w:val="Compact"/>
            </w:pPr>
            <w:r>
              <w:t xml:space="preserve">0.9455</w:t>
            </w:r>
          </w:p>
        </w:tc>
        <w:tc>
          <w:tcPr/>
          <w:p>
            <w:pPr>
              <w:pStyle w:val="Compact"/>
            </w:pPr>
            <w:r>
              <w:t xml:space="preserve">0.9416</w:t>
            </w:r>
          </w:p>
        </w:tc>
        <w:tc>
          <w:tcPr/>
          <w:p>
            <w:pPr>
              <w:pStyle w:val="Compact"/>
            </w:pPr>
            <w:r>
              <w:t xml:space="preserve">+0.0039</w:t>
            </w:r>
          </w:p>
        </w:tc>
      </w:tr>
      <w:tr>
        <w:tc>
          <w:tcPr/>
          <w:p>
            <w:pPr>
              <w:pStyle w:val="Compact"/>
            </w:pPr>
            <w:r>
              <w:t xml:space="preserve">HG006</w:t>
            </w:r>
          </w:p>
        </w:tc>
        <w:tc>
          <w:tcPr/>
          <w:p>
            <w:pPr>
              <w:pStyle w:val="Compact"/>
            </w:pPr>
            <w:r>
              <w:t xml:space="preserve">0.9547</w:t>
            </w:r>
          </w:p>
        </w:tc>
        <w:tc>
          <w:tcPr/>
          <w:p>
            <w:pPr>
              <w:pStyle w:val="Compact"/>
            </w:pPr>
            <w:r>
              <w:t xml:space="preserve">0.9496</w:t>
            </w:r>
          </w:p>
        </w:tc>
        <w:tc>
          <w:tcPr/>
          <w:p>
            <w:pPr>
              <w:pStyle w:val="Compact"/>
            </w:pPr>
            <w:r>
              <w:t xml:space="preserve">+0.0051</w:t>
            </w:r>
          </w:p>
        </w:tc>
      </w:tr>
      <w:tr>
        <w:tc>
          <w:tcPr/>
          <w:p>
            <w:pPr>
              <w:pStyle w:val="Compact"/>
            </w:pPr>
            <w:r>
              <w:t xml:space="preserve">HG007</w:t>
            </w:r>
          </w:p>
        </w:tc>
        <w:tc>
          <w:tcPr/>
          <w:p>
            <w:pPr>
              <w:pStyle w:val="Compact"/>
            </w:pPr>
            <w:r>
              <w:t xml:space="preserve">0.9502</w:t>
            </w:r>
          </w:p>
        </w:tc>
        <w:tc>
          <w:tcPr/>
          <w:p>
            <w:pPr>
              <w:pStyle w:val="Compact"/>
            </w:pPr>
            <w:r>
              <w:t xml:space="preserve">0.9504</w:t>
            </w:r>
          </w:p>
        </w:tc>
        <w:tc>
          <w:tcPr/>
          <w:p>
            <w:pPr>
              <w:pStyle w:val="Compact"/>
            </w:pPr>
            <w:r>
              <w:t xml:space="preserve">−0.0001</w:t>
            </w:r>
          </w:p>
        </w:tc>
      </w:tr>
      <w:tr>
        <w:tc>
          <w:tcPr/>
          <w:p>
            <w:pPr>
              <w:pStyle w:val="Compact"/>
            </w:pPr>
            <w:r>
              <w:rPr>
                <w:b/>
                <w:bCs/>
              </w:rPr>
              <w:t xml:space="preserve">Mean</w:t>
            </w:r>
          </w:p>
        </w:tc>
        <w:tc>
          <w:tcPr/>
          <w:p>
            <w:pPr>
              <w:pStyle w:val="Compact"/>
            </w:pPr>
            <w:r>
              <w:rPr>
                <w:b/>
                <w:bCs/>
              </w:rPr>
              <w:t xml:space="preserve">0.9493</w:t>
            </w:r>
          </w:p>
        </w:tc>
        <w:tc>
          <w:tcPr/>
          <w:p>
            <w:pPr>
              <w:pStyle w:val="Compact"/>
            </w:pPr>
            <w:r>
              <w:rPr>
                <w:b/>
                <w:bCs/>
              </w:rPr>
              <w:t xml:space="preserve">0.9455</w:t>
            </w:r>
          </w:p>
        </w:tc>
        <w:tc>
          <w:tcPr/>
          <w:p>
            <w:pPr>
              <w:pStyle w:val="Compact"/>
            </w:pPr>
            <w:r>
              <w:rPr>
                <w:b/>
                <w:bCs/>
              </w:rPr>
              <w:t xml:space="preserve">+0.0037</w:t>
            </w:r>
          </w:p>
        </w:tc>
      </w:tr>
    </w:tbl>
    <w:p>
      <w:pPr>
        <w:pStyle w:val="BodyText"/>
      </w:pPr>
      <w:r>
        <w:t xml:space="preserve">At the rarest frequencies (MAF 0–0.5%) Selphi 2’s band-mode recombination (default; Methods) places it level with or ahead of GLIMPSE2 from 1</w:t>
      </w:r>
      <m:oMath>
        <m:r>
          <m:rPr>
            <m:sty m:val="p"/>
          </m:rPr>
          <m:t>×</m:t>
        </m:r>
      </m:oMath>
      <w:r>
        <w:t xml:space="preserve"> </w:t>
      </w:r>
      <w: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t xml:space="preserve"> </w:t>
      </w:r>
      <w:r>
        <w:t xml:space="preserve">faster); GLIMPSE2’s lower per-sample footprint (≈2.1 GB) reflects its separate one-time panel-splitting step, excluded here from both tools.</w:t>
      </w:r>
    </w:p>
    <w:p>
      <w:pPr>
        <w:pStyle w:val="BodyText"/>
      </w:pPr>
      <w:r>
        <w:t xml:space="preserve">To position the engine against both established low-coverage tools across a range of depths, we ran a three-way comparison, Selphi 2 versus GLIMPSE2</w:t>
      </w:r>
      <w:r>
        <w:t xml:space="preserve"> </w:t>
      </w:r>
      <w:r>
        <w:rPr>
          <w:vertAlign w:val="superscript"/>
        </w:rPr>
        <w:t xml:space="preserve">2</w:t>
      </w:r>
      <w:r>
        <w:t xml:space="preserve"> </w:t>
      </w:r>
      <w:r>
        <w:t xml:space="preserve">and QUILT2</w:t>
      </w:r>
      <w:r>
        <w:t xml:space="preserve"> </w:t>
      </w:r>
      <w:r>
        <w:rPr>
          <w:vertAlign w:val="superscript"/>
        </w:rPr>
        <w:t xml:space="preserve">16</w:t>
      </w:r>
      <w:r>
        <w:t xml:space="preserve">, on the same GIAB samples downsampled to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w:t>
      </w:r>
      <w: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t xml:space="preserve"> </w:t>
      </w:r>
      <m:oMath>
        <m:sSup>
          <m:e>
            <m:r>
              <m:t>R</m:t>
            </m:r>
          </m:e>
          <m:sup>
            <m:r>
              <m:t>2</m:t>
            </m:r>
          </m:sup>
        </m:sSup>
      </m:oMath>
      <w:r>
        <w:t xml:space="preserve"> </w:t>
      </w:r>
      <w:r>
        <w:t xml:space="preserve">at every coverage (0.9924, 0.9950, 0.9971 and 0.9979 versus GLIMPSE2’s 0.9916, 0.9945, 0.9967 and 0.9975 and QUILT2’s 0.9919, 0.9944, 0.9968 and 0.9973 at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t xml:space="preserve"> </w:t>
      </w:r>
      <w:r>
        <w:t xml:space="preserve">upward: ahead by 0.0027</w:t>
      </w:r>
      <w:r>
        <w:t xml:space="preserve"> </w:t>
      </w:r>
      <m:oMath>
        <m:sSup>
          <m:e>
            <m:r>
              <m:t>R</m:t>
            </m:r>
          </m:e>
          <m:sup>
            <m:r>
              <m:t>2</m:t>
            </m:r>
          </m:sup>
        </m:sSup>
      </m:oMath>
      <w:r>
        <w:t xml:space="preserve"> </w:t>
      </w:r>
      <w:r>
        <w:t xml:space="preserve">at 2</w:t>
      </w:r>
      <m:oMath>
        <m:r>
          <m:rPr>
            <m:sty m:val="p"/>
          </m:rPr>
          <m:t>×</m:t>
        </m:r>
      </m:oMath>
      <w:r>
        <w:t xml:space="preserve"> </w:t>
      </w:r>
      <w:r>
        <w:t xml:space="preserve">(0.9522 versus 0.9495) and 0.0066 at 4</w:t>
      </w:r>
      <m:oMath>
        <m:r>
          <m:rPr>
            <m:sty m:val="p"/>
          </m:rPr>
          <m:t>×</m:t>
        </m:r>
      </m:oMath>
      <w:r>
        <w:t xml:space="preserve"> </w:t>
      </w:r>
      <w:r>
        <w:t xml:space="preserve">(0.9704 versus 0.9638), tied at 1</w:t>
      </w:r>
      <m:oMath>
        <m:r>
          <m:rPr>
            <m:sty m:val="p"/>
          </m:rPr>
          <m:t>×</m:t>
        </m:r>
      </m:oMath>
      <w:r>
        <w:t xml:space="preserve"> </w:t>
      </w:r>
      <w:r>
        <w:t xml:space="preserve">(0.9243 versus 0.9252), with GLIMPSE2 marginally ahead only at the read-starved 0.5</w:t>
      </w:r>
      <m:oMath>
        <m:r>
          <m:rPr>
            <m:sty m:val="p"/>
          </m:rPr>
          <m:t>×</m:t>
        </m:r>
      </m:oMath>
      <w:r>
        <w:t xml:space="preserve"> </w:t>
      </w:r>
      <w: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t xml:space="preserve"> </w:t>
      </w:r>
      <w: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t xml:space="preserve"> </w:t>
      </w:r>
      <w:r>
        <w:t xml:space="preserve">faster than GLIMPSE2 and 15</w:t>
      </w:r>
      <m:oMath>
        <m:r>
          <m:rPr>
            <m:sty m:val="p"/>
          </m:rPr>
          <m:t>×</m:t>
        </m:r>
      </m:oMath>
      <w:r>
        <w:t xml:space="preserve"> </w:t>
      </w:r>
      <w: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t xml:space="preserve"> </w:t>
      </w:r>
      <w:r>
        <w:t xml:space="preserve">depth, outside the range evaluated here, where all three tools converge.</w:t>
      </w:r>
    </w:p>
    <w:p>
      <w:pPr>
        <w:pStyle w:val="BodyText"/>
      </w:pPr>
      <w:r>
        <w:rPr>
          <w:b/>
          <w:bCs/>
        </w:rPr>
        <w:t xml:space="preserve">Table 6b. Three-way low-coverage comparison across a coverage sweep.</w:t>
      </w:r>
      <w:r>
        <w:t xml:space="preserve"> </w:t>
      </w:r>
      <w:r>
        <w:t xml:space="preserve">Mean per-sample dosage</w:t>
      </w:r>
      <w:r>
        <w:t xml:space="preserve"> </w:t>
      </w:r>
      <m:oMath>
        <m:sSup>
          <m:e>
            <m:r>
              <m:t>R</m:t>
            </m:r>
          </m:e>
          <m:sup>
            <m:r>
              <m:t>2</m:t>
            </m:r>
          </m:sup>
        </m:sSup>
      </m:oMath>
      <w:r>
        <w:t xml:space="preserve"> </w:t>
      </w:r>
      <w: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t xml:space="preserve"> </w:t>
      </w:r>
      <w:r>
        <w:rPr>
          <w:rStyle w:val="VerbatimChar"/>
        </w:rPr>
        <w:t xml:space="preserve">--lcwgs</w:t>
      </w:r>
      <w:r>
        <w:t xml:space="preserve"> </w:t>
      </w:r>
      <w: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pPr>
      <w:r>
        <w:rPr>
          <w:i/>
          <w:iCs/>
        </w:rPr>
        <w:t xml:space="preserve">Overall per-sample</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rPr>
                <w:b/>
                <w:bCs/>
              </w:rPr>
              <w:t xml:space="preserve">0.9924</w:t>
            </w:r>
          </w:p>
        </w:tc>
        <w:tc>
          <w:tcPr/>
          <w:p>
            <w:pPr>
              <w:pStyle w:val="Compact"/>
            </w:pPr>
            <w:r>
              <w:t xml:space="preserve">0.9916</w:t>
            </w:r>
          </w:p>
        </w:tc>
        <w:tc>
          <w:tcPr/>
          <w:p>
            <w:pPr>
              <w:pStyle w:val="Compact"/>
            </w:pPr>
            <w:r>
              <w:t xml:space="preserve">0.9919</w:t>
            </w:r>
          </w:p>
        </w:tc>
      </w:tr>
      <w:tr>
        <w:tc>
          <w:tcPr/>
          <w:p>
            <w:pPr>
              <w:pStyle w:val="Compact"/>
            </w:pPr>
            <w:r>
              <w:t xml:space="preserve">1</w:t>
            </w:r>
            <m:oMath>
              <m:r>
                <m:rPr>
                  <m:sty m:val="p"/>
                </m:rPr>
                <m:t>×</m:t>
              </m:r>
            </m:oMath>
          </w:p>
        </w:tc>
        <w:tc>
          <w:tcPr/>
          <w:p>
            <w:pPr>
              <w:pStyle w:val="Compact"/>
            </w:pPr>
            <w:r>
              <w:rPr>
                <w:b/>
                <w:bCs/>
              </w:rPr>
              <w:t xml:space="preserve">0.9950</w:t>
            </w:r>
          </w:p>
        </w:tc>
        <w:tc>
          <w:tcPr/>
          <w:p>
            <w:pPr>
              <w:pStyle w:val="Compact"/>
            </w:pPr>
            <w:r>
              <w:t xml:space="preserve">0.9945</w:t>
            </w:r>
          </w:p>
        </w:tc>
        <w:tc>
          <w:tcPr/>
          <w:p>
            <w:pPr>
              <w:pStyle w:val="Compact"/>
            </w:pPr>
            <w:r>
              <w:t xml:space="preserve">0.9944</w:t>
            </w:r>
          </w:p>
        </w:tc>
      </w:tr>
      <w:tr>
        <w:tc>
          <w:tcPr/>
          <w:p>
            <w:pPr>
              <w:pStyle w:val="Compact"/>
            </w:pPr>
            <w:r>
              <w:t xml:space="preserve">2</w:t>
            </w:r>
            <m:oMath>
              <m:r>
                <m:rPr>
                  <m:sty m:val="p"/>
                </m:rPr>
                <m:t>×</m:t>
              </m:r>
            </m:oMath>
          </w:p>
        </w:tc>
        <w:tc>
          <w:tcPr/>
          <w:p>
            <w:pPr>
              <w:pStyle w:val="Compact"/>
            </w:pPr>
            <w:r>
              <w:rPr>
                <w:b/>
                <w:bCs/>
              </w:rPr>
              <w:t xml:space="preserve">0.9971</w:t>
            </w:r>
          </w:p>
        </w:tc>
        <w:tc>
          <w:tcPr/>
          <w:p>
            <w:pPr>
              <w:pStyle w:val="Compact"/>
            </w:pPr>
            <w:r>
              <w:t xml:space="preserve">0.9967</w:t>
            </w:r>
          </w:p>
        </w:tc>
        <w:tc>
          <w:tcPr/>
          <w:p>
            <w:pPr>
              <w:pStyle w:val="Compact"/>
            </w:pPr>
            <w:r>
              <w:t xml:space="preserve">0.9968</w:t>
            </w:r>
          </w:p>
        </w:tc>
      </w:tr>
      <w:tr>
        <w:tc>
          <w:tcPr/>
          <w:p>
            <w:pPr>
              <w:pStyle w:val="Compact"/>
            </w:pPr>
            <w:r>
              <w:t xml:space="preserve">4</w:t>
            </w:r>
            <m:oMath>
              <m:r>
                <m:rPr>
                  <m:sty m:val="p"/>
                </m:rPr>
                <m:t>×</m:t>
              </m:r>
            </m:oMath>
          </w:p>
        </w:tc>
        <w:tc>
          <w:tcPr/>
          <w:p>
            <w:pPr>
              <w:pStyle w:val="Compact"/>
            </w:pPr>
            <w:r>
              <w:rPr>
                <w:b/>
                <w:bCs/>
              </w:rPr>
              <w:t xml:space="preserve">0.9979</w:t>
            </w:r>
          </w:p>
        </w:tc>
        <w:tc>
          <w:tcPr/>
          <w:p>
            <w:pPr>
              <w:pStyle w:val="Compact"/>
            </w:pPr>
            <w:r>
              <w:t xml:space="preserve">0.9975</w:t>
            </w:r>
          </w:p>
        </w:tc>
        <w:tc>
          <w:tcPr/>
          <w:p>
            <w:pPr>
              <w:pStyle w:val="Compact"/>
            </w:pPr>
            <w:r>
              <w:t xml:space="preserve">0.9973</w:t>
            </w:r>
          </w:p>
        </w:tc>
      </w:tr>
    </w:tbl>
    <w:p>
      <w:pPr>
        <w:pStyle w:val="BodyText"/>
      </w:pPr>
      <w:r>
        <w:rPr>
          <w:i/>
          <w:iCs/>
        </w:rPr>
        <w:t xml:space="preserve">Ultra-rare (MAF 0–0.5%)</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t xml:space="preserve">0.8997</w:t>
            </w:r>
          </w:p>
        </w:tc>
        <w:tc>
          <w:tcPr/>
          <w:p>
            <w:pPr>
              <w:pStyle w:val="Compact"/>
            </w:pPr>
            <w:r>
              <w:rPr>
                <w:b/>
                <w:bCs/>
              </w:rPr>
              <w:t xml:space="preserve">0.9023</w:t>
            </w:r>
          </w:p>
        </w:tc>
        <w:tc>
          <w:tcPr/>
          <w:p>
            <w:pPr>
              <w:pStyle w:val="Compact"/>
            </w:pPr>
            <w:r>
              <w:t xml:space="preserve">0.8864</w:t>
            </w:r>
          </w:p>
        </w:tc>
      </w:tr>
      <w:tr>
        <w:tc>
          <w:tcPr/>
          <w:p>
            <w:pPr>
              <w:pStyle w:val="Compact"/>
            </w:pPr>
            <w:r>
              <w:t xml:space="preserve">1</w:t>
            </w:r>
            <m:oMath>
              <m:r>
                <m:rPr>
                  <m:sty m:val="p"/>
                </m:rPr>
                <m:t>×</m:t>
              </m:r>
            </m:oMath>
          </w:p>
        </w:tc>
        <w:tc>
          <w:tcPr/>
          <w:p>
            <w:pPr>
              <w:pStyle w:val="Compact"/>
            </w:pPr>
            <w:r>
              <w:t xml:space="preserve">0.9243</w:t>
            </w:r>
          </w:p>
        </w:tc>
        <w:tc>
          <w:tcPr/>
          <w:p>
            <w:pPr>
              <w:pStyle w:val="Compact"/>
            </w:pPr>
            <w:r>
              <w:rPr>
                <w:b/>
                <w:bCs/>
              </w:rPr>
              <w:t xml:space="preserve">0.9252</w:t>
            </w:r>
          </w:p>
        </w:tc>
        <w:tc>
          <w:tcPr/>
          <w:p>
            <w:pPr>
              <w:pStyle w:val="Compact"/>
            </w:pPr>
            <w:r>
              <w:t xml:space="preserve">0.9150</w:t>
            </w:r>
          </w:p>
        </w:tc>
      </w:tr>
      <w:tr>
        <w:tc>
          <w:tcPr/>
          <w:p>
            <w:pPr>
              <w:pStyle w:val="Compact"/>
            </w:pPr>
            <w:r>
              <w:t xml:space="preserve">2</w:t>
            </w:r>
            <m:oMath>
              <m:r>
                <m:rPr>
                  <m:sty m:val="p"/>
                </m:rPr>
                <m:t>×</m:t>
              </m:r>
            </m:oMath>
          </w:p>
        </w:tc>
        <w:tc>
          <w:tcPr/>
          <w:p>
            <w:pPr>
              <w:pStyle w:val="Compact"/>
            </w:pPr>
            <w:r>
              <w:rPr>
                <w:b/>
                <w:bCs/>
              </w:rPr>
              <w:t xml:space="preserve">0.9522</w:t>
            </w:r>
          </w:p>
        </w:tc>
        <w:tc>
          <w:tcPr/>
          <w:p>
            <w:pPr>
              <w:pStyle w:val="Compact"/>
            </w:pPr>
            <w:r>
              <w:t xml:space="preserve">0.9495</w:t>
            </w:r>
          </w:p>
        </w:tc>
        <w:tc>
          <w:tcPr/>
          <w:p>
            <w:pPr>
              <w:pStyle w:val="Compact"/>
            </w:pPr>
            <w:r>
              <w:t xml:space="preserve">0.9415</w:t>
            </w:r>
          </w:p>
        </w:tc>
      </w:tr>
      <w:tr>
        <w:tc>
          <w:tcPr/>
          <w:p>
            <w:pPr>
              <w:pStyle w:val="Compact"/>
            </w:pPr>
            <w:r>
              <w:t xml:space="preserve">4</w:t>
            </w:r>
            <m:oMath>
              <m:r>
                <m:rPr>
                  <m:sty m:val="p"/>
                </m:rPr>
                <m:t>×</m:t>
              </m:r>
            </m:oMath>
          </w:p>
        </w:tc>
        <w:tc>
          <w:tcPr/>
          <w:p>
            <w:pPr>
              <w:pStyle w:val="Compact"/>
            </w:pPr>
            <w:r>
              <w:rPr>
                <w:b/>
                <w:bCs/>
              </w:rPr>
              <w:t xml:space="preserve">0.9704</w:t>
            </w:r>
          </w:p>
        </w:tc>
        <w:tc>
          <w:tcPr/>
          <w:p>
            <w:pPr>
              <w:pStyle w:val="Compact"/>
            </w:pPr>
            <w:r>
              <w:t xml:space="preserve">0.9638</w:t>
            </w:r>
          </w:p>
        </w:tc>
        <w:tc>
          <w:tcPr/>
          <w:p>
            <w:pPr>
              <w:pStyle w:val="Compact"/>
            </w:pPr>
            <w:r>
              <w:t xml:space="preserve">0.9437</w:t>
            </w:r>
          </w:p>
        </w:tc>
      </w:tr>
    </w:tbl>
    <w:bookmarkEnd w:id="41"/>
    <w:bookmarkEnd w:id="42"/>
    <w:bookmarkStart w:id="43" w:name="discussion"/>
    <w:p>
      <w:pPr>
        <w:pStyle w:val="Heading1"/>
      </w:pPr>
      <w:r>
        <w:rPr>
          <w:b/>
          <w:bCs/>
        </w:rPr>
        <w:t xml:space="preserve">Discussion</w:t>
      </w:r>
    </w:p>
    <w:p>
      <w:pPr>
        <w:pStyle w:val="FirstParagraph"/>
      </w:pPr>
      <w:r>
        <w:t xml:space="preserve">We presented Selphi 2, a reimplementation of the Selphi genotype imputation algorithm</w:t>
      </w:r>
      <w:r>
        <w:t xml:space="preserve"> </w:t>
      </w:r>
      <w:r>
        <w:rPr>
          <w:vertAlign w:val="superscript"/>
        </w:rPr>
        <w:t xml:space="preserve">1</w:t>
      </w:r>
      <w:r>
        <w:t xml:space="preserve"> </w:t>
      </w:r>
      <w: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t xml:space="preserve"> </w:t>
      </w:r>
      <m:oMath>
        <m:sSup>
          <m:e>
            <m:r>
              <m:t>R</m:t>
            </m:r>
          </m:e>
          <m:sup>
            <m:r>
              <m:t>2</m:t>
            </m:r>
          </m:sup>
        </m:sSup>
      </m:oMath>
      <w:r>
        <w:t xml:space="preserve"> </w:t>
      </w:r>
      <w:r>
        <w:t xml:space="preserve">by 0.0105 (chr22) and 0.0099 (chr1) while reducing peak memory by ~39% on chromosome 22 (comparable on chromosome 1). On the TOPMed panel, Selphi 2 exceeds Beagle 5.5 in overall</w:t>
      </w:r>
      <w:r>
        <w:t xml:space="preserve"> </w:t>
      </w:r>
      <m:oMath>
        <m:sSup>
          <m:e>
            <m:r>
              <m:t>R</m:t>
            </m:r>
          </m:e>
          <m:sup>
            <m:r>
              <m:t>2</m:t>
            </m:r>
          </m:sup>
        </m:sSup>
      </m:oMath>
      <w:r>
        <w:t xml:space="preserve"> </w:t>
      </w:r>
      <w: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t xml:space="preserve"> </w:t>
      </w:r>
      <m:oMath>
        <m:sSup>
          <m:e>
            <m:r>
              <m:t>R</m:t>
            </m:r>
          </m:e>
          <m:sup>
            <m:r>
              <m:t>2</m:t>
            </m:r>
          </m:sup>
        </m:sSup>
      </m:oMath>
      <w:r>
        <w:t xml:space="preserve"> </w:t>
      </w:r>
      <w:r>
        <w:t xml:space="preserve">on chr21 (where rare variants are accessible), while running 16–50</w:t>
      </w:r>
      <m:oMath>
        <m:r>
          <m:rPr>
            <m:sty m:val="p"/>
          </m:rPr>
          <m:t>×</m:t>
        </m:r>
      </m:oMath>
      <w:r>
        <w:t xml:space="preserve"> </w:t>
      </w:r>
      <w:r>
        <w:t xml:space="preserve">faster than Selphi 1.5.3 and up to 1.7</w:t>
      </w:r>
      <m:oMath>
        <m:r>
          <m:rPr>
            <m:sty m:val="p"/>
          </m:rPr>
          <m:t>×</m:t>
        </m:r>
      </m:oMath>
      <w:r>
        <w:t xml:space="preserve"> </w:t>
      </w:r>
      <w:r>
        <w:t xml:space="preserve">faster than Beagle 5.5.</w:t>
      </w:r>
    </w:p>
    <w:p>
      <w:pPr>
        <w:pStyle w:val="BodyText"/>
      </w:pPr>
      <w:r>
        <w:t xml:space="preserve">Selphi 2 occupies a different position in the imputation landscape from the four main existing tools. Beagle 5.5</w:t>
      </w:r>
      <w:r>
        <w:t xml:space="preserve"> </w:t>
      </w:r>
      <w:r>
        <w:rPr>
          <w:vertAlign w:val="superscript"/>
        </w:rPr>
        <w:t xml:space="preserve">7,8</w:t>
      </w:r>
      <w:r>
        <w:t xml:space="preserve"> </w:t>
      </w:r>
      <w: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t xml:space="preserve"> </w:t>
      </w:r>
      <m:oMath>
        <m:sSup>
          <m:e>
            <m:r>
              <m:t>R</m:t>
            </m:r>
          </m:e>
          <m:sup>
            <m:r>
              <m:t>2</m:t>
            </m:r>
          </m:sup>
        </m:sSup>
      </m:oMath>
      <w:r>
        <w:t xml:space="preserve">, and on biobank-scale admixed cohorts its window-local composite-haplotype construction places it 0.024 below Selphi 2 in overall</w:t>
      </w:r>
      <w:r>
        <w:t xml:space="preserve"> </w:t>
      </w:r>
      <m:oMath>
        <m:sSup>
          <m:e>
            <m:r>
              <m:t>R</m:t>
            </m:r>
          </m:e>
          <m:sup>
            <m:r>
              <m:t>2</m:t>
            </m:r>
          </m:sup>
        </m:sSup>
      </m:oMath>
      <w:r>
        <w:t xml:space="preserve">. IMPUTE5</w:t>
      </w:r>
      <w:r>
        <w:t xml:space="preserve"> </w:t>
      </w:r>
      <w:r>
        <w:rPr>
          <w:vertAlign w:val="superscript"/>
        </w:rPr>
        <w:t xml:space="preserve">6</w:t>
      </w:r>
      <w:r>
        <w:t xml:space="preserve"> </w:t>
      </w:r>
      <w:r>
        <w:t xml:space="preserve">uses PBWT-based haplotype selection with sub-linear scaling but requires pre-phased input from an external phaser and processes per chromosome. Minimac4</w:t>
      </w:r>
      <w:r>
        <w:t xml:space="preserve"> </w:t>
      </w:r>
      <w:r>
        <w:rPr>
          <w:vertAlign w:val="superscript"/>
        </w:rPr>
        <w:t xml:space="preserve">9</w:t>
      </w:r>
      <w:r>
        <w:t xml:space="preserve"> </w:t>
      </w:r>
      <w: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t xml:space="preserve"> </w:t>
      </w:r>
      <m:oMath>
        <m:sSup>
          <m:e>
            <m:r>
              <m:t>R</m:t>
            </m:r>
          </m:e>
          <m:sup>
            <m:r>
              <m:t>2</m:t>
            </m:r>
          </m:sup>
        </m:sSup>
      </m:oMath>
      <w:r>
        <w:t xml:space="preserve"> </w:t>
      </w:r>
      <w:r>
        <w:t xml:space="preserve">(Minimac4 0.4688, IMPUTE5 0.4594, versus 0.4832; Table 1), reproducing for Selphi 2 the accuracy ordering that Selphi 1 reported against the same three tools. SHAPEIT5</w:t>
      </w:r>
      <w:r>
        <w:t xml:space="preserve"> </w:t>
      </w:r>
      <w:r>
        <w:rPr>
          <w:vertAlign w:val="superscript"/>
        </w:rPr>
        <w:t xml:space="preserve">11</w:t>
      </w:r>
      <w:r>
        <w:t xml:space="preserve"> </w:t>
      </w:r>
      <w: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t xml:space="preserve"> </w:t>
      </w:r>
      <w:r>
        <w:t xml:space="preserve">SHAPEIT5’s wall time on chromosome 22 (chromosome 1 SHAPEIT5 timing not measured).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t xml:space="preserve"> </w:t>
      </w:r>
      <w:r>
        <w:t xml:space="preserve">less memory and runs at 0.66</w:t>
      </w:r>
      <m:oMath>
        <m:r>
          <m:rPr>
            <m:sty m:val="p"/>
          </m:rPr>
          <m:t>×</m:t>
        </m:r>
      </m:oMath>
      <w:r>
        <w:t xml:space="preserve"> </w:t>
      </w:r>
      <w: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r>
        <w:t xml:space="preserve"> </w:t>
      </w:r>
      <w:r>
        <w:rPr>
          <w:vertAlign w:val="superscript"/>
        </w:rPr>
        <w:t xml:space="preserve">1</w:t>
      </w:r>
      <w:r>
        <w:t xml:space="preserve"> </w:t>
      </w:r>
      <w: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r>
        <w:t xml:space="preserve"> </w:t>
      </w:r>
      <w:r>
        <w:rPr>
          <w:vertAlign w:val="superscript"/>
        </w:rPr>
        <w:t xml:space="preserve">2</w:t>
      </w:r>
      <w:r>
        <w:t xml:space="preserve"> </w:t>
      </w:r>
      <w:r>
        <w:t xml:space="preserve">and QUILT2</w:t>
      </w:r>
      <w:r>
        <w:t xml:space="preserve"> </w:t>
      </w:r>
      <w:r>
        <w:rPr>
          <w:vertAlign w:val="superscript"/>
        </w:rPr>
        <w:t xml:space="preserve">16</w:t>
      </w:r>
      <w:r>
        <w:t xml:space="preserve"> </w:t>
      </w:r>
      <w:r>
        <w:t xml:space="preserve">target imputation from low-coverage sequencing rather than from genotyping arrays. Selphi 2 addresses this regime with its dedicated</w:t>
      </w:r>
      <w:r>
        <w:t xml:space="preserve"> </w:t>
      </w:r>
      <w:r>
        <w:rPr>
          <w:rStyle w:val="VerbatimChar"/>
        </w:rPr>
        <w:t xml:space="preserve">--lcwgs</w:t>
      </w:r>
      <w:r>
        <w:t xml:space="preserve"> </w:t>
      </w:r>
      <w:r>
        <w:t xml:space="preserve">engine (Methods; Results, Low-coverage sequencing imputation), so the two tools are now directly comparable on lcWGS input: on real low-coverage Genome in a Bottle sequencing (six samples, ~1.8</w:t>
      </w:r>
      <m:oMath>
        <m:r>
          <m:rPr>
            <m:sty m:val="p"/>
          </m:rPr>
          <m:t>×</m:t>
        </m:r>
      </m:oMath>
      <w:r>
        <w:t xml:space="preserve"> </w:t>
      </w:r>
      <w:r>
        <w:t xml:space="preserve">chromosome 22, leak-free panel) Selphi 2 exceeds GLIMPSE2 in per-sample</w:t>
      </w:r>
      <w:r>
        <w:t xml:space="preserve"> </w:t>
      </w:r>
      <m:oMath>
        <m:sSup>
          <m:e>
            <m:r>
              <m:t>R</m:t>
            </m:r>
          </m:e>
          <m:sup>
            <m:r>
              <m:t>2</m:t>
            </m:r>
          </m:sup>
        </m:sSup>
      </m:oMath>
      <w:r>
        <w:t xml:space="preserve"> </w:t>
      </w:r>
      <w: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t xml:space="preserve"> </w:t>
      </w:r>
      <w:r>
        <w:t xml:space="preserve">faster than GLIMPSE2 per sample, and the two tools are effectively tied at the rarest frequencies.</w:t>
      </w:r>
    </w:p>
    <w:p>
      <w:pPr>
        <w:pStyle w:val="BodyText"/>
      </w:pPr>
      <w:r>
        <w:t xml:space="preserve">The phasing experiments also separate the contribution of the phaser from that of the imputer. Imputing a 1000 Genomes array target (801 held-out samples) under a full phasing</w:t>
      </w:r>
      <w:r>
        <w:t xml:space="preserve"> </w:t>
      </w:r>
      <m:oMath>
        <m:r>
          <m:rPr>
            <m:sty m:val="p"/>
          </m:rPr>
          <m:t>×</m:t>
        </m:r>
      </m:oMath>
      <w:r>
        <w:t xml:space="preserve"> </w:t>
      </w:r>
      <w:r>
        <w:t xml:space="preserve">imputer matrix, the three phasings (Selphi 2, Beagle 5.5, SHAPEIT5) were practically interchangeable as imputation input — all pairwise overall-</w:t>
      </w:r>
      <m:oMath>
        <m:sSup>
          <m:e>
            <m:r>
              <m:t>R</m:t>
            </m:r>
          </m:e>
          <m:sup>
            <m:r>
              <m:t>2</m:t>
            </m:r>
          </m:sup>
        </m:sSup>
      </m:oMath>
      <w:r>
        <w:t xml:space="preserve"> </w:t>
      </w:r>
      <w:r>
        <w:t xml:space="preserve">differences were</w:t>
      </w:r>
      <w:r>
        <w:t xml:space="preserve"> </w:t>
      </w:r>
      <m:oMath>
        <m:r>
          <m:rPr>
            <m:sty m:val="p"/>
          </m:rPr>
          <m:t>≤</m:t>
        </m:r>
        <m:r>
          <m:t>0.002</m:t>
        </m:r>
      </m:oMath>
      <w:r>
        <w:t xml:space="preserve"> </w:t>
      </w:r>
      <w:r>
        <w:t xml:space="preserve">for a fixed imputer (an order of magnitude below the imputer effect, though formally distinguishable at this sample size) — whereas the choice of imputer moved overall</w:t>
      </w:r>
      <w:r>
        <w:t xml:space="preserve"> </w:t>
      </w:r>
      <m:oMath>
        <m:sSup>
          <m:e>
            <m:r>
              <m:t>R</m:t>
            </m:r>
          </m:e>
          <m:sup>
            <m:r>
              <m:t>2</m:t>
            </m:r>
          </m:sup>
        </m:sSup>
      </m:oMath>
      <w:r>
        <w:t xml:space="preserve"> </w:t>
      </w:r>
      <w: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t xml:space="preserve"> </w:t>
      </w:r>
      <m:oMath>
        <m:sSup>
          <m:e>
            <m:r>
              <m:t>R</m:t>
            </m:r>
          </m:e>
          <m:sup>
            <m:r>
              <m:t>2</m:t>
            </m:r>
          </m:sup>
        </m:sSup>
      </m:oMath>
      <w:r>
        <w:t xml:space="preserve">), confirming that the value of phasing for imputation lies in the information it adds, not in the choice of phasing algorithm among comparable tools.</w:t>
      </w:r>
    </w:p>
    <w:p>
      <w:pPr>
        <w:pStyle w:val="BodyText"/>
      </w:pPr>
      <w:r>
        <w:t xml:space="preserve">Several limitations of the present work bear discussion. First, at the rarest MAF bin (0.05–0.1%) on the 1000 Genomes panel, Beagle 5.5 narrowly outperforms Selphi 2 (</w:t>
      </w:r>
      <m:oMath>
        <m:r>
          <m:rPr>
            <m:sty m:val="p"/>
          </m:rPr>
          <m:t>Δ</m:t>
        </m:r>
      </m:oMath>
      <w:r>
        <w:t xml:space="preserve"> </w:t>
      </w:r>
      <w:r>
        <w:t xml:space="preserve">≈ -0.006 to -0.009</w:t>
      </w:r>
      <w:r>
        <w:t xml:space="preserve"> </w:t>
      </w:r>
      <m:oMath>
        <m:sSup>
          <m:e>
            <m:r>
              <m:t>R</m:t>
            </m:r>
          </m:e>
          <m:sup>
            <m:r>
              <m:t>2</m:t>
            </m:r>
          </m:sup>
        </m:sSup>
      </m:oMath>
      <w: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t xml:space="preserve"> </w:t>
      </w:r>
      <m:oMath>
        <m:sSup>
          <m:e>
            <m:r>
              <m:t>R</m:t>
            </m:r>
          </m:e>
          <m:sup>
            <m:r>
              <m:t>2</m:t>
            </m:r>
          </m:sup>
        </m:sSup>
      </m:oMath>
      <w:r>
        <w:t xml:space="preserve"> </w:t>
      </w:r>
      <w:r>
        <w:t xml:space="preserve">at every density (e.g. +0.0013</w:t>
      </w:r>
      <w:r>
        <w:t xml:space="preserve"> </w:t>
      </w:r>
      <m:oMath>
        <m:sSup>
          <m:e>
            <m:r>
              <m:t>R</m:t>
            </m:r>
          </m:e>
          <m:sup>
            <m:r>
              <m:t>2</m:t>
            </m:r>
          </m:sup>
        </m:sSup>
      </m:oMath>
      <w:r>
        <w:t xml:space="preserve"> </w:t>
      </w:r>
      <w:r>
        <w:t xml:space="preserve">on chr22 1000 Genomes; +0.0018</w:t>
      </w:r>
      <w:r>
        <w:t xml:space="preserve"> </w:t>
      </w:r>
      <m:oMath>
        <m:sSup>
          <m:e>
            <m:r>
              <m:t>R</m:t>
            </m:r>
          </m:e>
          <m:sup>
            <m:r>
              <m:t>2</m:t>
            </m:r>
          </m:sup>
        </m:sSup>
      </m:oMath>
      <w:r>
        <w:t xml:space="preserve"> </w:t>
      </w:r>
      <w:r>
        <w:t xml:space="preserve">genome-wide on the consumer-array set), wins phasing switch-error, and runs roughly 2.5</w:t>
      </w:r>
      <m:oMath>
        <m:r>
          <m:rPr>
            <m:sty m:val="p"/>
          </m:rPr>
          <m:t>×</m:t>
        </m:r>
      </m:oMath>
      <w:r>
        <w:t xml:space="preserve"> </w:t>
      </w:r>
      <w: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t xml:space="preserve"> </w:t>
      </w:r>
      <m:oMath>
        <m:sSup>
          <m:e>
            <m:r>
              <m:t>R</m:t>
            </m:r>
          </m:e>
          <m:sup>
            <m:r>
              <m:t>2</m:t>
            </m:r>
          </m:sup>
        </m:sSup>
      </m:oMath>
      <w:r>
        <w:t xml:space="preserve"> </w:t>
      </w:r>
      <w: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t xml:space="preserve">,</w:t>
      </w:r>
      <w:r>
        <w:t xml:space="preserve"> </w:t>
      </w:r>
      <m:oMath>
        <m:r>
          <m:t>α</m:t>
        </m:r>
      </m:oMath>
      <w: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t xml:space="preserve"> </w:t>
      </w:r>
      <w:r>
        <w:t xml:space="preserve">Beagle on MESA 5K</w:t>
      </w:r>
      <w:r>
        <w:t xml:space="preserve"> </w:t>
      </w:r>
      <m:oMath>
        <m:r>
          <m:rPr>
            <m:sty m:val="p"/>
          </m:rPr>
          <m:t>×</m:t>
        </m:r>
      </m:oMath>
      <w:r>
        <w:t xml:space="preserve"> </w:t>
      </w:r>
      <w:r>
        <w:t xml:space="preserve">TOPMed chr20); for use cases where rare-variant accuracy is not the priority, users may set a smaller fixed</w:t>
      </w:r>
      <w:r>
        <w:t xml:space="preserve"> </w:t>
      </w:r>
      <m:oMath>
        <m:sSub>
          <m:e>
            <m:r>
              <m:t>m</m:t>
            </m:r>
          </m:e>
          <m:sub>
            <m:r>
              <m:t>c</m:t>
            </m:r>
          </m:sub>
        </m:sSub>
      </m:oMath>
      <w:r>
        <w:t xml:space="preserve"> </w:t>
      </w:r>
      <w:r>
        <w:t xml:space="preserve">to recover faster runtime. Relatedly, on the consumer-array benchmark against high-coverage WGS truth (Results, Table 3), Selphi 2’s imputer exceeds Beagle 5.5 when both are given identical phasing (SNP</w:t>
      </w:r>
      <w:r>
        <w:t xml:space="preserve"> </w:t>
      </w:r>
      <m:oMath>
        <m:sSup>
          <m:e>
            <m:r>
              <m:t>R</m:t>
            </m:r>
          </m:e>
          <m:sup>
            <m:r>
              <m:t>2</m:t>
            </m:r>
          </m:sup>
        </m:sSup>
      </m:oMath>
      <w:r>
        <w:t xml:space="preserve"> </w:t>
      </w:r>
      <w:r>
        <w:t xml:space="preserve">0.9601 versus 0.9584; indel 0.7911 versus 0.7840). Earlier versions of Selphi 2’s own internal phasing trailed Beagle by ≈0.003</w:t>
      </w:r>
      <w:r>
        <w:t xml:space="preserve"> </w:t>
      </w:r>
      <m:oMath>
        <m:sSup>
          <m:e>
            <m:r>
              <m:t>R</m:t>
            </m:r>
          </m:e>
          <m:sup>
            <m:r>
              <m:t>2</m:t>
            </m:r>
          </m:sup>
        </m:sSup>
      </m:oMath>
      <w:r>
        <w:t xml:space="preserve"> </w:t>
      </w:r>
      <w: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t xml:space="preserve"> </w:t>
      </w:r>
      <w: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bookmarkEnd w:id="43"/>
    <w:bookmarkStart w:id="44" w:name="data-availability"/>
    <w:p>
      <w:pPr>
        <w:pStyle w:val="Heading1"/>
      </w:pPr>
      <w:r>
        <w:rPr>
          <w:b/>
          <w:bCs/>
        </w:rPr>
        <w:t xml:space="preserve">Data availability</w:t>
      </w:r>
    </w:p>
    <w:p>
      <w:pPr>
        <w:pStyle w:val="FirstParagraph"/>
      </w:pPr>
      <w:r>
        <w:t xml:space="preserve">The 1000 Genomes Project Phase 3 reference panel</w:t>
      </w:r>
      <w:r>
        <w:t xml:space="preserve"> </w:t>
      </w:r>
      <w:r>
        <w:rPr>
          <w:vertAlign w:val="superscript"/>
        </w:rPr>
        <w:t xml:space="preserve">14</w:t>
      </w:r>
      <w:r>
        <w:t xml:space="preserve"> </w:t>
      </w:r>
      <w:r>
        <w:t xml:space="preserve">and the Genome in a Bottle (GIAB) reference-sample sequencing and v4.2.1 high-confidence truth genotypes are publicly available. The TOPMed Freeze 8 reference panel</w:t>
      </w:r>
      <w:r>
        <w:t xml:space="preserve"> </w:t>
      </w:r>
      <w:r>
        <w:rPr>
          <w:vertAlign w:val="superscript"/>
        </w:rPr>
        <w:t xml:space="preserve">15</w:t>
      </w:r>
      <w:r>
        <w:t xml:space="preserve"> </w:t>
      </w:r>
      <w: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bookmarkEnd w:id="44"/>
    <w:bookmarkStart w:id="45" w:name="code-availability"/>
    <w:p>
      <w:pPr>
        <w:pStyle w:val="Heading1"/>
      </w:pPr>
      <w:r>
        <w:rPr>
          <w:b/>
          <w:bCs/>
        </w:rPr>
        <w:t xml:space="preserve">Code availability</w:t>
      </w:r>
    </w:p>
    <w:p>
      <w:pPr>
        <w:pStyle w:val="FirstParagraph"/>
      </w:pPr>
      <w: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bookmarkEnd w:id="45"/>
    <w:bookmarkStart w:id="46" w:name="author-contributions"/>
    <w:p>
      <w:pPr>
        <w:pStyle w:val="Heading1"/>
      </w:pPr>
      <w:r>
        <w:rPr>
          <w:b/>
          <w:bCs/>
        </w:rPr>
        <w:t xml:space="preserve">Author contributions</w:t>
      </w:r>
    </w:p>
    <w:p>
      <w:pPr>
        <w:pStyle w:val="FirstParagraph"/>
      </w:pPr>
      <w: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bookmarkEnd w:id="46"/>
    <w:bookmarkStart w:id="47" w:name="competing-interests"/>
    <w:p>
      <w:pPr>
        <w:pStyle w:val="Heading1"/>
      </w:pPr>
      <w:r>
        <w:rPr>
          <w:b/>
          <w:bCs/>
        </w:rPr>
        <w:t xml:space="preserve">Competing interests</w:t>
      </w:r>
    </w:p>
    <w:p>
      <w:pPr>
        <w:pStyle w:val="FirstParagraph"/>
      </w:pPr>
      <w: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bookmarkEnd w:id="47"/>
    <w:bookmarkStart w:id="48" w:name="references"/>
    <w:p>
      <w:pPr>
        <w:pStyle w:val="Heading1"/>
      </w:pPr>
      <w:r>
        <w:rPr>
          <w:b/>
          <w:bCs/>
        </w:rPr>
        <w:t xml:space="preserve">References</w:t>
      </w:r>
    </w:p>
    <w:p>
      <w:pPr>
        <w:pStyle w:val="Compact"/>
        <w:numPr>
          <w:ilvl w:val="0"/>
          <w:numId w:val="1001"/>
        </w:numPr>
      </w:pPr>
      <w:r>
        <w:t xml:space="preserve">De Marino A, Mahmoud AA, Bohn S, Lerga-Jaso J, Novković B, Manson C, Loguercio S, Terpolovsky A, Matushyn M, Torkamani A, Yazdi PG. Selphi, a tool for improving genotype imputation accuracy.</w:t>
      </w:r>
      <w:r>
        <w:t xml:space="preserve"> </w:t>
      </w:r>
      <w:r>
        <w:rPr>
          <w:i/>
          <w:iCs/>
        </w:rPr>
        <w:t xml:space="preserve">Sci Rep</w:t>
      </w:r>
      <w:r>
        <w:t xml:space="preserve">. 2026;16:58420. doi:10.1038/s41598-026-58420-2.</w:t>
      </w:r>
    </w:p>
    <w:p>
      <w:pPr>
        <w:pStyle w:val="Compact"/>
        <w:numPr>
          <w:ilvl w:val="0"/>
          <w:numId w:val="1001"/>
        </w:numPr>
      </w:pPr>
      <w:r>
        <w:t xml:space="preserve">Rubinacci S, Hofmeister RJ, Sousa da Mota B, Delaneau O. Imputation of low-coverage sequencing data from 150,119 UK Biobank genomes.</w:t>
      </w:r>
      <w:r>
        <w:t xml:space="preserve"> </w:t>
      </w:r>
      <w:r>
        <w:rPr>
          <w:i/>
          <w:iCs/>
        </w:rPr>
        <w:t xml:space="preserve">Nat Genet</w:t>
      </w:r>
      <w:r>
        <w:t xml:space="preserve">. 2023;55(7):1088-1096.</w:t>
      </w:r>
    </w:p>
    <w:p>
      <w:pPr>
        <w:pStyle w:val="Compact"/>
        <w:numPr>
          <w:ilvl w:val="0"/>
          <w:numId w:val="1001"/>
        </w:numPr>
      </w:pPr>
      <w:r>
        <w:t xml:space="preserve">McCarthy S, Das S, Kretzschmar W, et al. A reference panel of 64,976 haplotypes for genotype imputation.</w:t>
      </w:r>
      <w:r>
        <w:t xml:space="preserve"> </w:t>
      </w:r>
      <w:r>
        <w:rPr>
          <w:i/>
          <w:iCs/>
        </w:rPr>
        <w:t xml:space="preserve">Nat Genet</w:t>
      </w:r>
      <w:r>
        <w:t xml:space="preserve">. 2016;48(10):1279-1283.</w:t>
      </w:r>
    </w:p>
    <w:p>
      <w:pPr>
        <w:pStyle w:val="Compact"/>
        <w:numPr>
          <w:ilvl w:val="0"/>
          <w:numId w:val="1001"/>
        </w:numPr>
      </w:pPr>
      <w:r>
        <w:t xml:space="preserve">Li N, Stephens M. Modeling linkage disequilibrium and identifying recombination hotspots using single-nucleotide polymorphism data.</w:t>
      </w:r>
      <w:r>
        <w:t xml:space="preserve"> </w:t>
      </w:r>
      <w:r>
        <w:rPr>
          <w:i/>
          <w:iCs/>
        </w:rPr>
        <w:t xml:space="preserve">Genetics</w:t>
      </w:r>
      <w:r>
        <w:t xml:space="preserve">. 2003;165(4):2213-2233.</w:t>
      </w:r>
    </w:p>
    <w:p>
      <w:pPr>
        <w:pStyle w:val="Compact"/>
        <w:numPr>
          <w:ilvl w:val="0"/>
          <w:numId w:val="1001"/>
        </w:numPr>
      </w:pPr>
      <w:r>
        <w:t xml:space="preserve">Durbin R. Efficient haplotype matching and storage using the positional Burrows-Wheeler transform (PBWT).</w:t>
      </w:r>
      <w:r>
        <w:t xml:space="preserve"> </w:t>
      </w:r>
      <w:r>
        <w:rPr>
          <w:i/>
          <w:iCs/>
        </w:rPr>
        <w:t xml:space="preserve">Bioinformatics</w:t>
      </w:r>
      <w:r>
        <w:t xml:space="preserve">. 2014;30(9):1266-1272.</w:t>
      </w:r>
    </w:p>
    <w:p>
      <w:pPr>
        <w:pStyle w:val="Compact"/>
        <w:numPr>
          <w:ilvl w:val="0"/>
          <w:numId w:val="1001"/>
        </w:numPr>
      </w:pPr>
      <w:r>
        <w:t xml:space="preserve">Rubinacci S, Delaneau O, Marchini J. Genotype imputation using the Positional Burrows Wheeler Transform.</w:t>
      </w:r>
      <w:r>
        <w:t xml:space="preserve"> </w:t>
      </w:r>
      <w:r>
        <w:rPr>
          <w:i/>
          <w:iCs/>
        </w:rPr>
        <w:t xml:space="preserve">PLoS Genet</w:t>
      </w:r>
      <w:r>
        <w:t xml:space="preserve">. 2020;16(11):e1009049.</w:t>
      </w:r>
    </w:p>
    <w:p>
      <w:pPr>
        <w:pStyle w:val="Compact"/>
        <w:numPr>
          <w:ilvl w:val="0"/>
          <w:numId w:val="1001"/>
        </w:numPr>
      </w:pPr>
      <w:r>
        <w:t xml:space="preserve">Browning BL, Zhou Y, Browning SR. A one-penny imputed genome from next-generation reference panels.</w:t>
      </w:r>
      <w:r>
        <w:t xml:space="preserve"> </w:t>
      </w:r>
      <w:r>
        <w:rPr>
          <w:i/>
          <w:iCs/>
        </w:rPr>
        <w:t xml:space="preserve">Am J Hum Genet</w:t>
      </w:r>
      <w:r>
        <w:t xml:space="preserve">. 2018;103(3):338-348.</w:t>
      </w:r>
    </w:p>
    <w:p>
      <w:pPr>
        <w:pStyle w:val="Compact"/>
        <w:numPr>
          <w:ilvl w:val="0"/>
          <w:numId w:val="1001"/>
        </w:numPr>
      </w:pPr>
      <w:r>
        <w:t xml:space="preserve">Browning BL, Browning SR. Statistical phasing of 150,119 sequenced genomes in the UK Biobank.</w:t>
      </w:r>
      <w:r>
        <w:t xml:space="preserve"> </w:t>
      </w:r>
      <w:r>
        <w:rPr>
          <w:i/>
          <w:iCs/>
        </w:rPr>
        <w:t xml:space="preserve">Am J Hum Genet</w:t>
      </w:r>
      <w:r>
        <w:t xml:space="preserve">. 2023;110(1):161-165.</w:t>
      </w:r>
    </w:p>
    <w:p>
      <w:pPr>
        <w:pStyle w:val="Compact"/>
        <w:numPr>
          <w:ilvl w:val="0"/>
          <w:numId w:val="1001"/>
        </w:numPr>
      </w:pPr>
      <w:r>
        <w:t xml:space="preserve">Das S, Forer L, Schönherr S, et al. Next-generation genotype imputation service and methods.</w:t>
      </w:r>
      <w:r>
        <w:t xml:space="preserve"> </w:t>
      </w:r>
      <w:r>
        <w:rPr>
          <w:i/>
          <w:iCs/>
        </w:rPr>
        <w:t xml:space="preserve">Nat Genet</w:t>
      </w:r>
      <w:r>
        <w:t xml:space="preserve">. 2016;48(10):1284-1287.</w:t>
      </w:r>
    </w:p>
    <w:p>
      <w:pPr>
        <w:pStyle w:val="Compact"/>
        <w:numPr>
          <w:ilvl w:val="0"/>
          <w:numId w:val="1001"/>
        </w:numPr>
      </w:pPr>
      <w:r>
        <w:t xml:space="preserve">Loh PR, Danecek P, Palamara PF, et al. Reference-based phasing using the Haplotype Reference Consortium panel.</w:t>
      </w:r>
      <w:r>
        <w:t xml:space="preserve"> </w:t>
      </w:r>
      <w:r>
        <w:rPr>
          <w:i/>
          <w:iCs/>
        </w:rPr>
        <w:t xml:space="preserve">Nat Genet</w:t>
      </w:r>
      <w:r>
        <w:t xml:space="preserve">. 2016;48(11):1443-1448.</w:t>
      </w:r>
    </w:p>
    <w:p>
      <w:pPr>
        <w:pStyle w:val="Compact"/>
        <w:numPr>
          <w:ilvl w:val="0"/>
          <w:numId w:val="1001"/>
        </w:numPr>
      </w:pPr>
      <w:r>
        <w:t xml:space="preserve">Hofmeister RJ, Ribeiro DM, Rubinacci S, Delaneau O. Accurate rare variant phasing of whole-genome and whole-exome sequencing data in the UK Biobank.</w:t>
      </w:r>
      <w:r>
        <w:t xml:space="preserve"> </w:t>
      </w:r>
      <w:r>
        <w:rPr>
          <w:i/>
          <w:iCs/>
        </w:rPr>
        <w:t xml:space="preserve">Nat Genet</w:t>
      </w:r>
      <w:r>
        <w:t xml:space="preserve">. 2023;55(7):1243-1249.</w:t>
      </w:r>
    </w:p>
    <w:p>
      <w:pPr>
        <w:pStyle w:val="Compact"/>
        <w:numPr>
          <w:ilvl w:val="0"/>
          <w:numId w:val="1001"/>
        </w:numPr>
      </w:pPr>
      <w:r>
        <w:t xml:space="preserve">O’Connell J, Sharp K, Shrine N, et al. Haplotype estimation for biobank-scale data sets.</w:t>
      </w:r>
      <w:r>
        <w:t xml:space="preserve"> </w:t>
      </w:r>
      <w:r>
        <w:rPr>
          <w:i/>
          <w:iCs/>
        </w:rPr>
        <w:t xml:space="preserve">Nat Genet</w:t>
      </w:r>
      <w:r>
        <w:t xml:space="preserve">. 2016;48(7):817-820.</w:t>
      </w:r>
    </w:p>
    <w:p>
      <w:pPr>
        <w:pStyle w:val="Compact"/>
        <w:numPr>
          <w:ilvl w:val="0"/>
          <w:numId w:val="1001"/>
        </w:numPr>
      </w:pPr>
      <w:r>
        <w:t xml:space="preserve">Chang CC, Chow CC, Tellier LC, Vattikuti S, Purcell SM, Lee JJ. Second-generation PLINK: rising to the challenge of larger and richer datasets.</w:t>
      </w:r>
      <w:r>
        <w:t xml:space="preserve"> </w:t>
      </w:r>
      <w:r>
        <w:rPr>
          <w:i/>
          <w:iCs/>
        </w:rPr>
        <w:t xml:space="preserve">GigaScience</w:t>
      </w:r>
      <w:r>
        <w:t xml:space="preserve">. 2015;4(1):7.</w:t>
      </w:r>
    </w:p>
    <w:p>
      <w:pPr>
        <w:pStyle w:val="Compact"/>
        <w:numPr>
          <w:ilvl w:val="0"/>
          <w:numId w:val="1001"/>
        </w:numPr>
      </w:pPr>
      <w:r>
        <w:t xml:space="preserve">1000 Genomes Project Consortium. A global reference for human genetic variation.</w:t>
      </w:r>
      <w:r>
        <w:t xml:space="preserve"> </w:t>
      </w:r>
      <w:r>
        <w:rPr>
          <w:i/>
          <w:iCs/>
        </w:rPr>
        <w:t xml:space="preserve">Nature</w:t>
      </w:r>
      <w:r>
        <w:t xml:space="preserve">. 2015;526(7571):68-74.</w:t>
      </w:r>
    </w:p>
    <w:p>
      <w:pPr>
        <w:pStyle w:val="Compact"/>
        <w:numPr>
          <w:ilvl w:val="0"/>
          <w:numId w:val="1001"/>
        </w:numPr>
      </w:pPr>
      <w:r>
        <w:t xml:space="preserve">Taliun D, Harris DN, Kessler MD, et al. Sequencing of 53,831 diverse genomes from the NHLBI TOPMed Program.</w:t>
      </w:r>
      <w:r>
        <w:t xml:space="preserve"> </w:t>
      </w:r>
      <w:r>
        <w:rPr>
          <w:i/>
          <w:iCs/>
        </w:rPr>
        <w:t xml:space="preserve">Nature</w:t>
      </w:r>
      <w:r>
        <w:t xml:space="preserve">. 2021;590(7845):290-299. doi:10.1038/s41586-021-03205-y.</w:t>
      </w:r>
    </w:p>
    <w:p>
      <w:pPr>
        <w:pStyle w:val="Compact"/>
        <w:numPr>
          <w:ilvl w:val="0"/>
          <w:numId w:val="1001"/>
        </w:numPr>
      </w:pPr>
      <w:r>
        <w:t xml:space="preserve">Li Z, Albrechtsen A, Davies RW. Flexible read-aware genotype imputation from sequence using biobank sized reference panels.</w:t>
      </w:r>
      <w:r>
        <w:t xml:space="preserve"> </w:t>
      </w:r>
      <w:r>
        <w:rPr>
          <w:i/>
          <w:iCs/>
        </w:rPr>
        <w:t xml:space="preserve">Nat Commun</w:t>
      </w:r>
      <w:r>
        <w:t xml:space="preserve">. 2026;17:524.</w:t>
      </w:r>
    </w:p>
    <w:p>
      <w:pPr>
        <w:pStyle w:val="Compact"/>
        <w:numPr>
          <w:ilvl w:val="0"/>
          <w:numId w:val="1001"/>
        </w:numPr>
      </w:pPr>
      <w:r>
        <w:t xml:space="preserve">Zook JM, McDaniel J, Olson ND, et al. An open resource for accurately benchmarking small variant and reference calls.</w:t>
      </w:r>
      <w:r>
        <w:t xml:space="preserve"> </w:t>
      </w:r>
      <w:r>
        <w:rPr>
          <w:i/>
          <w:iCs/>
        </w:rPr>
        <w:t xml:space="preserve">Nat Biotechnol</w:t>
      </w:r>
      <w:r>
        <w:t xml:space="preserve">. 2019;37(5):561-566.</w:t>
      </w:r>
    </w:p>
    <w:p>
      <w:pPr>
        <w:pStyle w:val="Compact"/>
        <w:numPr>
          <w:ilvl w:val="0"/>
          <w:numId w:val="1001"/>
        </w:numPr>
      </w:pPr>
      <w:r>
        <w:t xml:space="preserve">Stone N, Matsakis N. Rayon: a data parallelism library for Rust. https://github.com/rayon-rs/rayon (accessed 2026).</w:t>
      </w:r>
    </w:p>
    <w:p>
      <w:pPr>
        <w:pStyle w:val="Compact"/>
        <w:numPr>
          <w:ilvl w:val="0"/>
          <w:numId w:val="1001"/>
        </w:numPr>
      </w:pPr>
      <w:r>
        <w:t xml:space="preserve">Browning SR, Browning BL. Rapid and accurate haplotype phasing and missing-data inference for whole-genome association studies by use of localized haplotype clustering.</w:t>
      </w:r>
      <w:r>
        <w:t xml:space="preserve"> </w:t>
      </w:r>
      <w:r>
        <w:rPr>
          <w:i/>
          <w:iCs/>
        </w:rPr>
        <w:t xml:space="preserve">Am J Hum Genet</w:t>
      </w:r>
      <w:r>
        <w:t xml:space="preserve">. 2007;81(5):1084-1097.</w:t>
      </w:r>
    </w:p>
    <w:p>
      <w:pPr>
        <w:pStyle w:val="Compact"/>
        <w:numPr>
          <w:ilvl w:val="0"/>
          <w:numId w:val="1001"/>
        </w:numPr>
      </w:pPr>
      <w:r>
        <w:t xml:space="preserve">Dempster AP, Laird NM, Rubin DB. Maximum likelihood from incomplete data via the EM algorithm.</w:t>
      </w:r>
      <w:r>
        <w:t xml:space="preserve"> </w:t>
      </w:r>
      <w:r>
        <w:rPr>
          <w:i/>
          <w:iCs/>
        </w:rPr>
        <w:t xml:space="preserve">J R Stat Soc Ser B</w:t>
      </w:r>
      <w:r>
        <w:t xml:space="preserve">. 1977;39(1):1-38.</w:t>
      </w:r>
    </w:p>
    <w:p>
      <w:pPr>
        <w:pStyle w:val="Compact"/>
        <w:numPr>
          <w:ilvl w:val="0"/>
          <w:numId w:val="1001"/>
        </w:numPr>
      </w:pPr>
      <w:r>
        <w:t xml:space="preserve">Delaneau O, Zagury JF, Robinson MR, Marchini JL, Dermitzakis ET. Accurate, scalable and integrative haplotype estimation.</w:t>
      </w:r>
      <w:r>
        <w:t xml:space="preserve"> </w:t>
      </w:r>
      <w:r>
        <w:rPr>
          <w:i/>
          <w:iCs/>
        </w:rPr>
        <w:t xml:space="preserve">Nat Commun</w:t>
      </w:r>
      <w:r>
        <w:t xml:space="preserve">. 2019;10(1):5436.</w:t>
      </w:r>
    </w:p>
    <w:p>
      <w:pPr>
        <w:pStyle w:val="Compact"/>
        <w:numPr>
          <w:ilvl w:val="0"/>
          <w:numId w:val="1001"/>
        </w:numPr>
      </w:pPr>
      <w:r>
        <w:t xml:space="preserve">Browning SR, Browning BL. Identity by descent between distant relatives: detection and applications.</w:t>
      </w:r>
      <w:r>
        <w:t xml:space="preserve"> </w:t>
      </w:r>
      <w:r>
        <w:rPr>
          <w:i/>
          <w:iCs/>
        </w:rPr>
        <w:t xml:space="preserve">Annu Rev Genet</w:t>
      </w:r>
      <w:r>
        <w:t xml:space="preserve">. 2012;46:617-633.</w:t>
      </w:r>
    </w:p>
    <w:p>
      <w:pPr>
        <w:pStyle w:val="Compact"/>
        <w:numPr>
          <w:ilvl w:val="0"/>
          <w:numId w:val="1001"/>
        </w:numPr>
      </w:pPr>
      <w:r>
        <w:t xml:space="preserve">Bycroft C, Freeman C, Petkova D, et al. The UK Biobank resource with deep phenotyping and genomic data.</w:t>
      </w:r>
      <w:r>
        <w:t xml:space="preserve"> </w:t>
      </w:r>
      <w:r>
        <w:rPr>
          <w:i/>
          <w:iCs/>
        </w:rPr>
        <w:t xml:space="preserve">Nature</w:t>
      </w:r>
      <w:r>
        <w:t xml:space="preserve">. 2018;562(7726):203-209.</w:t>
      </w:r>
    </w:p>
    <w:p>
      <w:pPr>
        <w:pStyle w:val="Compact"/>
        <w:numPr>
          <w:ilvl w:val="0"/>
          <w:numId w:val="1001"/>
        </w:numPr>
      </w:pPr>
      <w:r>
        <w:t xml:space="preserve">Browning BL, Browning SR. A unified approach to genotype imputation and haplotype-phase inference for large data sets of trios and unrelated individuals.</w:t>
      </w:r>
      <w:r>
        <w:t xml:space="preserve"> </w:t>
      </w:r>
      <w:r>
        <w:rPr>
          <w:i/>
          <w:iCs/>
        </w:rPr>
        <w:t xml:space="preserve">Am J Hum Genet</w:t>
      </w:r>
      <w:r>
        <w:t xml:space="preserve">. 2009;84(2):210-223.</w:t>
      </w:r>
    </w:p>
    <w:p>
      <w:pPr>
        <w:pStyle w:val="Compact"/>
        <w:numPr>
          <w:ilvl w:val="0"/>
          <w:numId w:val="1001"/>
        </w:numPr>
      </w:pPr>
      <w:r>
        <w:t xml:space="preserve">Danecek P, Bonfield JK, Liddle J, et al. Twelve years of SAMtools and BCFtools.</w:t>
      </w:r>
      <w:r>
        <w:t xml:space="preserve"> </w:t>
      </w:r>
      <w:r>
        <w:rPr>
          <w:i/>
          <w:iCs/>
        </w:rPr>
        <w:t xml:space="preserve">GigaScience</w:t>
      </w:r>
      <w:r>
        <w:t xml:space="preserve">. 2021;10(2):giab008.</w:t>
      </w:r>
    </w:p>
    <w:p>
      <w:pPr>
        <w:pStyle w:val="Compact"/>
        <w:numPr>
          <w:ilvl w:val="0"/>
          <w:numId w:val="1001"/>
        </w:numPr>
      </w:pPr>
      <w:r>
        <w:t xml:space="preserve">Myers S, Bottolo L, Freeman C, McVean G, Donnelly P. A fine-scale map of recombination rates and hotspots across the human genome.</w:t>
      </w:r>
      <w:r>
        <w:t xml:space="preserve"> </w:t>
      </w:r>
      <w:r>
        <w:rPr>
          <w:i/>
          <w:iCs/>
        </w:rPr>
        <w:t xml:space="preserve">Science</w:t>
      </w:r>
      <w:r>
        <w:t xml:space="preserve">. 2005;310(5746):321-324.</w:t>
      </w:r>
    </w:p>
    <w:p>
      <w:pPr>
        <w:pStyle w:val="Compact"/>
        <w:numPr>
          <w:ilvl w:val="0"/>
          <w:numId w:val="1001"/>
        </w:numPr>
      </w:pPr>
      <w:r>
        <w:t xml:space="preserve">Bild DE, Bluemke DA, Burke GL, et al. Multi-Ethnic Study of Atherosclerosis: objectives and design.</w:t>
      </w:r>
      <w:r>
        <w:t xml:space="preserve"> </w:t>
      </w:r>
      <w:r>
        <w:rPr>
          <w:i/>
          <w:iCs/>
        </w:rPr>
        <w:t xml:space="preserve">Am J Epidemiol</w:t>
      </w:r>
      <w:r>
        <w:t xml:space="preserve">. 2002;156(9):871-881.</w:t>
      </w:r>
    </w:p>
    <w:p>
      <w:pPr>
        <w:pStyle w:val="Compact"/>
        <w:numPr>
          <w:ilvl w:val="0"/>
          <w:numId w:val="1001"/>
        </w:numPr>
      </w:pPr>
      <w:r>
        <w:t xml:space="preserve">Koenig Z, Yohannes MT, Nkambule LL, et al. A harmonized public resource of deeply sequenced diverse human genomes.</w:t>
      </w:r>
      <w:r>
        <w:t xml:space="preserve"> </w:t>
      </w:r>
      <w:r>
        <w:rPr>
          <w:i/>
          <w:iCs/>
        </w:rPr>
        <w:t xml:space="preserve">Genome Res</w:t>
      </w:r>
      <w:r>
        <w:t xml:space="preserve">. 2024;34(5):796-809. doi:10.1101/gr.278378.123.</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2026-07-01T04:46:38Z</dcterms:created>
  <dcterms:modified xsi:type="dcterms:W3CDTF">2026-07-01T04:46:38Z</dcterms:modified>
</cp:coreProperties>
</file>

<file path=docProps/custom.xml><?xml version="1.0" encoding="utf-8"?>
<Properties xmlns="http://schemas.openxmlformats.org/officeDocument/2006/custom-properties" xmlns:vt="http://schemas.openxmlformats.org/officeDocument/2006/docPropsVTypes"/>
</file>