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One binary, whole genome: Selphi 2 unifies phasing, imputation, and low-coverage sequencing</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39-58% relative to Beagle 5.5, while matching or exceeding Selphi 1's accuracy: on homogeneous reference panels accuracy is preserved, and on admixed cohorts imputed against biobank-scale panels Selphi 2 recovers rare-variant accuracy that Selphi 1's fixed per-target candidate-set cap forfeited by systematically truncating rare-variant carriers from minority ancestries. The fixed cap is replaced by a panel-adaptive sizing formula derived from reference panel size and haplotype-pattern diversity. On six held-out individuals, each with a consumer genotyping array and a matched high-coverage genome (imputed against a 75,552-haplotype reference panel), Selphi 2's imputer matches or exceeds Beagle 5.5 at equal phasing on both SNPs and indels, and with its own default diploid phasing (which averages a small intra-run phase ensemble for one extra imputation pass and no extra phasing) exceeds Beagle's full pipeline on both SNPs and indels. The same binary additionally provides a low-coverage sequencing (lcWGS) imputation engine: a genotype-likelihood-aware Li-Stephens model that imputes directly from soft-called sequencing data. Benchmarked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or an earlier biobank-scale haplotype estimator</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imputes the phased target with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or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capped the per-target retained haplotype set at</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a cap calibrated on the 1000 Genomes Phase 3 panel (4,802 haplotypes; 1.2% retained) that, when applied to biobank-scale panels such as TOPMed (171,054 haplotypes; 0.04% retained), systematically excluded rare-variant carriers from minority sub-populations, eroding accuracy on admixed cohorts.</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fixed per-target candidate-set cap of Selphi 1 is replaced by a panel-adaptive sizing formula derived from the reference panel size and the haplotype-pattern diversity of the panel, recovering the rare-variant accuracy that the fixed cap forfeited on admixed cohorts against biobank-scale panels.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validated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statically compiled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color w:val="0563C1"/>
          <w:vertAlign w:val="superscript"/>
        </w:rPr>
        <w:t xml:space="preserv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subset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(multi-ethnic global panel, European-only cohort, and multi-ethnic clinical cohort, respectively).</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as used in earlier Selphi releases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color w:val="0563C1"/>
          <w:vertAlign w:val="superscript"/>
        </w:rPr>
        <w:t xml:space="preserv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decoded genotypes are byte-identical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reference panel containing the full 1000 Genomes cohort.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1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 Extended per-MAF detail is in Supplementary Table S1 (chr22 and chr1) and Supplementary Table S9 (the genome-wide four-way breakdown underlying Figure 2a).</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47"/>
        <w:gridCol w:w="1214"/>
        <w:gridCol w:w="1214"/>
        <w:gridCol w:w="1357"/>
        <w:gridCol w:w="1500"/>
        <w:gridCol w:w="1214"/>
        <w:gridCol w:w="1214"/>
      </w:tblGrid>
      <w:tr>
        <w:trPr>
          <w:tblHeader w:val="on"/>
        </w:trPr>
        <w:tc>
          <w:tcPr>
            <w:shd w:val="clear" w:color="auto" w:fill="595959"/>
            <w:vAlign w:val="center"/>
            <w:tcW w:type="dxa" w:w="164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357"/>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500"/>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The Selphi 1 candidate-set cap of</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was calibrated on the 1000 Genomes Phase 3 panel (retaining 1.2% of the panel). When the panel grows to TOPMed-scale (171,054 haplotypes), the same cap retains 0.04% of the panel and systematically excludes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0.6148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+0.0227).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(the configuration that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cap on a panel of this size in retained-fraction terms).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cap on a panel of this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cap in Selphi 1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calibrated on a European-majority panel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0" name="Picture"/>
            <a:graphic>
              <a:graphicData uri="http://schemas.openxmlformats.org/drawingml/2006/picture">
                <pic:pic>
                  <pic:nvPicPr>
                    <pic:cNvPr descr="figures/figure2_accuracy.png" id="31" name="Picture"/>
                    <pic:cNvPicPr>
                      <a:picLocks noChangeArrowheads="1" noChangeAspect="1"/>
                    </pic:cNvPicPr>
                  </pic:nvPicPr>
                  <pic:blipFill>
                    <a:blip r:embed="rId2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internal candidate-sizing ablation behind this gain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 Supplementary Table S5).</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1.876%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on the SHAPEIT5 run reported in Table 4b, within the ≤0.012 pp run-to-run range of Table 4's headline value; 95% CI [-0.104, -0.053], 44 of 54 trios), while on chromosome 1 Beagle 5.5 is marginally lowest but again not significantly different from Selphi 2 (Δ = +0.013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7" name="Picture"/>
            <a:graphic>
              <a:graphicData uri="http://schemas.openxmlformats.org/drawingml/2006/picture">
                <pic:pic>
                  <pic:nvPicPr>
                    <pic:cNvPr descr="figures/figure3_efficiency.png" id="38" name="Picture"/>
                    <pic:cNvPicPr>
                      <a:picLocks noChangeArrowheads="1" noChangeAspect="1"/>
                    </pic:cNvPicPr>
                  </pic:nvPicPr>
                  <pic:blipFill>
                    <a:blip r:embed="rId36"/>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(3.0</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is concentrated on the rare-variant bins.</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 per-sample and coverage-swept detail in Supplementary Table S4).</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-0.0001</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confers an advantage only below approximately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outside the range evaluated here, where all three tools converge.</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replaces Selphi 1's fixed candidate-set cap with a panel-adaptive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with the gain concentrated on rare variants where Selphi 1's fixed cap had previously discarded informative haplotypes.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(where rare variants are accessible),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color w:val="0563C1"/>
          <w:vertAlign w:val="superscript"/>
        </w:rPr>
        <w:t xml:space="preserve">,</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the principal extensions are the integrated phasing engines, the panel-adaptive candidate-set sizing, the multi-chromosome single-pass workflow, and the panel-format-agnostic input (BCF, VCF, BREF3) with multi-format output.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in favour of Selphi 2 regardless of which tool produced the phasing (Supplementary Table S7).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-0.006 to -0.009</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main panel benchmarks are restricted to chromosomes 1, 21, and 22 (the largest, the smallest, and a representative mid-sized chromosome); the panel-adaptive rule's behavior on shorter chromosomes and on the X chromosome under sex-aware phasing remains to be characterized in a dedicated whole-genome study.</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The repository provides the source, a self-contained statically compiled binary, documentation, and the reference-panel preparation utilities required to reproduce the analyses in this work. [Repository URL and archival DOI to be finalized at acceptance.]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01"/>
    </w:p>
    <w:p>
      <w:pPr>
        <w:pStyle w:val="Compact"/>
        <w:numPr>
          <w:ilvl w:val="0"/>
          <w:numId w:val="1001"/>
        </w:numPr>
        <w:jc w:val="both"/>
      </w:pPr>
      <w:bookmarkStart w:id="4002" w:name="ref2"/>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02"/>
    </w:p>
    <w:p>
      <w:pPr>
        <w:pStyle w:val="Compact"/>
        <w:numPr>
          <w:ilvl w:val="0"/>
          <w:numId w:val="1001"/>
        </w:numPr>
        <w:jc w:val="both"/>
      </w:pPr>
      <w:bookmarkStart w:id="4003" w:name="ref3"/>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3"/>
    </w:p>
    <w:p>
      <w:pPr>
        <w:pStyle w:val="Compact"/>
        <w:numPr>
          <w:ilvl w:val="0"/>
          <w:numId w:val="1001"/>
        </w:numPr>
        <w:jc w:val="both"/>
      </w:pPr>
      <w:bookmarkStart w:id="4004" w:name="ref4"/>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4"/>
    </w:p>
    <w:p>
      <w:pPr>
        <w:pStyle w:val="Compact"/>
        <w:numPr>
          <w:ilvl w:val="0"/>
          <w:numId w:val="1001"/>
        </w:numPr>
        <w:jc w:val="both"/>
      </w:pPr>
      <w:bookmarkStart w:id="4005" w:name="ref5"/>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5"/>
    </w:p>
    <w:p>
      <w:pPr>
        <w:pStyle w:val="Compact"/>
        <w:numPr>
          <w:ilvl w:val="0"/>
          <w:numId w:val="1001"/>
        </w:numPr>
        <w:jc w:val="both"/>
      </w:pPr>
      <w:bookmarkStart w:id="4006" w:name="ref6"/>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6"/>
    </w:p>
    <w:p>
      <w:pPr>
        <w:pStyle w:val="Compact"/>
        <w:numPr>
          <w:ilvl w:val="0"/>
          <w:numId w:val="1001"/>
        </w:numPr>
        <w:jc w:val="both"/>
      </w:pPr>
      <w:bookmarkStart w:id="4007" w:name="ref7"/>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7"/>
    </w:p>
    <w:p>
      <w:pPr>
        <w:pStyle w:val="Compact"/>
        <w:numPr>
          <w:ilvl w:val="0"/>
          <w:numId w:val="1001"/>
        </w:numPr>
        <w:jc w:val="both"/>
      </w:pPr>
      <w:bookmarkStart w:id="4008" w:name="ref8"/>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8"/>
    </w:p>
    <w:p>
      <w:pPr>
        <w:pStyle w:val="Compact"/>
        <w:numPr>
          <w:ilvl w:val="0"/>
          <w:numId w:val="1001"/>
        </w:numPr>
        <w:jc w:val="both"/>
      </w:pPr>
      <w:bookmarkStart w:id="4009" w:name="ref9"/>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8"/>
        <w:gridCol w:w="1394"/>
        <w:gridCol w:w="2327"/>
        <w:gridCol w:w="1128"/>
        <w:gridCol w:w="1128"/>
        <w:gridCol w:w="1527"/>
        <w:gridCol w:w="1128"/>
      </w:tblGrid>
      <w:tr>
        <w:trPr>
          <w:tblHeader w:val="on"/>
        </w:trPr>
        <w:tc>
          <w:tcPr>
            <w:shd w:val="clear" w:color="auto" w:fill="595959"/>
            <w:vAlign w:val="center"/>
            <w:tcW w:type="dxa" w:w="7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94"/>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32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28"/>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128"/>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527"/>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1128"/>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0.9152</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0.2661</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0.2672</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0.5033</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0.8418</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0.5643</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0.3495</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main-text Table 2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1606"/>
        <w:gridCol w:w="2464"/>
        <w:gridCol w:w="890"/>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1606"/>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464"/>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OVERALL (headline, = Table 2,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per-sample mean</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0.9023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1606"/>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464"/>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1606"/>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464"/>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3);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3140"/>
        <w:gridCol w:w="1415"/>
        <w:gridCol w:w="995"/>
        <w:gridCol w:w="995"/>
        <w:gridCol w:w="1205"/>
        <w:gridCol w:w="890"/>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314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S4. Low-coverage WGS (lcWGS) accuracy (R²)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w:t>
      </w:r>
      <w:r>
        <w:rPr>
          <w:rFonts w:ascii="Times New Roman" w:hAnsi="Times New Roman" w:cs="Times New Roman" w:eastAsia="Times New Roman"/>
        </w:rPr>
        <w:t xml:space="preserve"> </w:t>
      </w:r>
      <w:r>
        <w:rPr>
          <w:rFonts w:ascii="Times New Roman" w:hAnsi="Times New Roman" w:cs="Times New Roman" w:eastAsia="Times New Roman"/>
        </w:rPr>
        <w:t xml:space="preserve">(per-sample real-GIAB accuracy)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6b</w:t>
      </w:r>
      <w:r>
        <w:rPr>
          <w:rFonts w:ascii="Times New Roman" w:hAnsi="Times New Roman" w:cs="Times New Roman" w:eastAsia="Times New Roman"/>
        </w:rPr>
        <w:t xml:space="preserve"> </w:t>
      </w:r>
      <w:r>
        <w:rPr>
          <w:rFonts w:ascii="Times New Roman" w:hAnsi="Times New Roman" w:cs="Times New Roman" w:eastAsia="Times New Roman"/>
        </w:rPr>
        <w:t xml:space="preserve">(three-way coverage sweep). Default engine = the reference-faithful</w:t>
      </w:r>
      <w:r>
        <w:rPr>
          <w:rFonts w:ascii="Times New Roman" w:hAnsi="Times New Roman" w:cs="Times New Roman" w:eastAsia="Times New Roman"/>
        </w:rPr>
        <w:t xml:space="preserve"> </w:t>
      </w:r>
      <w:r>
        <w:rPr>
          <w:rFonts w:ascii="Times New Roman" w:hAnsi="Times New Roman" w:cs="Times New Roman" w:eastAsia="Times New Roman"/>
        </w:rPr>
        <w:t xml:space="preserve">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w:t>
      </w:r>
      <w:r>
        <w:rPr>
          <w:rFonts w:ascii="Times New Roman" w:hAnsi="Times New Roman" w:cs="Times New Roman" w:eastAsia="Times New Roman"/>
        </w:rPr>
        <w:t xml:space="preserve"> </w:t>
      </w:r>
      <w:r>
        <w:rPr>
          <w:rFonts w:ascii="Times New Roman" w:hAnsi="Times New Roman" w:cs="Times New Roman" w:eastAsia="Times New Roman"/>
        </w:rPr>
        <w:t xml:space="preserve">band-mode recombination (default; Methods). All rows compute genotype likelihoods</w:t>
      </w:r>
      <w:r>
        <w:rPr>
          <w:rFonts w:ascii="Times New Roman" w:hAnsi="Times New Roman" w:cs="Times New Roman" w:eastAsia="Times New Roman"/>
        </w:rPr>
        <w:t xml:space="preserve"> </w:t>
      </w:r>
      <w:r>
        <w:rPr>
          <w:rFonts w:ascii="Times New Roman" w:hAnsi="Times New Roman" w:cs="Times New Roman" w:eastAsia="Times New Roman"/>
        </w:rPr>
        <w:t xml:space="preserve">from the BAM with each tool's own in-process pileup (no external caller) and score</w:t>
      </w:r>
      <w:r>
        <w:rPr>
          <w:rFonts w:ascii="Times New Roman" w:hAnsi="Times New Roman" w:cs="Times New Roman" w:eastAsia="Times New Roman"/>
        </w:rPr>
        <w:t xml:space="preserve"> </w:t>
      </w:r>
      <w:r>
        <w:rPr>
          <w:rFonts w:ascii="Times New Roman" w:hAnsi="Times New Roman" w:cs="Times New Roman" w:eastAsia="Times New Roman"/>
        </w:rPr>
        <w:t xml:space="preserve">on the identical site set across the compared tools.</w:t>
      </w:r>
    </w:p>
    <w:p>
      <w:pPr>
        <w:pStyle w:val="BodyText"/>
        <w:jc w:val="both"/>
      </w:pPr>
      <w:r>
        <w:rPr>
          <w:rFonts w:ascii="Times New Roman" w:hAnsi="Times New Roman" w:cs="Times New Roman" w:eastAsia="Times New Roman"/>
          <w:b/>
          <w:bCs/>
        </w:rPr>
        <w:t xml:space="preserve">S4a. Per-sample real-GIAB accuracy (= main-text Table 6).</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 downsampled to ~1.8× chromosome 22, imputed</w:t>
      </w:r>
      <w:r>
        <w:rPr>
          <w:rFonts w:ascii="Times New Roman" w:hAnsi="Times New Roman" w:cs="Times New Roman" w:eastAsia="Times New Roman"/>
        </w:rPr>
        <w:t xml:space="preserve"> </w:t>
      </w:r>
      <w:r>
        <w:rPr>
          <w:rFonts w:ascii="Times New Roman" w:hAnsi="Times New Roman" w:cs="Times New Roman" w:eastAsia="Times New Roman"/>
        </w:rPr>
        <w:t xml:space="preserve">independently against the 4,478-haplotype (2,239-sample) no-trios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87"/>
        <w:gridCol w:w="1790"/>
        <w:gridCol w:w="2209"/>
        <w:gridCol w:w="1787"/>
        <w:gridCol w:w="1787"/>
      </w:tblGrid>
      <w:tr>
        <w:trPr>
          <w:tblHeader w:val="on"/>
        </w:trPr>
        <w:tc>
          <w:tcPr>
            <w:shd w:val="clear" w:color="auto" w:fill="595959"/>
            <w:vAlign w:val="center"/>
            <w:tcW w:type="dxa" w:w="1787"/>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17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787"/>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1787"/>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1790"/>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1790"/>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1790"/>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1790"/>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1790"/>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1790"/>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1787"/>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790"/>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787"/>
          </w:tcPr>
          <w:p>
            <w:pPr>
              <w:pStyle w:val="Compact"/>
              <w:jc w:val="center"/>
            </w:pPr>
            <w:r>
              <w:rPr>
                <w:rFonts w:ascii="Times New Roman" w:hAnsi="Times New Roman" w:cs="Times New Roman" w:eastAsia="Times New Roman"/>
                <w:sz w:val="20"/>
              </w:rPr>
              <w:t xml:space="preserve">FINAL</w:t>
            </w:r>
          </w:p>
        </w:tc>
      </w:tr>
    </w:tbl>
    <w:p>
      <w:pPr>
        <w:pStyle w:val="BodyText"/>
        <w:jc w:val="both"/>
      </w:pPr>
      <w:r>
        <w:rPr>
          <w:rFonts w:ascii="Times New Roman" w:hAnsi="Times New Roman" w:cs="Times New Roman" w:eastAsia="Times New Roman"/>
          <w:b/>
          <w:bCs/>
        </w:rPr>
        <w:t xml:space="preserve">S4b. Three-way coverage sweep (= main-text Table 6b).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236"/>
        <w:gridCol w:w="2535"/>
        <w:gridCol w:w="1000"/>
        <w:gridCol w:w="1236"/>
        <w:gridCol w:w="1000"/>
        <w:gridCol w:w="1353"/>
        <w:gridCol w:w="1000"/>
      </w:tblGrid>
      <w:tr>
        <w:trPr>
          <w:tblHeader w:val="on"/>
        </w:trPr>
        <w:tc>
          <w:tcPr>
            <w:shd w:val="clear" w:color="auto" w:fill="595959"/>
            <w:vAlign w:val="center"/>
            <w:tcW w:type="dxa" w:w="123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535"/>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00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36"/>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000"/>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353"/>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100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535"/>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000"/>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535"/>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000"/>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535"/>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000"/>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535"/>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000"/>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535"/>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23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353"/>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535"/>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236"/>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353"/>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535"/>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000"/>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23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0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535"/>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000"/>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23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353"/>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00"/>
          </w:tcPr>
          <w:p>
            <w:pPr>
              <w:pStyle w:val="Compact"/>
              <w:jc w:val="center"/>
            </w:pPr>
            <w:r>
              <w:rPr>
                <w:rFonts w:ascii="Times New Roman" w:hAnsi="Times New Roman" w:cs="Times New Roman" w:eastAsia="Times New Roman"/>
                <w:sz w:val="20"/>
              </w:rPr>
              <w:t xml:space="preserve">FINAL</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by the real-read measurements above</w:t>
      </w:r>
      <w:r>
        <w:rPr>
          <w:rFonts w:ascii="Times New Roman" w:hAnsi="Times New Roman" w:cs="Times New Roman" w:eastAsia="Times New Roman"/>
        </w:rPr>
        <w:t xml:space="preserve"> </w:t>
      </w:r>
      <w:r>
        <w:rPr>
          <w:rFonts w:ascii="Times New Roman" w:hAnsi="Times New Roman" w:cs="Times New Roman" w:eastAsia="Times New Roman"/>
        </w:rPr>
        <w:t xml:space="preserve">and are not reproduced here; the real-GIAB numbers are the ones reported in the paper.</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1218"/>
        <w:gridCol w:w="1089"/>
        <w:gridCol w:w="1089"/>
        <w:gridCol w:w="1346"/>
        <w:gridCol w:w="1463"/>
        <w:gridCol w:w="1346"/>
        <w:gridCol w:w="1089"/>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21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089"/>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089"/>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346"/>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463"/>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346"/>
          </w:tcPr>
          <w:p>
            <w:pPr>
              <w:pStyle w:val="Compact"/>
              <w:jc w:val="center"/>
            </w:pPr>
            <w:r>
              <w:rPr>
                <w:rFonts w:ascii="Times New Roman" w:hAnsi="Times New Roman" w:cs="Times New Roman" w:eastAsia="Times New Roman"/>
                <w:b/>
                <w:color w:val="FFFFFF"/>
                <w:sz w:val="20"/>
              </w:rPr>
              <w:t xml:space="preserve">vs SHAPEIT5</w:t>
            </w:r>
          </w:p>
        </w:tc>
        <w:tc>
          <w:tcPr>
            <w:shd w:val="clear" w:color="auto" w:fill="595959"/>
            <w:vAlign w:val="center"/>
            <w:tcW w:type="dxa" w:w="1089"/>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21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089"/>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46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21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089"/>
          </w:tcPr>
          <w:p>
            <w:pPr>
              <w:pStyle w:val="Compact"/>
              <w:jc w:val="center"/>
            </w:pPr>
            <w:r>
              <w:rPr>
                <w:rFonts w:ascii="Times New Roman" w:hAnsi="Times New Roman" w:cs="Times New Roman" w:eastAsia="Times New Roman"/>
                <w:b/>
                <w:bCs/>
                <w:sz w:val="20"/>
              </w:rPr>
              <w:t xml:space="preserve">2.569</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46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089"/>
          </w:tcPr>
          <w:p>
            <w:pPr>
              <w:pStyle w:val="Compact"/>
              <w:jc w:val="center"/>
            </w:pPr>
            <w:r>
              <w:rPr>
                <w:rFonts w:ascii="Times New Roman" w:hAnsi="Times New Roman" w:cs="Times New Roman" w:eastAsia="Times New Roman"/>
                <w:b/>
                <w:bCs/>
                <w:sz w:val="20"/>
              </w:rPr>
              <w:t xml:space="preserve">1.876</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1.865</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463"/>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089"/>
          </w:tcPr>
          <w:p>
            <w:pPr>
              <w:pStyle w:val="Compact"/>
              <w:jc w:val="center"/>
            </w:pPr>
            <w:r>
              <w:rPr>
                <w:rFonts w:ascii="Times New Roman" w:hAnsi="Times New Roman" w:cs="Times New Roman" w:eastAsia="Times New Roman"/>
                <w:b/>
                <w:bCs/>
                <w:sz w:val="20"/>
              </w:rPr>
              <w:t xml:space="preserve">1.876</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46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634"/>
        <w:gridCol w:w="974"/>
        <w:gridCol w:w="1240"/>
        <w:gridCol w:w="1417"/>
        <w:gridCol w:w="1205"/>
        <w:gridCol w:w="890"/>
      </w:tblGrid>
      <w:tr>
        <w:trPr>
          <w:tblHeader w:val="on"/>
        </w:trPr>
        <w:tc>
          <w:tcPr>
            <w:shd w:val="clear" w:color="auto" w:fill="595959"/>
            <w:vAlign w:val="center"/>
            <w:tcW w:type="dxa" w:w="3634"/>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974"/>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24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417"/>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69 s / 82 s</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373 s / 437 s</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11,289 s (~3.1 h)</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65.5 GB</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3c)</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lcWGS single-sample (chr22), real GIAB ~1.8×</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~2:01</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GLIMPSE2: ~5:22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lcWGS single-sample (chr22), real GIAB</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~3.3 GB</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GLIMPSE2: ~2.1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41:50</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GLIMPSE2: 21:36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2:10-2:34</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GLIMPSE2: 4:41-4:49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634"/>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FFFFFF"/>
            <w:vAlign w:val="center"/>
            <w:tcW w:type="dxa" w:w="974"/>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240"/>
          </w:tcPr>
          <w:p>
            <w:pPr>
              <w:pStyle w:val="Compact"/>
              <w:jc w:val="left"/>
            </w:pPr>
            <w:r>
              <w:rPr>
                <w:rFonts w:ascii="Times New Roman" w:hAnsi="Times New Roman" w:cs="Times New Roman" w:eastAsia="Times New Roman"/>
                <w:b/>
                <w:bCs/>
                <w:sz w:val="20"/>
              </w:rPr>
              <w:t xml:space="preserve">~2.9-3.2 GB</w:t>
            </w:r>
          </w:p>
        </w:tc>
        <w:tc>
          <w:tcPr>
            <w:shd w:val="clear" w:color="auto" w:fill="FFFFFF"/>
            <w:vAlign w:val="center"/>
            <w:tcW w:type="dxa" w:w="1417"/>
          </w:tcPr>
          <w:p>
            <w:pPr>
              <w:pStyle w:val="Compact"/>
              <w:jc w:val="left"/>
            </w:pPr>
            <w:r>
              <w:rPr>
                <w:rFonts w:ascii="Times New Roman" w:hAnsi="Times New Roman" w:cs="Times New Roman" w:eastAsia="Times New Roman"/>
                <w:sz w:val="20"/>
              </w:rPr>
              <w:t xml:space="preserve">GLIMPSE2: ~2.2-2.6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634"/>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E7E6E6"/>
            <w:vAlign w:val="center"/>
            <w:tcW w:type="dxa" w:w="974"/>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240"/>
          </w:tcPr>
          <w:p>
            <w:pPr>
              <w:pStyle w:val="Compact"/>
              <w:jc w:val="left"/>
            </w:pPr>
            <w:r>
              <w:rPr>
                <w:rFonts w:ascii="Times New Roman" w:hAnsi="Times New Roman" w:cs="Times New Roman" w:eastAsia="Times New Roman"/>
                <w:b/>
                <w:bCs/>
                <w:sz w:val="20"/>
              </w:rPr>
              <w:t xml:space="preserve">31 s (fast) / 51 s (default)</w:t>
            </w:r>
          </w:p>
        </w:tc>
        <w:tc>
          <w:tcPr>
            <w:shd w:val="clear" w:color="auto" w:fill="E7E6E6"/>
            <w:vAlign w:val="center"/>
            <w:tcW w:type="dxa" w:w="1417"/>
          </w:tcPr>
          <w:p>
            <w:pPr>
              <w:pStyle w:val="Compact"/>
              <w:jc w:val="left"/>
            </w:pPr>
            <w:r>
              <w:rPr>
                <w:rFonts w:ascii="Times New Roman" w:hAnsi="Times New Roman" w:cs="Times New Roman" w:eastAsia="Times New Roman"/>
                <w:sz w:val="20"/>
              </w:rPr>
              <w:t xml:space="preserve">GLIMPSE2: 102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p>
      <w:pPr>
        <w:pStyle w:val="Heading2"/>
        <w:jc w:val="both"/>
      </w:pPr>
      <w:r>
        <w:rPr>
          <w:rFonts w:ascii="Times New Roman" w:hAnsi="Times New Roman" w:cs="Times New Roman" w:eastAsia="Times New Roman"/>
        </w:rPr>
        <w:t xml:space="preserve">Table S9. Genome-wide per-MAF R² underlying Figure 2a (1KG, four-way)</w:t>
      </w:r>
    </w:p>
    <w:p>
      <w:pPr>
        <w:pStyle w:val="FirstParagraph"/>
        <w:jc w:val="both"/>
      </w:pPr>
      <w:r>
        <w:rPr>
          <w:rFonts w:ascii="Times New Roman" w:hAnsi="Times New Roman" w:cs="Times New Roman" w:eastAsia="Times New Roman"/>
        </w:rPr>
        <w:t xml:space="preserve">Source data for Figure 2a: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four tools span the identical chromosome set). 801 held-out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samples, full phase-and-impute pipeline (Selphi 2 default diploid engine),</w:t>
      </w:r>
      <w:r>
        <w:rPr>
          <w:rFonts w:ascii="Times New Roman" w:hAnsi="Times New Roman" w:cs="Times New Roman" w:eastAsia="Times New Roman"/>
        </w:rPr>
        <w:t xml:space="preserve"> </w:t>
      </w:r>
      <w:r>
        <w:rPr>
          <w:rFonts w:ascii="Times New Roman" w:hAnsi="Times New Roman" w:cs="Times New Roman" w:eastAsia="Times New Roman"/>
        </w:rPr>
        <w:t xml:space="preserve">imputed against the 1000 Genomes Phase 3 panel; scored against WGS truth. The OVERALL</w:t>
      </w:r>
      <w:r>
        <w:rPr>
          <w:rFonts w:ascii="Times New Roman" w:hAnsi="Times New Roman" w:cs="Times New Roman" w:eastAsia="Times New Roman"/>
        </w:rPr>
        <w:t xml:space="preserve"> </w:t>
      </w:r>
      <w:r>
        <w:rPr>
          <w:rFonts w:ascii="Times New Roman" w:hAnsi="Times New Roman" w:cs="Times New Roman" w:eastAsia="Times New Roman"/>
        </w:rPr>
        <w:t xml:space="preserve">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23"/>
        <w:gridCol w:w="1639"/>
        <w:gridCol w:w="1639"/>
        <w:gridCol w:w="1833"/>
        <w:gridCol w:w="2026"/>
      </w:tblGrid>
      <w:tr>
        <w:trPr>
          <w:tblHeader w:val="on"/>
        </w:trPr>
        <w:tc>
          <w:tcPr>
            <w:shd w:val="clear" w:color="auto" w:fill="595959"/>
            <w:vAlign w:val="center"/>
            <w:tcW w:type="dxa" w:w="222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639"/>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639"/>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026"/>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0.3578</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0.3619</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0.3458</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0.3530</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0.4275</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0.4196</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0.4061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0.4131</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0.5274</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0.5117</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0.5005</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0.5048</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0.6273</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0.6090</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0.5991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0.6013</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0.6926</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0.6654</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0.6663</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0.7630</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0.7458</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0.7381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0.7367</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0.8531</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0.8410</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0.8355</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0.8323</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0.8965</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0.8881</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0.8840</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0.8803</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0.9255</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0.9192</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0.9160</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0.9112</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0.5838</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0.5764</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0.5635</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0.5668</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9" Type="http://schemas.openxmlformats.org/officeDocument/2006/relationships/image" Target="media/rId29.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2026-07-02T06:12:12Z</dcterms:created>
  <dcterms:modified xsi:type="dcterms:W3CDTF">2026-07-02T06:12:12Z</dcterms:modified>
</cp:coreProperties>
</file>

<file path=docProps/custom.xml><?xml version="1.0" encoding="utf-8"?>
<Properties xmlns="http://schemas.openxmlformats.org/officeDocument/2006/custom-properties" xmlns:vt="http://schemas.openxmlformats.org/officeDocument/2006/docPropsVTypes"/>
</file>