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One binary, whole genome: Selphi 2 unifies phasing, imputation, and low-coverage sequencing</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or an earlier biobank-scale haplotype estimator</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imputes the phased target with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or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capped the per-target retained haplotype set at</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color w:val="0563C1"/>
          <w:vertAlign w:val="superscript"/>
        </w:rPr>
        <w:t xml:space="preserv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subset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(multi-ethnic global panel, European-only cohort, and multi-ethnic clinical cohort, respectively).</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as used in earlier Selphi releases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color w:val="0563C1"/>
          <w:vertAlign w:val="superscript"/>
        </w:rPr>
        <w:t xml:space="preserv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decoded genotypes are byte-identical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14% of raw calls (e.g. 5.09M to 4.66M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with all four tools imputing the identical phased target against the identical 1000 Genomes reference panel.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The Selphi 1 candidate-set cap of</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0.6157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+0.0236).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a marginal additional gain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0.6162, +0.0005 over the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and confirms the diminishing-returns regime captured by the formula.</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(the configuration that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cap on a panel of this size in retained-fraction terms).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mirrors Selphi 1's</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cap on a panel of this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internal candidate-sizing ablation behind this gain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is concentrated on the rare-variant bins.</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-0.0001</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outside the range evaluated here, where all three tools converge.</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(where rare variants are accessible),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color w:val="0563C1"/>
          <w:vertAlign w:val="superscript"/>
        </w:rPr>
        <w:t xml:space="preserve">,</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0.024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-0.006 to -0.009</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01"/>
    </w:p>
    <w:p>
      <w:pPr>
        <w:pStyle w:val="Compact"/>
        <w:numPr>
          <w:ilvl w:val="0"/>
          <w:numId w:val="1001"/>
        </w:numPr>
        <w:jc w:val="both"/>
      </w:pPr>
      <w:bookmarkStart w:id="4002" w:name="ref2"/>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2023;55(7):1088-1096.</w:t>
      </w:r>
      <w:bookmarkEnd w:id="4002"/>
    </w:p>
    <w:p>
      <w:pPr>
        <w:pStyle w:val="Compact"/>
        <w:numPr>
          <w:ilvl w:val="0"/>
          <w:numId w:val="1001"/>
        </w:numPr>
        <w:jc w:val="both"/>
      </w:pPr>
      <w:bookmarkStart w:id="4003" w:name="ref3"/>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3"/>
    </w:p>
    <w:p>
      <w:pPr>
        <w:pStyle w:val="Compact"/>
        <w:numPr>
          <w:ilvl w:val="0"/>
          <w:numId w:val="1001"/>
        </w:numPr>
        <w:jc w:val="both"/>
      </w:pPr>
      <w:bookmarkStart w:id="4004" w:name="ref4"/>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4"/>
    </w:p>
    <w:p>
      <w:pPr>
        <w:pStyle w:val="Compact"/>
        <w:numPr>
          <w:ilvl w:val="0"/>
          <w:numId w:val="1001"/>
        </w:numPr>
        <w:jc w:val="both"/>
      </w:pPr>
      <w:bookmarkStart w:id="4005" w:name="ref5"/>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5"/>
    </w:p>
    <w:p>
      <w:pPr>
        <w:pStyle w:val="Compact"/>
        <w:numPr>
          <w:ilvl w:val="0"/>
          <w:numId w:val="1001"/>
        </w:numPr>
        <w:jc w:val="both"/>
      </w:pPr>
      <w:bookmarkStart w:id="4006" w:name="ref6"/>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6"/>
    </w:p>
    <w:p>
      <w:pPr>
        <w:pStyle w:val="Compact"/>
        <w:numPr>
          <w:ilvl w:val="0"/>
          <w:numId w:val="1001"/>
        </w:numPr>
        <w:jc w:val="both"/>
      </w:pPr>
      <w:bookmarkStart w:id="4007" w:name="ref7"/>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7"/>
    </w:p>
    <w:p>
      <w:pPr>
        <w:pStyle w:val="Compact"/>
        <w:numPr>
          <w:ilvl w:val="0"/>
          <w:numId w:val="1001"/>
        </w:numPr>
        <w:jc w:val="both"/>
      </w:pPr>
      <w:bookmarkStart w:id="4008" w:name="ref8"/>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8"/>
    </w:p>
    <w:p>
      <w:pPr>
        <w:pStyle w:val="Compact"/>
        <w:numPr>
          <w:ilvl w:val="0"/>
          <w:numId w:val="1001"/>
        </w:numPr>
        <w:jc w:val="both"/>
      </w:pPr>
      <w:bookmarkStart w:id="4009" w:name="ref9"/>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2026;17:524.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8"/>
        <w:gridCol w:w="1394"/>
        <w:gridCol w:w="2327"/>
        <w:gridCol w:w="1128"/>
        <w:gridCol w:w="1128"/>
        <w:gridCol w:w="1527"/>
        <w:gridCol w:w="1128"/>
      </w:tblGrid>
      <w:tr>
        <w:trPr>
          <w:tblHeader w:val="on"/>
        </w:trPr>
        <w:tc>
          <w:tcPr>
            <w:shd w:val="clear" w:color="auto" w:fill="595959"/>
            <w:vAlign w:val="center"/>
            <w:tcW w:type="dxa" w:w="7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94"/>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32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527"/>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1128"/>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0.4797</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0.4825</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0.9159</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0.2680</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0.2672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0.5062</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0.8427</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0.5654</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0.5702</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0.3460</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0.3495</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32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128"/>
          </w:tcPr>
          <w:p>
            <w:pPr>
              <w:pStyle w:val="Compact"/>
              <w:jc w:val="center"/>
            </w:pPr>
            <w:r>
              <w:rPr>
                <w:rFonts w:ascii="Times New Roman" w:hAnsi="Times New Roman" w:cs="Times New Roman" w:eastAsia="Times New Roman"/>
                <w:b/>
                <w:bCs/>
                <w:sz w:val="20"/>
              </w:rPr>
              <w:t xml:space="preserve">0.6093</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128"/>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94"/>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32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128"/>
          </w:tcPr>
          <w:p>
            <w:pPr>
              <w:pStyle w:val="Compact"/>
              <w:jc w:val="center"/>
            </w:pPr>
            <w:r>
              <w:rPr>
                <w:rFonts w:ascii="Times New Roman" w:hAnsi="Times New Roman" w:cs="Times New Roman" w:eastAsia="Times New Roman"/>
                <w:b/>
                <w:bCs/>
                <w:sz w:val="20"/>
              </w:rPr>
              <w:t xml:space="preserve">0.9309</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527"/>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128"/>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150"/>
        <w:gridCol w:w="1920"/>
        <w:gridCol w:w="890"/>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150"/>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1920"/>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OVERALL (canonical best)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 (haploid auto-mc)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per-sample mean</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150K</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0.05-0.1% (rarest, Ne-default)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120K</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20-50%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FFFFFF"/>
            <w:vAlign w:val="center"/>
            <w:tcW w:type="dxa" w:w="1920"/>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0.6506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E7E6E6"/>
            <w:vAlign w:val="center"/>
            <w:tcW w:type="dxa" w:w="2150"/>
          </w:tcPr>
          <w:p>
            <w:pPr>
              <w:pStyle w:val="Compact"/>
              <w:jc w:val="center"/>
            </w:pPr>
            <w:r>
              <w:rPr>
                <w:rFonts w:ascii="Times New Roman" w:hAnsi="Times New Roman" w:cs="Times New Roman" w:eastAsia="Times New Roman"/>
                <w:sz w:val="20"/>
              </w:rPr>
              <w:t xml:space="preserve">per-window default</w:t>
            </w:r>
          </w:p>
        </w:tc>
        <w:tc>
          <w:tcPr>
            <w:shd w:val="clear" w:color="auto" w:fill="E7E6E6"/>
            <w:vAlign w:val="center"/>
            <w:tcW w:type="dxa" w:w="1920"/>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3140"/>
        <w:gridCol w:w="1415"/>
        <w:gridCol w:w="995"/>
        <w:gridCol w:w="995"/>
        <w:gridCol w:w="1205"/>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314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314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314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S4. Low-coverage WGS (lcWGS) accuracy (R²) - vs GLIMPSE2</w:t>
      </w:r>
    </w:p>
    <w:p>
      <w:pPr>
        <w:pStyle w:val="FirstParagraph"/>
        <w:jc w:val="both"/>
      </w:pPr>
      <w:r>
        <w:rPr>
          <w:rFonts w:ascii="Times New Roman" w:hAnsi="Times New Roman" w:cs="Times New Roman" w:eastAsia="Times New Roman"/>
        </w:rPr>
        <w:t xml:space="preserve">Current default engine = GLIMPSE2-faithful 8-founder phasing HMM run every iteration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GLIMPSE2_PHASE</w:t>
      </w:r>
      <w:r>
        <w:rPr>
          <w:rFonts w:ascii="Times New Roman" w:hAnsi="Times New Roman" w:cs="Times New Roman" w:eastAsia="Times New Roman"/>
        </w:rPr>
        <w:t xml:space="preserve">, default-on). r12 = chr22:30-42 Mb, 54 sim children, 4478-hap</w:t>
      </w:r>
      <w:r>
        <w:rPr>
          <w:rFonts w:ascii="Times New Roman" w:hAnsi="Times New Roman" w:cs="Times New Roman" w:eastAsia="Times New Roman"/>
        </w:rPr>
        <w:t xml:space="preserve"> </w:t>
      </w:r>
      <w:r>
        <w:rPr>
          <w:rFonts w:ascii="Times New Roman" w:hAnsi="Times New Roman" w:cs="Times New Roman" w:eastAsia="Times New Roman"/>
        </w:rPr>
        <w:t xml:space="preserve">no-trios panel. Large panel = 75,552 haplotypes, GIAB samples, proper hiconf truth.</w:t>
      </w:r>
      <w:r>
        <w:rPr>
          <w:rFonts w:ascii="Times New Roman" w:hAnsi="Times New Roman" w:cs="Times New Roman" w:eastAsia="Times New Roman"/>
        </w:rPr>
        <w:t xml:space="preserve"> </w:t>
      </w:r>
      <w:r>
        <w:rPr>
          <w:rFonts w:ascii="Times New Roman" w:hAnsi="Times New Roman" w:cs="Times New Roman" w:eastAsia="Times New Roman"/>
          <w:b/>
          <w:bCs/>
        </w:rPr>
        <w:t xml:space="preserve">The paper's headline lcWGS result is the real-GIAB single-sample mean (0.9201 vs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GLIMPSE2 0.9155; top rows, = main-text Table 5).</w:t>
      </w:r>
      <w:r>
        <w:rPr>
          <w:rFonts w:ascii="Times New Roman" w:hAnsi="Times New Roman" w:cs="Times New Roman" w:eastAsia="Times New Roman"/>
        </w:rPr>
        <w:t xml:space="preserve"> </w:t>
      </w:r>
      <w:r>
        <w:rPr>
          <w:rFonts w:ascii="Times New Roman" w:hAnsi="Times New Roman" w:cs="Times New Roman" w:eastAsia="Times New Roman"/>
        </w:rPr>
        <w:t xml:space="preserve">The simulated full-chr22</w:t>
      </w:r>
      <w:r>
        <w:rPr>
          <w:rFonts w:ascii="Times New Roman" w:hAnsi="Times New Roman" w:cs="Times New Roman" w:eastAsia="Times New Roman"/>
        </w:rPr>
        <w:t xml:space="preserve"> </w:t>
      </w:r>
      <w:r>
        <w:rPr>
          <w:rFonts w:ascii="Times New Roman" w:hAnsi="Times New Roman" w:cs="Times New Roman" w:eastAsia="Times New Roman"/>
        </w:rPr>
        <w:t xml:space="preserve">54-sample rows (e.g. OVERALL 0.9255) run hotter than real reads and are retained</w:t>
      </w:r>
      <w:r>
        <w:rPr>
          <w:rFonts w:ascii="Times New Roman" w:hAnsi="Times New Roman" w:cs="Times New Roman" w:eastAsia="Times New Roman"/>
        </w:rPr>
        <w:t xml:space="preserve"> </w:t>
      </w:r>
      <w:r>
        <w:rPr>
          <w:rFonts w:ascii="Times New Roman" w:hAnsi="Times New Roman" w:cs="Times New Roman" w:eastAsia="Times New Roman"/>
        </w:rPr>
        <w:t xml:space="preserve">as a secondary/ablation comparison, not the headline.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44"/>
        <w:gridCol w:w="785"/>
        <w:gridCol w:w="1216"/>
        <w:gridCol w:w="890"/>
        <w:gridCol w:w="1100"/>
        <w:gridCol w:w="1835"/>
        <w:gridCol w:w="890"/>
      </w:tblGrid>
      <w:tr>
        <w:trPr>
          <w:tblHeader w:val="on"/>
        </w:trPr>
        <w:tc>
          <w:tcPr>
            <w:shd w:val="clear" w:color="auto" w:fill="595959"/>
            <w:vAlign w:val="center"/>
            <w:tcW w:type="dxa" w:w="2644"/>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Cov</w:t>
            </w:r>
          </w:p>
        </w:tc>
        <w:tc>
          <w:tcPr>
            <w:shd w:val="clear" w:color="auto" w:fill="595959"/>
            <w:vAlign w:val="center"/>
            <w:tcW w:type="dxa" w:w="1216"/>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2644"/>
          </w:tcPr>
          <w:p>
            <w:pPr>
              <w:pStyle w:val="Compact"/>
              <w:jc w:val="left"/>
            </w:pPr>
            <w:r>
              <w:rPr>
                <w:rFonts w:ascii="Times New Roman" w:hAnsi="Times New Roman" w:cs="Times New Roman" w:eastAsia="Times New Roman"/>
                <w:b/>
                <w:bCs/>
                <w:sz w:val="20"/>
              </w:rPr>
              <w:t xml:space="preserve">real GIAB HG002 (single-sample, 4478-hap) - PAPER HEADLINE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0.9212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0.9171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b/>
                <w:bCs/>
                <w:sz w:val="20"/>
              </w:rPr>
              <w:t xml:space="preserve">real GIAB HG003 (single-sample, 4478-hap)</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0.9214</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0.9177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b/>
                <w:bCs/>
                <w:sz w:val="20"/>
              </w:rPr>
              <w:t xml:space="preserve">real GIAB HG004 (single-sample, 4478-hap)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0.9177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0.9116</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b/>
                <w:bCs/>
                <w:sz w:val="20"/>
              </w:rPr>
              <w:t xml:space="preserve">real GIAB mean (HG002/3/4)</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0.9201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0.9155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canonical r12 (54s, simulated)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0.9511</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0.9429</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canonical r12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0.9289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0.9237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full-chr22 (54s, simulated, 326K sites)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0.9155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0.8888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0.8813</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1-5%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0.9173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0.9027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5-10%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0.9445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0.9319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full-chr22 (54s)</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10-50%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0.9656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0.9577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0.5×</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0.9937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0.9938</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0.9969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0.9971</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0.9974</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HG002</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4×</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0.9977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0-0.5%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0.9930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0.9892</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0.5-1%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0.9964</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0.9992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0.9990</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5-10% (only bin Selphi loses)</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0.9813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0.9868</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GIAB (k=3000)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0.9970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0.9966</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75,552-haplotype panel, 3-sample, split-ON (deep k=5000</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@5-10</w:t>
            </w:r>
            <w:r>
              <w:rPr>
                <w:rFonts w:ascii="Times New Roman" w:hAnsi="Times New Roman" w:cs="Times New Roman" w:eastAsia="Times New Roman"/>
                <w:sz w:val="20"/>
              </w:rPr>
              <w:t xml:space="preserve">%)</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0.9977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0.9974</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75,552-haplotype panel, 3-sample, split-ON</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0.9980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0.9977</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2644"/>
          </w:tcPr>
          <w:p>
            <w:pPr>
              <w:pStyle w:val="Compact"/>
              <w:jc w:val="left"/>
            </w:pPr>
            <w:r>
              <w:rPr>
                <w:rFonts w:ascii="Times New Roman" w:hAnsi="Times New Roman" w:cs="Times New Roman" w:eastAsia="Times New Roman"/>
                <w:sz w:val="20"/>
              </w:rPr>
              <w:t xml:space="preserve">real downsampled WGS BAM (chr1:30-45 Mb, native pileup)</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0.9641</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0.9667</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reference (BAM)</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2644"/>
          </w:tcPr>
          <w:p>
            <w:pPr>
              <w:pStyle w:val="Compact"/>
              <w:jc w:val="left"/>
            </w:pPr>
            <w:r>
              <w:rPr>
                <w:rFonts w:ascii="Times New Roman" w:hAnsi="Times New Roman" w:cs="Times New Roman" w:eastAsia="Times New Roman"/>
                <w:sz w:val="20"/>
              </w:rPr>
              <w:t xml:space="preserve">out-of-panel child HG00405 (sim, solo)</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6"/>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0.9775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0.9739</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218"/>
        <w:gridCol w:w="1089"/>
        <w:gridCol w:w="1089"/>
        <w:gridCol w:w="1346"/>
        <w:gridCol w:w="1463"/>
        <w:gridCol w:w="1346"/>
        <w:gridCol w:w="1089"/>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21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463"/>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346"/>
          </w:tcPr>
          <w:p>
            <w:pPr>
              <w:pStyle w:val="Compact"/>
              <w:jc w:val="center"/>
            </w:pPr>
            <w:r>
              <w:rPr>
                <w:rFonts w:ascii="Times New Roman" w:hAnsi="Times New Roman" w:cs="Times New Roman" w:eastAsia="Times New Roman"/>
                <w:b/>
                <w:color w:val="FFFFFF"/>
                <w:sz w:val="20"/>
              </w:rPr>
              <w:t xml:space="preserve">vs SHAPEIT5</w:t>
            </w:r>
          </w:p>
        </w:tc>
        <w:tc>
          <w:tcPr>
            <w:shd w:val="clear" w:color="auto" w:fill="595959"/>
            <w:vAlign w:val="center"/>
            <w:tcW w:type="dxa" w:w="1089"/>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2.569</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21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089"/>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21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089"/>
          </w:tcPr>
          <w:p>
            <w:pPr>
              <w:pStyle w:val="Compact"/>
              <w:jc w:val="center"/>
            </w:pPr>
            <w:r>
              <w:rPr>
                <w:rFonts w:ascii="Times New Roman" w:hAnsi="Times New Roman" w:cs="Times New Roman" w:eastAsia="Times New Roman"/>
                <w:b/>
                <w:bCs/>
                <w:sz w:val="20"/>
              </w:rPr>
              <w:t xml:space="preserve">1.876</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463"/>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346"/>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1089"/>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265"/>
        <w:gridCol w:w="1158"/>
        <w:gridCol w:w="1474"/>
        <w:gridCol w:w="1368"/>
        <w:gridCol w:w="1205"/>
        <w:gridCol w:w="890"/>
      </w:tblGrid>
      <w:tr>
        <w:trPr>
          <w:tblHeader w:val="on"/>
        </w:trPr>
        <w:tc>
          <w:tcPr>
            <w:shd w:val="clear" w:color="auto" w:fill="595959"/>
            <w:vAlign w:val="center"/>
            <w:tcW w:type="dxa" w:w="3265"/>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1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474"/>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68"/>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Status</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69 s / 82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373 s / 437 s</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12,345 s (~3.4 h)</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66.8 GB</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full-chr22 (54s), current default engine</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41:50</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single-sample (chr22), real GIAB, current default engine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~3.3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E7E6E6"/>
            <w:vAlign w:val="center"/>
            <w:tcW w:type="dxa" w:w="3265"/>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11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474"/>
          </w:tcPr>
          <w:p>
            <w:pPr>
              <w:pStyle w:val="Compact"/>
              <w:jc w:val="left"/>
            </w:pPr>
            <w:r>
              <w:rPr>
                <w:rFonts w:ascii="Times New Roman" w:hAnsi="Times New Roman" w:cs="Times New Roman" w:eastAsia="Times New Roman"/>
                <w:b/>
                <w:bCs/>
                <w:sz w:val="20"/>
              </w:rPr>
              <w:t xml:space="preserve">~2.9-3.2 GB</w:t>
            </w:r>
          </w:p>
        </w:tc>
        <w:tc>
          <w:tcPr>
            <w:shd w:val="clear" w:color="auto" w:fill="E7E6E6"/>
            <w:vAlign w:val="center"/>
            <w:tcW w:type="dxa" w:w="1368"/>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FINAL</w:t>
            </w:r>
          </w:p>
        </w:tc>
      </w:tr>
      <w:tr>
        <w:tc>
          <w:tcPr>
            <w:shd w:val="clear" w:color="auto" w:fill="FFFFFF"/>
            <w:vAlign w:val="center"/>
            <w:tcW w:type="dxa" w:w="3265"/>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11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474"/>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368"/>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FINAL</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+0.010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2026-07-01T19:17:45Z</dcterms:created>
  <dcterms:modified xsi:type="dcterms:W3CDTF">2026-07-01T19:17:45Z</dcterms:modified>
</cp:coreProperties>
</file>

<file path=docProps/custom.xml><?xml version="1.0" encoding="utf-8"?>
<Properties xmlns="http://schemas.openxmlformats.org/officeDocument/2006/custom-properties" xmlns:vt="http://schemas.openxmlformats.org/officeDocument/2006/docPropsVTypes"/>
</file>