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 On a like-for-like impute-only basis (the mode in which the original Selphi 1.5.3, which requires pre-phased input, is run), Selphi 2 matches or exceeds Selphi 1.5.3 across the frequency spectrum: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(chr22) and 0.5643 versus 0.5581 (chr1), Selphi 2 higher at every bin from the rarest through low frequency, the two within ≈0.001 (seed-level noise) at the most common bins (Supplementary Table S12) — the Rust reimplementation preserves, and at rare frequencies improves on, Selphi 1's imputation accuracy.</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2026-07-10T06:21:51Z</dcterms:created>
  <dcterms:modified xsi:type="dcterms:W3CDTF">2026-07-10T06:21:51Z</dcterms:modified>
</cp:coreProperties>
</file>

<file path=docProps/custom.xml><?xml version="1.0" encoding="utf-8"?>
<Properties xmlns="http://schemas.openxmlformats.org/officeDocument/2006/custom-properties" xmlns:vt="http://schemas.openxmlformats.org/officeDocument/2006/docPropsVTypes"/>
</file>