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 On a like-for-like impute-only basis (the mode in which the original Selphi 1.5.3, which requires pre-phased input, is run), Selphi 2 matches or exceeds Selphi 1.5.3 across the frequency spectrum: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(chr22) and 0.5643 versus 0.5581 (chr1), Selphi 2 higher at every bin from the rarest through low frequency, the two within ≈0.001 (seed-level noise) at the most common bins (Supplementary Table S12) — the Rust reimplementation preserves, and at rare frequencies improves on, Selphi 1's imputation accuracy.</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61"/>
        <w:gridCol w:w="1074"/>
        <w:gridCol w:w="1074"/>
        <w:gridCol w:w="1201"/>
        <w:gridCol w:w="1328"/>
        <w:gridCol w:w="1074"/>
        <w:gridCol w:w="1074"/>
        <w:gridCol w:w="1074"/>
      </w:tblGrid>
      <w:tr>
        <w:trPr>
          <w:tblHeader w:val="on"/>
        </w:trPr>
        <w:tc>
          <w:tcPr>
            <w:shd w:val="clear" w:color="auto" w:fill="595959"/>
            <w:vAlign w:val="center"/>
            <w:tcW w:type="dxa" w:w="1461"/>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201"/>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328"/>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07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0.6753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0.7598</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0.7972</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461"/>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201"/>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328"/>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0.8432</w:t>
            </w:r>
          </w:p>
        </w:tc>
        <w:tc>
          <w:tcPr>
            <w:shd w:val="clear" w:color="auto" w:fill="FFFFFF"/>
            <w:vAlign w:val="center"/>
            <w:tcW w:type="dxa" w:w="107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07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461"/>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201"/>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328"/>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07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07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2026-07-10T15:03:48Z</dcterms:created>
  <dcterms:modified xsi:type="dcterms:W3CDTF">2026-07-10T15:03:48Z</dcterms:modified>
</cp:coreProperties>
</file>

<file path=docProps/custom.xml><?xml version="1.0" encoding="utf-8"?>
<Properties xmlns="http://schemas.openxmlformats.org/officeDocument/2006/custom-properties" xmlns:vt="http://schemas.openxmlformats.org/officeDocument/2006/docPropsVTypes"/>
</file>