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jc w:val="both"/>
      </w:pPr>
      <w:r>
        <w:rPr>
          <w:rFonts w:ascii="Times New Roman" w:hAnsi="Times New Roman" w:cs="Times New Roman" w:eastAsia="Times New Roman"/>
          <w:b/>
          <w:bCs/>
        </w:rPr>
        <w:t xml:space="preserve">Selphi 2 unifies phasing, imputation, and low-coverage sequencing in a single whole-genome binary</w:t>
      </w:r>
    </w:p>
    <w:p>
      <w:pPr>
        <w:pStyle w:val="FirstParagraph"/>
        <w:jc w:val="both"/>
      </w:pPr>
      <w:r>
        <w:rPr>
          <w:rFonts w:ascii="Times New Roman" w:hAnsi="Times New Roman" w:cs="Times New Roman" w:eastAsia="Times New Roman"/>
        </w:rPr>
        <w:t xml:space="preserve">Authors: Adriano De Marino</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Sandra Bohn</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Jon Lerga-Jaso</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Biljana Novković</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Andrew Terpolovsky</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Puya G. Yazdi</w:t>
      </w:r>
      <w:r>
        <w:rPr>
          <w:rFonts w:ascii="Times New Roman" w:hAnsi="Times New Roman" w:cs="Times New Roman" w:eastAsia="Times New Roman"/>
          <w:vertAlign w:val="superscript"/>
        </w:rPr>
        <w:t xml:space="preserve">1,*</w:t>
      </w:r>
    </w:p>
    <w:p>
      <w:pPr>
        <w:pStyle w:val="BodyText"/>
        <w:jc w:val="both"/>
      </w:pP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w:t>
      </w:r>
      <w:r>
        <w:rPr>
          <w:rFonts w:ascii="Times New Roman" w:hAnsi="Times New Roman" w:cs="Times New Roman" w:eastAsia="Times New Roman"/>
        </w:rPr>
        <w:t xml:space="preserve">Research and Development, Omicsedge, Miami, FL, USA</w:t>
      </w:r>
    </w:p>
    <w:p>
      <w:pPr>
        <w:pStyle w:val="BodyText"/>
        <w:jc w:val="both"/>
      </w:pPr>
      <w:r>
        <w:rPr>
          <w:rFonts w:ascii="Times New Roman" w:hAnsi="Times New Roman" w:cs="Times New Roman" w:eastAsia="Times New Roman"/>
        </w:rPr>
        <w:t xml:space="preserve">* Corresponding author: pyazdi@omicsedge.com</w:t>
      </w:r>
    </w:p>
    <w:p>
      <w:pPr>
        <w:pStyle w:val="Heading1"/>
        <w:jc w:val="both"/>
      </w:pPr>
      <w:r>
        <w:rPr>
          <w:rFonts w:ascii="Times New Roman" w:hAnsi="Times New Roman" w:cs="Times New Roman" w:eastAsia="Times New Roman"/>
          <w:b/>
          <w:bCs/>
        </w:rPr>
        <w:t xml:space="preserve">Abstract</w:t>
      </w:r>
    </w:p>
    <w:p>
      <w:pPr>
        <w:pStyle w:val="FirstParagraph"/>
        <w:jc w:val="both"/>
      </w:pPr>
      <w:r>
        <w:rPr>
          <w:rFonts w:ascii="Times New Roman" w:hAnsi="Times New Roman" w:cs="Times New Roman" w:eastAsia="Times New Roman"/>
        </w:rPr>
        <w:t xml:space="preserve">End-to-end genotype imputation today requires chaining multiple specialized tools, Eagle2 or SHAPEIT5 for phasing, Beagle, IMPUTE5, or Minimac4 for imputation, dedicated reference panel converters, bcftools for indexing, and per-format writers, each operating on per-chromosome inputs and emitting intermediate VCF files between stages. Here we present Selphi 2, a complete reimplementation of the Selphi genotype imputation framework in Rust that integrates the full workflow into a single tool. Selphi 2 adds two phasing engines (a diploid genotype-graph engine with MCMC sampling, used by default, and a haploid composite HMM) and imputes whole-genome targets against a single multi-chromosome reference panel in one command, eliminating per-chromosome file splitting and output concatenation. Selphi 2 reduces wall time by an order of magnitude relative to Selphi 1 and reduces peak memory by up to 58% relative to Beagle 5.5 (and is comparable on the largest chromosome), while matching or exceeding Selphi 1's accuracy: on homogeneous reference panels accuracy is preserved, and on admixed cohorts imputed against biobank-scale panels a panel-adaptive candidate-set sizing rule, derived from reference panel size and haplotype-pattern diversity, improves rare-variant accuracy over a fixed candidate-set size, which on very large panels retains too few of the haplotypes that carry rare alleles in minority ancestries. On six held-out individuals, each with a consumer genotyping array and a matched high-coverage genome (imputed against a 75,552-haplotype reference panel), Selphi 2's imputer matches or exceeds Beagle 5.5 at equal phasing on both SNPs and indels, and with its own default diploid phasing (which averages a small intra-run phase ensemble for one extra imputation pass and no extra phasing) exceeds Beagle's full pipeline on both SNPs and indels. The same binary additionally provides a low-coverage sequencing (lcWGS) imputation engine: a genotype-likelihood-aware Li-Stephens model that imputes directly from soft-called sequencing data. Benchmarked against GLIMPSE2 on real low-coverage sequencing of six Genome in a Bottle reference samples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leak-free panel), it exceeds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the variant sites on five of the six (tied on the sixth) while imputing each sample independently against the panel without ever materializing the full-chromosome reference panel; run one sample at a time (its native mode), it is roughly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GLIMPSE2.</w:t>
      </w:r>
    </w:p>
    <w:p>
      <w:pPr>
        <w:pStyle w:val="Heading1"/>
        <w:jc w:val="both"/>
      </w:pPr>
      <w:r>
        <w:rPr>
          <w:rFonts w:ascii="Times New Roman" w:hAnsi="Times New Roman" w:cs="Times New Roman" w:eastAsia="Times New Roman"/>
          <w:b/>
          <w:bCs/>
        </w:rPr>
        <w:t xml:space="preserve">Introduction</w:t>
      </w:r>
    </w:p>
    <w:p>
      <w:pPr>
        <w:pStyle w:val="FirstParagraph"/>
        <w:jc w:val="both"/>
      </w:pPr>
      <w:r>
        <w:rPr>
          <w:rFonts w:ascii="Times New Roman" w:hAnsi="Times New Roman" w:cs="Times New Roman" w:eastAsia="Times New Roman"/>
        </w:rPr>
        <w:t xml:space="preserve">Genotype imputation, the statistical inference of ungenotyped variants from reference panels of sequenced haplotypes, has become foundational to modern human genetics. By expanding the variant coverage of array-genotyped and low-coverage sequenced cohorts, imputation enables genome-wide association studies (GWAS), polygenic risk score (PRS) estimation, and fine-mapping of causal variants at a fraction of the cost of deep whole-genome sequencing (WGS)</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As reference panels have grown from thousands to hundreds of thousands of sequenced individuals, and as the clinical relevance of rare and low-frequency variants has become increasingly apparent, the demands on imputation algorithms have evolved accordingly.</w:t>
      </w:r>
    </w:p>
    <w:p>
      <w:pPr>
        <w:pStyle w:val="BodyText"/>
        <w:jc w:val="both"/>
      </w:pPr>
      <w:r>
        <w:rPr>
          <w:rFonts w:ascii="Times New Roman" w:hAnsi="Times New Roman" w:cs="Times New Roman" w:eastAsia="Times New Roman"/>
        </w:rPr>
        <w:t xml:space="preserve">The dominant computational framework for genotype imputation is the Li and Stephens hidden Markov model (HMM)</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which reconstructs each target haplotype as a series of segments copied from panel haplotypes, with switches between the copied haplotypes standing in for historical recombination. To efficiently identify the most informative reference haplotypes from panels containing tens of thousands of individuals, modern tools employ the Positional Burrows-Wheeler Transform (PBWT)</w:t>
      </w:r>
      <w:hyperlink w:anchor="ref3">
        <w:r>
          <w:rPr>
            <w:rFonts w:ascii="Times New Roman" w:hAnsi="Times New Roman" w:cs="Times New Roman" w:eastAsia="Times New Roman"/>
            <w:color w:val="0563C1"/>
            <w:vertAlign w:val="superscript"/>
          </w:rPr>
          <w:t xml:space="preserve">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for haplotype matching. The current landscape of imputation software is anchored by three widely used tools: IMPUTE5</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uses PBWT-based haplotype selection to achieve sub-linear scaling with panel size; Beagle</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(used here at version 5.5) combines integrated phasing</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with haplotype clustering for computational efficiency; and Minimac4</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powers the Michigan and TOPMed imputation servers with low memory requirements. All three tools produce accurate imputation for common variants, though they differ in their handling of rare variants, memory consumption, and integration with upstream phasing.</w:t>
      </w:r>
    </w:p>
    <w:p>
      <w:pPr>
        <w:pStyle w:val="BodyText"/>
        <w:jc w:val="both"/>
      </w:pPr>
      <w:r>
        <w:rPr>
          <w:rFonts w:ascii="Times New Roman" w:hAnsi="Times New Roman" w:cs="Times New Roman" w:eastAsia="Times New Roman"/>
        </w:rPr>
        <w:t xml:space="preserve">The current imputation ecosystem is fragmented across multiple specialized tools. A standard end-to-end workflow phases the target with a dedicated phaser such as Eagle2</w:t>
      </w:r>
      <w:hyperlink w:anchor="ref8">
        <w:r>
          <w:rPr>
            <w:rFonts w:ascii="Times New Roman" w:hAnsi="Times New Roman" w:cs="Times New Roman" w:eastAsia="Times New Roman"/>
            <w:color w:val="0563C1"/>
            <w:vertAlign w:val="superscript"/>
          </w:rPr>
          <w:t xml:space="preserve">8</w:t>
        </w:r>
      </w:hyperlink>
      <w:r>
        <w:rPr>
          <w:rFonts w:ascii="Times New Roman" w:hAnsi="Times New Roman" w:cs="Times New Roman" w:eastAsia="Times New Roman"/>
        </w:rPr>
        <w:t xml:space="preserve">,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or an earlier biobank-scale haplotype estimator</w:t>
      </w:r>
      <w:hyperlink w:anchor="ref10">
        <w:r>
          <w:rPr>
            <w:rFonts w:ascii="Times New Roman" w:hAnsi="Times New Roman" w:cs="Times New Roman" w:eastAsia="Times New Roman"/>
            <w:color w:val="0563C1"/>
            <w:vertAlign w:val="superscript"/>
          </w:rPr>
          <w:t xml:space="preserve">10</w:t>
        </w:r>
      </w:hyperlink>
      <w:r>
        <w:rPr>
          <w:rFonts w:ascii="Times New Roman" w:hAnsi="Times New Roman" w:cs="Times New Roman" w:eastAsia="Times New Roman"/>
        </w:rPr>
        <w:t xml:space="preserve">, imputes the phased target with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IMPUTE5</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or Minimac4</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converts the reference panel between project-specific binary formats with dedicated converters (bref3 for Beagle, xcf for IMPUTE5, msav for Minimac4), splits the genome into per-chromosome files for parallel execution, indexes outputs with bcftools, and re-encodes results into downstream formats (BCF, Apache Parquet, PLINK2 PGEN</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with external writers. Each handoff requires intermediate files, shell glue, and per-chromosome bookkeeping.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integrates phasing and imputation in a single Java process, mitigating some of this fragmentation, but the genome is still processed one chromosome at a time and the output is restricted to VCF.</w:t>
      </w:r>
    </w:p>
    <w:p>
      <w:pPr>
        <w:pStyle w:val="BodyText"/>
        <w:jc w:val="both"/>
      </w:pPr>
      <w:r>
        <w:rPr>
          <w:rFonts w:ascii="Times New Roman" w:hAnsi="Times New Roman" w:cs="Times New Roman" w:eastAsia="Times New Roman"/>
        </w:rPr>
        <w:t xml:space="preserve">The original Selphi</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targeted a different limitation: the short matching range of the sliding-window and chunked PBWT scans used by other tools. Instead of restarting the PBWT within local windows, Selphi 1 ran it across the entire chromosome and summed match evidence along the whole scan, which raised rare-variant accuracy above Beagle 5.4, IMPUTE5, and Minimac4 on both the 1000 Genomes Project</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TOPMed</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panels. However, Selphi 1 was implemented in Python with Numba-JIT-compiled inner loops, required pre-phased input, processed one chromosome at a time, and selected its conditioning haplotypes with fixed per-variant match caps that do not scale with reference panel size.</w:t>
      </w:r>
    </w:p>
    <w:p>
      <w:pPr>
        <w:pStyle w:val="BodyText"/>
        <w:jc w:val="both"/>
      </w:pPr>
      <w:r>
        <w:rPr>
          <w:rFonts w:ascii="Times New Roman" w:hAnsi="Times New Roman" w:cs="Times New Roman" w:eastAsia="Times New Roman"/>
        </w:rPr>
        <w:t xml:space="preserve">Recent methodological advances have addressed some of these challenges in isolation.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cut low-frequency switch-error rates in large cohorts by splitting phasing into two passes: a confident backbone built from common variants, onto which rare alleles are then placed one at a time.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made whole-genome low-coverage imputation tractable by storing the panel compactly, using dense bitmaps for frequent alleles and per-site carrier lists for the rare ones.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extended the PBWT with multi-symbol matching for application to diverse sequencing technologies. None of these tools, however, integrate phasing, imputation, panel preparation, indexing, and multi-format output in a single executable, nor do they perform whole-genome imputation in a single process against a single reference panel file.</w:t>
      </w:r>
    </w:p>
    <w:p>
      <w:pPr>
        <w:pStyle w:val="BodyText"/>
        <w:jc w:val="both"/>
      </w:pPr>
      <w:r>
        <w:rPr>
          <w:rFonts w:ascii="Times New Roman" w:hAnsi="Times New Roman" w:cs="Times New Roman" w:eastAsia="Times New Roman"/>
        </w:rPr>
        <w:t xml:space="preserve">Here we present Selphi 2, a complete reimplementation of the Selphi algorithm in Rust that keeps Selphi 1's long-range, match-accumulating PBWT selection but now runs it within large overlapping windows (default 80 cM) instead of one whole-chromosome pass, which removes the dominant runtime bottleneck of Selphi 1, while resolving the workflow limitations above. Phasing is integrated through two engines: a diploid genotype-graph engine with MCMC sampling, used by default for all inputs, and a haploid composite-HMM engine selectable for chip arrays; pre-phased input is no longer required. Whole-genome imputation is performed in a single command against a single multi-chromosome reference panel file, with the next chromosome's data prefetched during the current chromosome's HMM computation, eliminating per-chromosome file splitting and output concatenation. The number of reference haplotypes retained per target is set by a panel-adaptive sizing formula derived from the reference panel size and the haplotype-pattern diversity of the panel; on admixed cohorts imputed against biobank-scale panels this preserves rare-variant accuracy that a fixed candidate-set size loses by retaining too few rare-allele-carrying haplotypes from minority ancestries. The Rust reimplementation, with a streaming sparse panel format that bounds peak memory below 500 MB during panel construction independently of panel size, reduces both wall time and peak memory relative to Selphi 1 (Results). Output is written to one or more of five formats from a single interpolation pass: VCF.gz, BCF 2.2, Apache Parquet, PLINK2 PGEN with dosage, and SelfDecode per-sample Parquet archives. Figure 1 gives an overview of the full pipeline.</w:t>
      </w:r>
    </w:p>
    <w:p>
      <w:pPr>
        <w:pStyle w:val="BodyText"/>
        <w:jc w:val="both"/>
      </w:pPr>
      <w:r>
        <w:rPr>
          <w:rFonts w:ascii="Times New Roman" w:hAnsi="Times New Roman" w:cs="Times New Roman" w:eastAsia="Times New Roman"/>
        </w:rPr>
        <w:t xml:space="preserve">Selphi 2 further provides a dedicated low-coverage sequencing engine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in the same binary, applying a genotype-likelihood-aware Li-Stephens model to soft-called sequencing input, so that array and low-coverage-sequencing imputation are served by one tool. In this paper, we describe the algorithmic components of Selphi 2 (Methods), benchmark its imputation accuracy and resource consumption against Selphi 1</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the 1000 Genomes Project</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TOPMed</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reference panels, compare its phasing accuracy against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the 1000 Genomes trio dataset, and compare its low-coverage engine against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real low-coverage Genome in a Bottle sequencing</w:t>
      </w:r>
      <w:hyperlink w:anchor="ref17">
        <w:r>
          <w:rPr>
            <w:rFonts w:ascii="Times New Roman" w:hAnsi="Times New Roman" w:cs="Times New Roman" w:eastAsia="Times New Roman"/>
            <w:color w:val="0563C1"/>
            <w:vertAlign w:val="superscript"/>
          </w:rPr>
          <w:t xml:space="preserve">17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(Results).</w:t>
      </w:r>
    </w:p>
    <w:p>
      <w:pPr>
        <w:pStyle w:val="BodyText"/>
        <w:jc w:val="center"/>
      </w:pPr>
      <w:r>
        <w:rPr>
          <w:rFonts w:ascii="Times New Roman" w:hAnsi="Times New Roman" w:cs="Times New Roman" w:eastAsia="Times New Roman"/>
        </w:rPr>
        <w:drawing>
          <wp:inline>
            <wp:extent cx="5334000" cy="5826369"/>
            <wp:effectExtent b="0" l="0" r="0" t="0"/>
            <wp:docPr descr="Figure 1" title="" id="12" name="Picture"/>
            <a:graphic>
              <a:graphicData uri="http://schemas.openxmlformats.org/drawingml/2006/picture">
                <pic:pic>
                  <pic:nvPicPr>
                    <pic:cNvPr descr="figure1_pipeline.png" id="13" name="Picture"/>
                    <pic:cNvPicPr>
                      <a:picLocks noChangeArrowheads="1" noChangeAspect="1"/>
                    </pic:cNvPicPr>
                  </pic:nvPicPr>
                  <pic:blipFill>
                    <a:blip r:embed="rId11"/>
                    <a:stretch>
                      <a:fillRect/>
                    </a:stretch>
                  </pic:blipFill>
                  <pic:spPr bwMode="auto">
                    <a:xfrm>
                      <a:off x="0" y="0"/>
                      <a:ext cx="5334000" cy="5826369"/>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1. Overview of the Selphi 2 pipeline.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The pipeline accepts unphased or phased target genotypes in VCF/BCF format, a reference panel in SRP format (single- or multi-chromosome), and a genetic map. If the input is unphased, phasing is performed first; by default the diploid engine (genotype graph with MCMC sampling) is used for all inputs, with the haploid engine (composite HMM with three-channel greedy swap) selectable for chip arrays. The diploid engine operates in two stages: common variants (MAF ≥ 0.1%) are phased via iterative MCMC with EM-estimated effective population size, then rare variants are phased onto the common-variant scaffold using bidirectional PBWT sweeps with IBD2-aware neighbor exclusion and singleton IBD phasing. When pedigree information is available, Mendelian constraints are applied before the HMM to pre-phase deterministic parent-child configurations. Phased haplotypes are passed directly in memory to the imputation stage with no intermediate file I/O. Imputation uses a coded-step PBWT to select candidate reference haplotypes per target, with the per-target candidate-set size set automatically as a function of panel size and panel diversity (Candidate selection and HMM, below). After haplotype deduplication, a Li-Stephens HMM (32-bit forward pass, 64-bit backward pass) computes per-site posterior weights, with an effective population size that scales linearly with panel size (</w:t>
      </w:r>
      <m:oMath>
        <m:sSub>
          <m:e>
            <m:r>
              <m:t>N</m:t>
            </m:r>
          </m:e>
          <m:sub>
            <m:r>
              <m:t>e</m:t>
            </m:r>
          </m:sub>
        </m:sSub>
        <m:r>
          <m:rPr>
            <m:sty m:val="p"/>
          </m:rPr>
          <m:t>≈</m:t>
        </m:r>
        <m:r>
          <m:t>36.4</m:t>
        </m:r>
        <m:r>
          <m:rPr>
            <m:sty m:val="p"/>
          </m:rPr>
          <m:t>×</m:t>
        </m:r>
        <m:sSub>
          <m:e>
            <m:r>
              <m:t>n</m:t>
            </m:r>
          </m:e>
          <m:sub>
            <m:r>
              <m:rPr>
                <m:nor/>
                <m:sty m:val="p"/>
              </m:rPr>
              <m:t>ref</m:t>
            </m:r>
          </m:sub>
        </m:sSub>
      </m:oMath>
      <w:r>
        <w:rPr>
          <w:rFonts w:ascii="Times New Roman" w:hAnsi="Times New Roman" w:cs="Times New Roman" w:eastAsia="Times New Roman"/>
          <w:sz w:val="20"/>
        </w:rPr>
        <w:t xml:space="preserve">, consistent across panels from 5,000 to 171,000 haplotypes) and is further adjusted per site by minor allele frequency. The HMM weights are interpolated to full reference-panel density using cache-friendly 2D tiles, with interpolation fused to output encoding so that no chromosome-wide interpolated dosage matrix is materialized. Five output formats are supported from a single interpolation pass: VCF.gz, BCF 2.2, Apache Parquet, PLINK2 PGEN with dosage, and SelfDecode per-sample Parquet archives. For low-coverage sequencing input (0.5-2</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depth), a dedicated genotype-likelihood-aware engine (</w:t>
      </w:r>
      <w:r>
        <w:rPr>
          <w:rFonts w:ascii="Times New Roman" w:hAnsi="Times New Roman" w:cs="Times New Roman" w:eastAsia="Times New Roman"/>
          <w:rStyle w:val="VerbatimChar"/>
          <w:sz w:val="20"/>
        </w:rPr>
        <w:t xml:space="preserve">--lcwgs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--engine lcwgs</w:t>
      </w:r>
      <w:r>
        <w:rPr>
          <w:rFonts w:ascii="Times New Roman" w:hAnsi="Times New Roman" w:cs="Times New Roman" w:eastAsia="Times New Roman"/>
          <w:sz w:val="20"/>
        </w:rPr>
        <w:t xml:space="preserve">) replaces the standard phase-and-impute path: it accepts a PL VCF/BCF or aligned reads (BAM/CRAM, with native pileup), and alternates sparse-PBWT haplotype selection with a GL-weighted Li-Stephens forward-backward (</w:t>
      </w:r>
      <m:oMath>
        <m:rad>
          <m:radPr>
            <m:degHide m:val="on"/>
          </m:radPr>
          <m:deg/>
          <m:e>
            <m:r>
              <m:t>n</m:t>
            </m:r>
          </m:e>
        </m:rad>
      </m:oMath>
      <w:r>
        <w:rPr>
          <w:rFonts w:ascii="Times New Roman" w:hAnsi="Times New Roman" w:cs="Times New Roman" w:eastAsia="Times New Roman"/>
          <w:sz w:val="20"/>
        </w:rPr>
        <w:t xml:space="preserve">-checkpointed, SIMD-accelerated) and a diplotype-mosaic phase-commitment step in a Gibbs schedule, emitting GT:DS:GP against the same reference panel and output formats. Auxiliary capabilities include multi-chromosome processing from a single SRP file with overlapped prefetch and mixed-density (WGS + chip) reference-panel construction.</w:t>
      </w:r>
    </w:p>
    <w:p>
      <w:pPr>
        <w:pStyle w:val="Heading1"/>
        <w:jc w:val="both"/>
      </w:pPr>
      <w:r>
        <w:rPr>
          <w:rFonts w:ascii="Times New Roman" w:hAnsi="Times New Roman" w:cs="Times New Roman" w:eastAsia="Times New Roman"/>
          <w:b/>
          <w:bCs/>
        </w:rPr>
        <w:t xml:space="preserve">Methods</w:t>
      </w:r>
    </w:p>
    <w:p>
      <w:pPr>
        <w:pStyle w:val="Heading2"/>
        <w:jc w:val="both"/>
      </w:pPr>
      <w:r>
        <w:rPr>
          <w:rFonts w:ascii="Times New Roman" w:hAnsi="Times New Roman" w:cs="Times New Roman" w:eastAsia="Times New Roman"/>
          <w:b/>
          <w:bCs/>
        </w:rPr>
        <w:t xml:space="preserve">Selphi 2</w:t>
      </w:r>
    </w:p>
    <w:p>
      <w:pPr>
        <w:pStyle w:val="Heading3"/>
        <w:jc w:val="both"/>
      </w:pPr>
      <w:r>
        <w:rPr>
          <w:rFonts w:ascii="Times New Roman" w:hAnsi="Times New Roman" w:cs="Times New Roman" w:eastAsia="Times New Roman"/>
          <w:b/>
          <w:bCs/>
        </w:rPr>
        <w:t xml:space="preserve">Architecture overview</w:t>
      </w:r>
    </w:p>
    <w:p>
      <w:pPr>
        <w:pStyle w:val="FirstParagraph"/>
        <w:jc w:val="both"/>
      </w:pPr>
      <w:r>
        <w:rPr>
          <w:rFonts w:ascii="Times New Roman" w:hAnsi="Times New Roman" w:cs="Times New Roman" w:eastAsia="Times New Roman"/>
        </w:rPr>
        <w:t xml:space="preserve">Selphi 2 is implemented in Rust as a single self-contained binary. All compression libraries, file format encoders (VCF, BCF, Parquet, PGEN), and index builders (TBI, CSI) are integrated into the binary; no external tools are invoked at runtime. Parallelism is provided by the rayon library</w:t>
      </w:r>
      <w:hyperlink w:anchor="ref18">
        <w:r>
          <w:rPr>
            <w:rFonts w:ascii="Times New Roman" w:hAnsi="Times New Roman" w:cs="Times New Roman" w:eastAsia="Times New Roman"/>
            <w:color w:val="0563C1"/>
            <w:vertAlign w:val="superscript"/>
          </w:rPr>
          <w:t xml:space="preserve">18</w:t>
        </w:r>
      </w:hyperlink>
      <w:r>
        <w:rPr>
          <w:rFonts w:ascii="Times New Roman" w:hAnsi="Times New Roman" w:cs="Times New Roman" w:eastAsia="Times New Roman"/>
        </w:rPr>
        <w:t xml:space="preserve">, with fixed-seed iteration orders that guarantee bit-identical output across runs on the same hardware. The inner loops of the haploid and diploid HMMs are SIMD-vectorized for x86-64 and ARM, with a runtime CPU check selecting the appropriate kernel on each host.</w:t>
      </w:r>
    </w:p>
    <w:p>
      <w:pPr>
        <w:pStyle w:val="BodyText"/>
        <w:jc w:val="both"/>
      </w:pPr>
      <w:r>
        <w:rPr>
          <w:rFonts w:ascii="Times New Roman" w:hAnsi="Times New Roman" w:cs="Times New Roman" w:eastAsia="Times New Roman"/>
        </w:rPr>
        <w:t xml:space="preserve">The pipeline accepts unphased or phased VCF/BCF input, phases the target if necessary, imputes against the reference panel, and writes output in one or more formats simultaneously. No intermediate files are written between stages; phased haplotypes are passed in memory to the imputation engine. Memory usage is estimated at startup from panel dimensions and thread count, with a warning if the estimate exceeds available system RAM.</w:t>
      </w:r>
    </w:p>
    <w:p>
      <w:pPr>
        <w:pStyle w:val="Heading3"/>
        <w:jc w:val="both"/>
      </w:pPr>
      <w:r>
        <w:rPr>
          <w:rFonts w:ascii="Times New Roman" w:hAnsi="Times New Roman" w:cs="Times New Roman" w:eastAsia="Times New Roman"/>
          <w:b/>
          <w:bCs/>
        </w:rPr>
        <w:t xml:space="preserve">Phasing engines</w:t>
      </w:r>
    </w:p>
    <w:p>
      <w:pPr>
        <w:pStyle w:val="FirstParagraph"/>
        <w:jc w:val="both"/>
      </w:pPr>
      <w:r>
        <w:rPr>
          <w:rFonts w:ascii="Times New Roman" w:hAnsi="Times New Roman" w:cs="Times New Roman" w:eastAsia="Times New Roman"/>
        </w:rPr>
        <w:t xml:space="preserve">Selphi 2 includes two phasing engines. By default the diploid engine is used for all inputs: across our benchmarks it matches or exceeds the haploid engine on SNP accuracy at every variant density, attains lower phasing switch-error, and runs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(Discussion). The haploid composite-HMM engine, the regime for which it was originally designed (chip arrays), remains available through a command-line option. Missing (no-call) target genotypes, a routine occurrence on genotyping arrays, where typically 1-2% of sites are no-calls per sample, are carried through both phasing engines as missing and imputed from the surrounding haplotypes by a local copying consensus (the majority allele over the nearest neighbours in a positional-BWT sweep of the target haplotypes and the reference panel), rather than being set to the reference allele; conditioning the phasing scaffold on a falsely homozygous-reference call at such sites measurably degrades downstream imputation accuracy, both directly and by biasing the imputer's reference-haplotype selection toward the reference allele at exactly those sites (Results, Table 3; Discussion).</w:t>
      </w:r>
    </w:p>
    <w:p>
      <w:pPr>
        <w:pStyle w:val="BodyText"/>
        <w:jc w:val="both"/>
      </w:pPr>
      <w:r>
        <w:rPr>
          <w:rFonts w:ascii="Times New Roman" w:hAnsi="Times New Roman" w:cs="Times New Roman" w:eastAsia="Times New Roman"/>
          <w:b/>
          <w:bCs/>
        </w:rPr>
        <w:t xml:space="preserve">Haploid engine.</w:t>
      </w:r>
    </w:p>
    <w:p>
      <w:pPr>
        <w:pStyle w:val="BodyText"/>
        <w:jc w:val="both"/>
      </w:pPr>
      <w:r>
        <w:rPr>
          <w:rFonts w:ascii="Times New Roman" w:hAnsi="Times New Roman" w:cs="Times New Roman" w:eastAsia="Times New Roman"/>
        </w:rPr>
        <w:t xml:space="preserve">The haploid phasing engine models each haplotype independently through a composite HMM with a greedy swap criterion, following the approach of Browning and Browning</w:t>
      </w:r>
      <w:hyperlink w:anchor="ref19">
        <w:r>
          <w:rPr>
            <w:rFonts w:ascii="Times New Roman" w:hAnsi="Times New Roman" w:cs="Times New Roman" w:eastAsia="Times New Roman"/>
            <w:color w:val="0563C1"/>
            <w:vertAlign w:val="superscript"/>
          </w:rPr>
          <w:t xml:space="preserve">19</w:t>
        </w:r>
      </w:hyperlink>
      <w:r>
        <w:rPr>
          <w:rFonts w:ascii="Times New Roman" w:hAnsi="Times New Roman" w:cs="Times New Roman" w:eastAsia="Times New Roman"/>
        </w:rPr>
        <w:t xml:space="preserve">. The algorithm operates in 15 iterations (3 burn-in with fixed phase, 12 phasing iterations with decreasing likelihood-ratio thresholds from 100,000 to 1.0).</w:t>
      </w:r>
    </w:p>
    <w:p>
      <w:pPr>
        <w:pStyle w:val="BodyText"/>
        <w:jc w:val="both"/>
      </w:pPr>
      <w:r>
        <w:rPr>
          <w:rFonts w:ascii="Times New Roman" w:hAnsi="Times New Roman" w:cs="Times New Roman" w:eastAsia="Times New Roman"/>
        </w:rPr>
        <w:t xml:space="preserve">At each iteration, a coded-step PBWT</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constructed on the combined reference and target haplotypes, restricted to the set of shared variants. Steps are defined at fixed genetic-distance intervals, with an adaptive step scale: fine steps (scale 1.0, approximately 10 SNPs per step) in early iterations when phasing is uncertain, and coarse steps (scale 3.0, approximately 30 SNPs per step) in later iterations when the phase scaffold is established. This two-resolution strategy is analogous to the common-then-rare phasing approach used in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but operates within a single iterative framework rather than as separate stages.</w:t>
      </w:r>
    </w:p>
    <w:p>
      <w:pPr>
        <w:pStyle w:val="BodyText"/>
        <w:jc w:val="both"/>
      </w:pPr>
      <w:r>
        <w:rPr>
          <w:rFonts w:ascii="Times New Roman" w:hAnsi="Times New Roman" w:cs="Times New Roman" w:eastAsia="Times New Roman"/>
        </w:rPr>
        <w:t xml:space="preserve">Within each iteration, a composite HMM is constructed with three parallel channels. The channels correspond to alternative haplotype configurations, and phase is resolved through a greedy swap that compares the forward-backward posteriors across channels at each heterozygous site. The swap decision is accepted if the likelihood ratio exceeds a threshold that decreases across iterations, implementing a simulated-annealing-like convergence.</w:t>
      </w:r>
    </w:p>
    <w:p>
      <w:pPr>
        <w:pStyle w:val="BodyText"/>
        <w:jc w:val="both"/>
      </w:pPr>
      <w:r>
        <w:rPr>
          <w:rFonts w:ascii="Times New Roman" w:hAnsi="Times New Roman" w:cs="Times New Roman" w:eastAsia="Times New Roman"/>
        </w:rPr>
        <w:t xml:space="preserve">For rare variants, a carrier injection mechanism ensures that haplotypes carrying rare alleles are represented in the matching: when the best IBS match at a position does not carry the target's rare allele, a random carrier from the reference panel is substituted. This prevents rare alleles from being systematically lost during the matching step.</w:t>
      </w:r>
    </w:p>
    <w:p>
      <w:pPr>
        <w:pStyle w:val="BodyText"/>
        <w:jc w:val="both"/>
      </w:pPr>
      <w:r>
        <w:rPr>
          <w:rFonts w:ascii="Times New Roman" w:hAnsi="Times New Roman" w:cs="Times New Roman" w:eastAsia="Times New Roman"/>
        </w:rPr>
        <w:t xml:space="preserve">EM parameter estimation</w:t>
      </w:r>
      <w:hyperlink w:anchor="ref20">
        <w:r>
          <w:rPr>
            <w:rFonts w:ascii="Times New Roman" w:hAnsi="Times New Roman" w:cs="Times New Roman" w:eastAsia="Times New Roman"/>
            <w:color w:val="0563C1"/>
            <w:vertAlign w:val="superscript"/>
          </w:rPr>
          <w:t xml:space="preserve">20</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performed within each iteration to calibrate the mismatch probability and effective recombination rate per window, enabling the HMM transition probabilities to adapt to local recombination patterns.</w:t>
      </w:r>
    </w:p>
    <w:p>
      <w:pPr>
        <w:pStyle w:val="BodyText"/>
        <w:jc w:val="both"/>
      </w:pPr>
      <w:r>
        <w:rPr>
          <w:rFonts w:ascii="Times New Roman" w:hAnsi="Times New Roman" w:cs="Times New Roman" w:eastAsia="Times New Roman"/>
          <w:b/>
          <w:bCs/>
        </w:rPr>
        <w:t xml:space="preserve">Diploid engine.</w:t>
      </w:r>
    </w:p>
    <w:p>
      <w:pPr>
        <w:pStyle w:val="BodyText"/>
        <w:jc w:val="both"/>
      </w:pPr>
      <w:r>
        <w:rPr>
          <w:rFonts w:ascii="Times New Roman" w:hAnsi="Times New Roman" w:cs="Times New Roman" w:eastAsia="Times New Roman"/>
        </w:rPr>
        <w:t xml:space="preserve">The diploid engine models the pair of haplotypes jointly through a genotype graph, following the approach of SHAPEIT4</w:t>
      </w:r>
      <w:hyperlink w:anchor="ref21">
        <w:r>
          <w:rPr>
            <w:rFonts w:ascii="Times New Roman" w:hAnsi="Times New Roman" w:cs="Times New Roman" w:eastAsia="Times New Roman"/>
            <w:color w:val="0563C1"/>
            <w:vertAlign w:val="superscript"/>
          </w:rPr>
          <w:t xml:space="preserve">21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At each heterozygous site, the graph encodes all possible local diplotype configurations using 64-bit bitmasks. A segment-based Li-Stephens HMM computes diplotype transition probabilities across conditioning haplotypes selected by positional PBWT. The number of conditioning haplotypes can be capped for computational efficiency (default: unlimited).</w:t>
      </w:r>
    </w:p>
    <w:p>
      <w:pPr>
        <w:pStyle w:val="BodyText"/>
        <w:jc w:val="both"/>
      </w:pPr>
      <w:r>
        <w:rPr>
          <w:rFonts w:ascii="Times New Roman" w:hAnsi="Times New Roman" w:cs="Times New Roman" w:eastAsia="Times New Roman"/>
        </w:rPr>
        <w:t xml:space="preserve">Phase is resolved via MCMC sampling on the genotype graph with 15 iterations following the scheme 5b,1p,1b,1p,1b,1p,5m (5 initial burn-in, 3 interleaved prune/burn-in cycles, 5 main iterations), followed by a final Viterbi solve. The HMM forward pass is SIMD-vectorized. The diploid engine operates only on common variants (MAF ≥ 0.1%); rare variants are phased in a separate pass (Rare variant phasing, below).</w:t>
      </w:r>
    </w:p>
    <w:p>
      <w:pPr>
        <w:pStyle w:val="BodyText"/>
        <w:jc w:val="both"/>
      </w:pPr>
      <w:r>
        <w:rPr>
          <w:rFonts w:ascii="Times New Roman" w:hAnsi="Times New Roman" w:cs="Times New Roman" w:eastAsia="Times New Roman"/>
        </w:rPr>
        <w:t xml:space="preserve">By default the diploid engine forms a small</w:t>
      </w:r>
      <w:r>
        <w:rPr>
          <w:rFonts w:ascii="Times New Roman" w:hAnsi="Times New Roman" w:cs="Times New Roman" w:eastAsia="Times New Roman"/>
        </w:rPr>
        <w:t xml:space="preserve"> </w:t>
      </w:r>
      <w:r>
        <w:rPr>
          <w:rFonts w:ascii="Times New Roman" w:hAnsi="Times New Roman" w:cs="Times New Roman" w:eastAsia="Times New Roman"/>
          <w:b/>
          <w:bCs/>
        </w:rPr>
        <w:t xml:space="preserve">intra-run phase ensemble</w:t>
      </w:r>
      <w:r>
        <w:rPr>
          <w:rFonts w:ascii="Times New Roman" w:hAnsi="Times New Roman" w:cs="Times New Roman" w:eastAsia="Times New Roman"/>
        </w:rPr>
        <w:t xml:space="preserve"> </w:t>
      </w:r>
      <w:r>
        <w:rPr>
          <w:rFonts w:ascii="Times New Roman" w:hAnsi="Times New Roman" w:cs="Times New Roman" w:eastAsia="Times New Roman"/>
        </w:rPr>
        <w:t xml:space="preserve">to marginalise phase uncertainty for the cost of one extra imputation pass, with no extra phasing. Each main MCMC iteration already draws a complete diplotype configuration, a sample from the phase posterior, that the chain otherwise discards in favour of the final Viterbi solve. Instead, the Viterbi solve and a thinned subset of these post-burn-in samples are kept as N phase members (default N = 2) from the single phasing chain; each is carried through rare-variant phasing and imputed, and the per-haplotype Li-Stephens copying weights are averaged across the members before interpolation. Because the imputed dosage is linear in those weights (dosage = Σ w · panel allele, normalised by Σ w), the averaged weights yield the members' mean dosage, marginalising phase uncertainty in dosage space rather than committing to one phasing; the identity is exact up to the per-row sparsity threshold applied to the weights, whose effect we measure at</w:t>
      </w:r>
      <w:r>
        <w:rPr>
          <w:rFonts w:ascii="Times New Roman" w:hAnsi="Times New Roman" w:cs="Times New Roman" w:eastAsia="Times New Roman"/>
        </w:rPr>
        <w:t xml:space="preserve"> </w:t>
      </w:r>
      <m:oMath>
        <m:sSup>
          <m:e>
            <m:r>
              <m:t>10</m:t>
            </m:r>
          </m:e>
          <m:sup>
            <m:r>
              <m:rPr>
                <m:sty m:val="p"/>
              </m:rPr>
              <m:t>−</m:t>
            </m:r>
            <m:r>
              <m:t>6</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the chromosome-22 benchmark. Crucially the members share one phasing chain, so the cost is one phasing plus N imputation passes (the reference-panel read and interpolation are shared), rather than the N independent phasings of a conventional ensemble; on the consumer-array benchmark N = 2 adds ≈25-30 % wall time and raises the diploid engine's genome-wide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from 0.9588 to 0.9605 (the ensemble step on top of the no-call-imputation fix; Results, Table 3). The ensemble is disabled (N = 1, a single Viterbi solve) under</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--sample-batch-size</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--phase-only</w:t>
      </w:r>
      <w:r>
        <w:rPr>
          <w:rFonts w:ascii="Times New Roman" w:hAnsi="Times New Roman" w:cs="Times New Roman" w:eastAsia="Times New Roman"/>
        </w:rPr>
        <w:t xml:space="preserve">; the haploid engine does not use it, as its greedy-swap phasing converges to a single solution rather than sampling a posterior.</w:t>
      </w:r>
    </w:p>
    <w:p>
      <w:pPr>
        <w:pStyle w:val="BodyText"/>
        <w:jc w:val="both"/>
      </w:pPr>
      <w:r>
        <w:rPr>
          <w:rFonts w:ascii="Times New Roman" w:hAnsi="Times New Roman" w:cs="Times New Roman" w:eastAsia="Times New Roman"/>
        </w:rPr>
        <w:t xml:space="preserve">During burn-in iterations, the effective population size (</w:t>
      </w:r>
      <m:oMath>
        <m:sSub>
          <m:e>
            <m:r>
              <m:t>N</m:t>
            </m:r>
          </m:e>
          <m:sub>
            <m:r>
              <m:t>e</m:t>
            </m:r>
          </m:sub>
        </m:sSub>
      </m:oMath>
      <w:r>
        <w:rPr>
          <w:rFonts w:ascii="Times New Roman" w:hAnsi="Times New Roman" w:cs="Times New Roman" w:eastAsia="Times New Roman"/>
        </w:rPr>
        <w:t xml:space="preserve">) is re-estimated from the empirical transition rate observed in the genotype graphs. The observed switch rate (fraction of sites where a genotype graph changes diplotype assignment) is related to</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through the Li-Stephens approximation</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rPr>
            <m:sty m:val="p"/>
          </m:rPr>
          <m:t>s</m:t>
        </m:r>
        <m:r>
          <m:rPr>
            <m:sty m:val="p"/>
          </m:rPr>
          <m:t>w</m:t>
        </m:r>
        <m:r>
          <m:rPr>
            <m:sty m:val="p"/>
          </m:rPr>
          <m:t>i</m:t>
        </m:r>
        <m:r>
          <m:rPr>
            <m:sty m:val="p"/>
          </m:rPr>
          <m:t>t</m:t>
        </m:r>
        <m:r>
          <m:rPr>
            <m:sty m:val="p"/>
          </m:rPr>
          <m:t>c</m:t>
        </m:r>
        <m:r>
          <m:rPr>
            <m:sty m:val="p"/>
          </m:rPr>
          <m:t>h</m:t>
        </m:r>
        <m:r>
          <m:rPr>
            <m:sty m:val="p"/>
          </m:rPr>
          <m:t>_</m:t>
        </m:r>
        <m:r>
          <m:rPr>
            <m:sty m:val="p"/>
          </m:rPr>
          <m:t>r</m:t>
        </m:r>
        <m:r>
          <m:rPr>
            <m:sty m:val="p"/>
          </m:rPr>
          <m:t>a</m:t>
        </m:r>
        <m:r>
          <m:rPr>
            <m:sty m:val="p"/>
          </m:rPr>
          <m:t>t</m:t>
        </m:r>
        <m:r>
          <m:rPr>
            <m:sty m:val="p"/>
          </m:rPr>
          <m:t>e</m:t>
        </m:r>
        <m:r>
          <m:rPr>
            <m:sty m:val="p"/>
          </m:rPr>
          <m:t>≈</m:t>
        </m:r>
        <m:r>
          <m:t>0.04</m:t>
        </m:r>
        <m:r>
          <m:rPr>
            <m:sty m:val="p"/>
          </m:rPr>
          <m:t>×</m:t>
        </m:r>
        <m:sSub>
          <m:e>
            <m:r>
              <m:t>N</m:t>
            </m:r>
          </m:e>
          <m:sub>
            <m:r>
              <m:t>e</m:t>
            </m:r>
          </m:sub>
        </m:sSub>
        <m:r>
          <m:rPr>
            <m:sty m:val="p"/>
          </m:rPr>
          <m:t>×</m:t>
        </m:r>
        <m:r>
          <m:t>d</m:t>
        </m:r>
        <m:r>
          <m:rPr>
            <m:sty m:val="p"/>
          </m:rPr>
          <m:t>/</m:t>
        </m:r>
        <m:sSub>
          <m:e>
            <m:r>
              <m:t>n</m:t>
            </m:r>
          </m:e>
          <m:sub>
            <m:r>
              <m:rPr>
                <m:nor/>
                <m:sty m:val="p"/>
              </m:rPr>
              <m:t>haps</m:t>
            </m:r>
          </m:sub>
        </m:sSub>
      </m:oMath>
      <w:r>
        <w:rPr>
          <w:rFonts w:ascii="Times New Roman" w:hAnsi="Times New Roman" w:cs="Times New Roman" w:eastAsia="Times New Roman"/>
        </w:rPr>
        <w:t xml:space="preserve">, where d is the mean inter-marker distance in cM. The estimated</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clamped to [1,000, 1,000,000] and applied only when the change exceeds 5% of the current value, preventing oscillation while allowing adaptation to population-specific recombination patterns.</w:t>
      </w:r>
    </w:p>
    <w:p>
      <w:pPr>
        <w:pStyle w:val="BodyText"/>
        <w:jc w:val="both"/>
      </w:pPr>
      <w:r>
        <w:rPr>
          <w:rFonts w:ascii="Times New Roman" w:hAnsi="Times New Roman" w:cs="Times New Roman" w:eastAsia="Times New Roman"/>
          <w:b/>
          <w:bCs/>
        </w:rPr>
        <w:t xml:space="preserve">Rare variant phasing (diploid).</w:t>
      </w:r>
    </w:p>
    <w:p>
      <w:pPr>
        <w:pStyle w:val="BodyText"/>
        <w:jc w:val="both"/>
      </w:pPr>
      <w:r>
        <w:rPr>
          <w:rFonts w:ascii="Times New Roman" w:hAnsi="Times New Roman" w:cs="Times New Roman" w:eastAsia="Times New Roman"/>
        </w:rPr>
        <w:t xml:space="preserve">Rare variants (those not in the common-variant scaffold) are phased in a dedicated PBWT-based pass that operates on target haplotypes only. This two-stage common-then-rare strategy parallels the approach introduced in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The algorithm proceeds in four steps. First, an IBD2 scan identifies sample pairs sharing both haplotypes identical-by-descent across scaffold sites</w:t>
      </w:r>
      <w:hyperlink w:anchor="ref22">
        <w:r>
          <w:rPr>
            <w:rFonts w:ascii="Times New Roman" w:hAnsi="Times New Roman" w:cs="Times New Roman" w:eastAsia="Times New Roman"/>
            <w:color w:val="0563C1"/>
            <w:vertAlign w:val="superscript"/>
          </w:rPr>
          <w:t xml:space="preserve">22</w:t>
        </w:r>
      </w:hyperlink>
      <w:r>
        <w:rPr>
          <w:rFonts w:ascii="Times New Roman" w:hAnsi="Times New Roman" w:cs="Times New Roman" w:eastAsia="Times New Roman"/>
        </w:rPr>
        <w:t xml:space="preserve">. Pairs are detected using a diploid PBWT on genotype sums (0/1/2), with IBD2 segments required to span at least 2.5 cM, 1 Mb, and 100 scaffold sites. IBD2 pairs are excluded from PBWT neighbor selection during rare variant phasing, as their haplotypes are uninformative for resolving phase at heterozygous sites shared between both individuals.</w:t>
      </w:r>
    </w:p>
    <w:p>
      <w:pPr>
        <w:pStyle w:val="BodyText"/>
        <w:jc w:val="both"/>
      </w:pPr>
      <w:r>
        <w:rPr>
          <w:rFonts w:ascii="Times New Roman" w:hAnsi="Times New Roman" w:cs="Times New Roman" w:eastAsia="Times New Roman"/>
        </w:rPr>
        <w:t xml:space="preserve">Second, a scaffold bitmatrix is constructed from target haplotypes at scaffold sites, filtering out sites with a missing data rate (MDR) above 10%. A forward PBWT sweep processes all variants in physical order: at scaffold sites, the PBWT arrays (permutation A, divergence C, reverse-lookup R) are updated; at rare heterozygous sites, phasing is performed using a two-pass threshold-then-distance voting scheme. In the threshold pass, the two PBWT neighbors of each of the target's haplotypes vote on the phase assignment. If the net vote exceeds a threshold (starting at 2.5 and decreasing to 1.0), the phase is assigned and the carrier contributes to subsequent decisions. In the distance pass, remaining unphased sites use distance-weighted votes, where the weight is the genetic distance from the PBWT divergence point to the current position.</w:t>
      </w:r>
    </w:p>
    <w:p>
      <w:pPr>
        <w:pStyle w:val="BodyText"/>
        <w:jc w:val="both"/>
      </w:pPr>
      <w:r>
        <w:rPr>
          <w:rFonts w:ascii="Times New Roman" w:hAnsi="Times New Roman" w:cs="Times New Roman" w:eastAsia="Times New Roman"/>
        </w:rPr>
        <w:t xml:space="preserve">Third, a backward PBWT sweep repeats the same procedure in reverse genomic order. The forward and backward results are merged by selecting the direction with higher confidence (absolute vote score) for each rare het.</w:t>
      </w:r>
    </w:p>
    <w:p>
      <w:pPr>
        <w:pStyle w:val="BodyText"/>
        <w:jc w:val="both"/>
      </w:pPr>
      <w:r>
        <w:rPr>
          <w:rFonts w:ascii="Times New Roman" w:hAnsi="Times New Roman" w:cs="Times New Roman" w:eastAsia="Times New Roman"/>
        </w:rPr>
        <w:t xml:space="preserve">Fourth, singleton variants (MAC = 1 among targets) are phased using IBD segment lengths at the scaffold. For each sample, the run-length of consistent alleles on each haplotype is measured at scaffold sites as a proxy for the coalescent Viterbi IBD segment length. The singleton allele is assigned to the haplotype with the longer flanking IBD segment. This is analogous to the coalescent-based singleton phasing in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but uses empirical run-lengths rather than a full coalescent HMM.</w:t>
      </w:r>
    </w:p>
    <w:p>
      <w:pPr>
        <w:pStyle w:val="BodyText"/>
        <w:jc w:val="both"/>
      </w:pPr>
      <w:r>
        <w:rPr>
          <w:rFonts w:ascii="Times New Roman" w:hAnsi="Times New Roman" w:cs="Times New Roman" w:eastAsia="Times New Roman"/>
          <w:b/>
          <w:bCs/>
        </w:rPr>
        <w:t xml:space="preserve">Pedigree scaffolding.</w:t>
      </w:r>
    </w:p>
    <w:p>
      <w:pPr>
        <w:pStyle w:val="BodyText"/>
        <w:jc w:val="both"/>
      </w:pPr>
      <w:r>
        <w:rPr>
          <w:rFonts w:ascii="Times New Roman" w:hAnsi="Times New Roman" w:cs="Times New Roman" w:eastAsia="Times New Roman"/>
        </w:rPr>
        <w:t xml:space="preserve">When pedigree information is available (PLINK PED format), Mendelian constraints from parent-child relationships are applied before the HMM-based phasing, following established practice</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color w:val="0563C1"/>
          <w:vertAlign w:val="superscript"/>
        </w:rPr>
        <w:t xml:space="preserve">,</w:t>
      </w:r>
      <w:hyperlink w:anchor="ref10">
        <w:r>
          <w:rPr>
            <w:rFonts w:ascii="Times New Roman" w:hAnsi="Times New Roman" w:cs="Times New Roman" w:eastAsia="Times New Roman"/>
            <w:color w:val="0563C1"/>
            <w:vertAlign w:val="superscript"/>
          </w:rPr>
          <w:t xml:space="preserve">10</w:t>
        </w:r>
      </w:hyperlink>
      <w:r>
        <w:rPr>
          <w:rFonts w:ascii="Times New Roman" w:hAnsi="Times New Roman" w:cs="Times New Roman" w:eastAsia="Times New Roman"/>
          <w:color w:val="0563C1"/>
          <w:vertAlign w:val="superscript"/>
        </w:rPr>
        <w:t xml:space="preserve">,</w:t>
      </w:r>
      <w:hyperlink w:anchor="ref21">
        <w:r>
          <w:rPr>
            <w:rFonts w:ascii="Times New Roman" w:hAnsi="Times New Roman" w:cs="Times New Roman" w:eastAsia="Times New Roman"/>
            <w:color w:val="0563C1"/>
            <w:vertAlign w:val="superscript"/>
          </w:rPr>
          <w:t xml:space="preserve">21</w:t>
        </w:r>
      </w:hyperlink>
      <w:r>
        <w:rPr>
          <w:rFonts w:ascii="Times New Roman" w:hAnsi="Times New Roman" w:cs="Times New Roman" w:eastAsia="Times New Roman"/>
        </w:rPr>
        <w:t xml:space="preserve">. For each trio or duo, the algorithm considers all nine combinations of parental genotype sums (homozygous reference, heterozygous, homozygous alternate) at each variant. When the child is heterozygous and at least one parent is homozygous, the phase is deterministic: the child received the homozygous allele from that parent. When both parents are heterozygous, the phase cannot be resolved by Mendelian logic alone and is deferred to the HMM. When the child has missing genotype data and both parents are homozygous, the child's genotype is imputed. Mendelian inconsistencies (e.g., child heterozygous with both parents homozygous for the same allele) are counted but not corrected.</w:t>
      </w:r>
    </w:p>
    <w:p>
      <w:pPr>
        <w:pStyle w:val="BodyText"/>
        <w:jc w:val="both"/>
      </w:pPr>
      <w:r>
        <w:rPr>
          <w:rFonts w:ascii="Times New Roman" w:hAnsi="Times New Roman" w:cs="Times New Roman" w:eastAsia="Times New Roman"/>
        </w:rPr>
        <w:t xml:space="preserve">On chromosome X, haploid samples (males) are detected automatically by their heterozygosity rate: samples with fewer than 1% heterozygous calls across at least 100 non-missing sites are classified as haploid. Heterozygous calls in haploid samples are biologically impossible and indicate genotyping error; these are reset to missing to allow the HMM to impute the correct homozygous genotype.</w:t>
      </w:r>
    </w:p>
    <w:p>
      <w:pPr>
        <w:pStyle w:val="BodyText"/>
        <w:jc w:val="both"/>
      </w:pPr>
      <w:r>
        <w:rPr>
          <w:rFonts w:ascii="Times New Roman" w:hAnsi="Times New Roman" w:cs="Times New Roman" w:eastAsia="Times New Roman"/>
          <w:b/>
          <w:bCs/>
        </w:rPr>
        <w:t xml:space="preserve">Panel phasing.</w:t>
      </w:r>
    </w:p>
    <w:p>
      <w:pPr>
        <w:pStyle w:val="BodyText"/>
        <w:jc w:val="both"/>
      </w:pPr>
      <w:r>
        <w:rPr>
          <w:rFonts w:ascii="Times New Roman" w:hAnsi="Times New Roman" w:cs="Times New Roman" w:eastAsia="Times New Roman"/>
        </w:rPr>
        <w:t xml:space="preserve">When no external reference panel is available, the same two phasing engines can phase a cohort against itself in a single command. The cohort haplotypes are used both as the target and as the conditioning set; engine selection follows the same variant-density rule (haploid for chip arrays, diploid for WGS). Output is written as a phased VCF/BCF and, optionally, as a Selphi SRP file or a BREF3</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file for direct reuse as a reference panel in subsequent imputation runs. For cohorts whose memory footprint exceeds available system RAM, the genome is automatically chunked along the genetic map and the chunks are ligated at the boundary haplotype assignment.</w:t>
      </w:r>
    </w:p>
    <w:p>
      <w:pPr>
        <w:pStyle w:val="Heading3"/>
        <w:jc w:val="both"/>
      </w:pPr>
      <w:r>
        <w:rPr>
          <w:rFonts w:ascii="Times New Roman" w:hAnsi="Times New Roman" w:cs="Times New Roman" w:eastAsia="Times New Roman"/>
          <w:b/>
          <w:bCs/>
        </w:rPr>
        <w:t xml:space="preserve">PBWT matching for imputation</w:t>
      </w:r>
    </w:p>
    <w:p>
      <w:pPr>
        <w:pStyle w:val="FirstParagraph"/>
        <w:jc w:val="both"/>
      </w:pPr>
      <w:r>
        <w:rPr>
          <w:rFonts w:ascii="Times New Roman" w:hAnsi="Times New Roman" w:cs="Times New Roman" w:eastAsia="Times New Roman"/>
        </w:rPr>
        <w:t xml:space="preserve">The imputation component uses a coded-step PBWT</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operating directly on the reference panel bitmatrix (1 bit per allele, packed as 64-bit words). At each step boundary (defined by genetic map positions at approximately 0.05 cM intervals), haplotypes are grouped by their allele sequence within the step using word-level extraction: 64 haplotypes are processed per 64-bit operation, steps spanning at most 40 SNPs are coded exactly, as a 64-bit shift register over the step's alleles, and longer steps are coded by FNV-1a hashing. The result is a set of coded-step partitions from which candidate reference haplotypes can be selected.</w:t>
      </w:r>
    </w:p>
    <w:p>
      <w:pPr>
        <w:pStyle w:val="BodyText"/>
        <w:jc w:val="both"/>
      </w:pPr>
      <w:r>
        <w:rPr>
          <w:rFonts w:ascii="Times New Roman" w:hAnsi="Times New Roman" w:cs="Times New Roman" w:eastAsia="Times New Roman"/>
        </w:rPr>
        <w:t xml:space="preserve">For each target haplotype, candidate reference haplotypes are selected based on their co-occurrence with the target in coded-step partitions. The number retained per target (</w:t>
      </w:r>
      <w:r>
        <w:rPr>
          <w:rFonts w:ascii="Times New Roman" w:hAnsi="Times New Roman" w:cs="Times New Roman" w:eastAsia="Times New Roman"/>
          <w:rStyle w:val="VerbatimChar"/>
        </w:rPr>
        <w:t xml:space="preserve">max_candidates</w:t>
      </w:r>
      <w:r>
        <w:rPr>
          <w:rFonts w:ascii="Times New Roman" w:hAnsi="Times New Roman" w:cs="Times New Roman" w:eastAsia="Times New Roman"/>
        </w:rPr>
        <w:t xml:space="preserve">, henceforth</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is set automatically as a function of the reference panel size and diversity, as described in the next section. Thread-local workspace buffers (permutation arrays, divergence arrays) are pre-allocated and reused across all targets within a rayon thread, eliminating per-target allocation overhead.</w:t>
      </w:r>
    </w:p>
    <w:p>
      <w:pPr>
        <w:pStyle w:val="Heading3"/>
        <w:jc w:val="both"/>
      </w:pPr>
      <w:r>
        <w:rPr>
          <w:rFonts w:ascii="Times New Roman" w:hAnsi="Times New Roman" w:cs="Times New Roman" w:eastAsia="Times New Roman"/>
          <w:b/>
          <w:bCs/>
        </w:rPr>
        <w:t xml:space="preserve">Candidate selection and HMM</w:t>
      </w:r>
    </w:p>
    <w:p>
      <w:pPr>
        <w:pStyle w:val="FirstParagraph"/>
        <w:jc w:val="both"/>
      </w:pPr>
      <w:r>
        <w:rPr>
          <w:rFonts w:ascii="Times New Roman" w:hAnsi="Times New Roman" w:cs="Times New Roman" w:eastAsia="Times New Roman"/>
        </w:rPr>
        <w:t xml:space="preserve">The selected candidates undergo two filtering steps before entering the HMM. First, candidates appearing below the 10th percentile of occurrence frequency across all step partitions are removed. Second, candidates with greater than 95% position coverage have their gaps filled to prevent artificial truncation of otherwise consistent matches. Identical reference haplotypes at the shared variant positions are then grouped (haplotype deduplication), reducing the number of HMM hidden states by 10-50% depending on the reference panel and target region.</w:t>
      </w:r>
    </w:p>
    <w:p>
      <w:pPr>
        <w:pStyle w:val="BodyText"/>
        <w:jc w:val="both"/>
      </w:pPr>
      <w:r>
        <w:rPr>
          <w:rFonts w:ascii="Times New Roman" w:hAnsi="Times New Roman" w:cs="Times New Roman" w:eastAsia="Times New Roman"/>
        </w:rPr>
        <w:t xml:space="preserve">A reduced array is constructed containing only the candidate haplotypes plus the target, and a PBWT forward-backward pass is run on this reduced array. Both passes carry the hidden-state vectors in 32-bit floating point, for 2x cache density and SIMD throughput, while the per-site recombination probabilities and the per-row normalization sums are computed and accumulated in 64-bit to maintain numerical stability. The backward pass is streamed rather than materialized: each backward row is computed and immediately multiplied into the stored forward row, so only two backward rows are resident at any time instead of a full site-by-state matrix. The per-site recombination probability follows the standard Li-Stephens formulation</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w:t>
      </w:r>
    </w:p>
    <w:p>
      <w:pPr>
        <w:pStyle w:val="BodyText"/>
        <w:jc w:val="both"/>
      </w:pPr>
      <m:oMathPara>
        <m:oMathParaPr>
          <m:jc m:val="center"/>
        </m:oMathParaPr>
        <m:oMath>
          <m:r>
            <m:t>P</m:t>
          </m:r>
          <m:r>
            <m:rPr>
              <m:sty m:val="p"/>
            </m:rPr>
            <m:t>(</m:t>
          </m:r>
          <m:r>
            <m:rPr>
              <m:sty m:val="p"/>
            </m:rPr>
            <m:t>s</m:t>
          </m:r>
          <m:r>
            <m:rPr>
              <m:sty m:val="p"/>
            </m:rPr>
            <m:t>w</m:t>
          </m:r>
          <m:r>
            <m:rPr>
              <m:sty m:val="p"/>
            </m:rPr>
            <m:t>i</m:t>
          </m:r>
          <m:r>
            <m:rPr>
              <m:sty m:val="p"/>
            </m:rPr>
            <m:t>t</m:t>
          </m:r>
          <m:r>
            <m:rPr>
              <m:sty m:val="p"/>
            </m:rPr>
            <m:t>c</m:t>
          </m:r>
          <m:r>
            <m:rPr>
              <m:sty m:val="p"/>
            </m:rPr>
            <m:t>h</m:t>
          </m:r>
          <m:r>
            <m:rPr>
              <m:sty m:val="p"/>
            </m:rPr>
            <m:t>)</m:t>
          </m:r>
          <m:r>
            <m:rPr>
              <m:sty m:val="p"/>
            </m:rPr>
            <m:t>=</m:t>
          </m:r>
          <m:r>
            <m:t>1</m:t>
          </m:r>
          <m:r>
            <m:rPr>
              <m:sty m:val="p"/>
            </m:rPr>
            <m:t>−</m:t>
          </m:r>
          <m:r>
            <m:rPr>
              <m:sty m:val="p"/>
            </m:rPr>
            <m:t>exp</m:t>
          </m:r>
          <m:r>
            <m:t>​</m:t>
          </m:r>
          <m:d>
            <m:dPr>
              <m:begChr m:val="("/>
              <m:sepChr m:val=""/>
              <m:endChr m:val=")"/>
              <m:grow/>
            </m:dPr>
            <m:e>
              <m:r>
                <m:rPr>
                  <m:sty m:val="p"/>
                </m:rPr>
                <m:t>−</m:t>
              </m:r>
              <m:sSub>
                <m:e>
                  <m:r>
                    <m:t>d</m:t>
                  </m:r>
                </m:e>
                <m:sub>
                  <m:r>
                    <m:t>k</m:t>
                  </m:r>
                </m:sub>
              </m:sSub>
              <m:r>
                <m:rPr>
                  <m:sty m:val="p"/>
                </m:rPr>
                <m:t>×</m:t>
              </m:r>
              <m:r>
                <m:t>0.04</m:t>
              </m:r>
              <m:r>
                <m:rPr>
                  <m:sty m:val="p"/>
                </m:rPr>
                <m:t>×</m:t>
              </m:r>
              <m:sSub>
                <m:e>
                  <m:r>
                    <m:t>N</m:t>
                  </m:r>
                </m:e>
                <m:sub>
                  <m:r>
                    <m:t>e</m:t>
                  </m:r>
                </m:sub>
              </m:sSub>
              <m:r>
                <m:rPr>
                  <m:sty m:val="p"/>
                </m:rPr>
                <m:t>/</m:t>
              </m:r>
              <m:sSub>
                <m:e>
                  <m:r>
                    <m:t>n</m:t>
                  </m:r>
                </m:e>
                <m:sub>
                  <m:r>
                    <m:rPr>
                      <m:nor/>
                      <m:sty m:val="p"/>
                    </m:rPr>
                    <m:t>ref</m:t>
                  </m:r>
                </m:sub>
              </m:sSub>
            </m:e>
          </m:d>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d</m:t>
            </m:r>
          </m:e>
          <m:sub>
            <m:r>
              <m:t>k</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genetic distance between consecutive markers in centiMorgans,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effective population size, and</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number of candidate haplotypes. In existing imputation tools,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a single value that does not scale with reference panel size (Beagle, for example, uses a default</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100,000 for both its phasing and imputation HMMs, optionally re-estimated once per run by EM</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However, the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depends on the reference panel size: as panels grow, PBWT-selected candidates represent increasingly close matches to the target, sharing shorter identity-by-descent segments. To capture the mosaic structure at finer resolution, the HMM must switch between candidates more frequently, requiring a proportionally larger</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Selphi 2 sets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automatically as a linear function of the total number of reference haplotypes:</w:t>
      </w:r>
    </w:p>
    <w:p>
      <w:pPr>
        <w:pStyle w:val="BodyText"/>
        <w:jc w:val="both"/>
      </w:pPr>
      <m:oMathPara>
        <m:oMathParaPr>
          <m:jc m:val="center"/>
        </m:oMathParaPr>
        <m:oMath>
          <m:sSub>
            <m:e>
              <m:r>
                <m:t>N</m:t>
              </m:r>
            </m:e>
            <m:sub>
              <m:r>
                <m:t>e</m:t>
              </m:r>
            </m:sub>
          </m:sSub>
          <m:r>
            <m:rPr>
              <m:sty m:val="p"/>
            </m:rPr>
            <m:t>=</m:t>
          </m:r>
          <m:r>
            <m:t>36.4</m:t>
          </m:r>
          <m:r>
            <m:rPr>
              <m:sty m:val="p"/>
            </m:rPr>
            <m:t>×</m:t>
          </m:r>
          <m:sSub>
            <m:e>
              <m:r>
                <m:t>n</m:t>
              </m:r>
            </m:e>
            <m:sub>
              <m:r>
                <m:rPr>
                  <m:nor/>
                  <m:sty m:val="p"/>
                </m:rPr>
                <m:t>ref,total</m:t>
              </m:r>
            </m:sub>
          </m:sSub>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n</m:t>
            </m:r>
          </m:e>
          <m:sub>
            <m:r>
              <m:rPr>
                <m:nor/>
                <m:sty m:val="p"/>
              </m:rPr>
              <m:t>ref,total</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total number of haplotypes in the reference panel (not the number of candidates selected for the HMM). This scaling was derived empirically by optimizing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across three reference panels spanning two orders of magnitude in size: the 1000 Genomes Phase 3 panel (4,802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175,000), a UK Biobank</w:t>
      </w:r>
      <w:hyperlink w:anchor="ref23">
        <w:r>
          <w:rPr>
            <w:rFonts w:ascii="Times New Roman" w:hAnsi="Times New Roman" w:cs="Times New Roman" w:eastAsia="Times New Roman"/>
            <w:color w:val="0563C1"/>
            <w:vertAlign w:val="superscript"/>
          </w:rPr>
          <w:t xml:space="preserve">23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1000 Genomes composite (75,552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2,750,000), and the TOPMed panel (171,054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6,200,000). The constant ratio</w:t>
      </w:r>
      <w:r>
        <w:rPr>
          <w:rFonts w:ascii="Times New Roman" w:hAnsi="Times New Roman" w:cs="Times New Roman" w:eastAsia="Times New Roman"/>
        </w:rPr>
        <w:t xml:space="preserve"> </w:t>
      </w:r>
      <m:oMath>
        <m:sSub>
          <m:e>
            <m:r>
              <m:t>N</m:t>
            </m:r>
          </m:e>
          <m:sub>
            <m:r>
              <m:t>e</m:t>
            </m:r>
          </m:sub>
        </m:sSub>
        <m:r>
          <m:rPr>
            <m:sty m:val="p"/>
          </m:rPr>
          <m:t>/</m:t>
        </m:r>
        <m:sSub>
          <m:e>
            <m:r>
              <m:t>n</m:t>
            </m:r>
          </m:e>
          <m:sub>
            <m:r>
              <m:rPr>
                <m:nor/>
                <m:sty m:val="p"/>
              </m:rPr>
              <m:t>ref</m:t>
            </m:r>
          </m:sub>
        </m:sSub>
        <m:r>
          <m:rPr>
            <m:sty m:val="p"/>
          </m:rPr>
          <m:t>≈</m:t>
        </m:r>
        <m:r>
          <m:t>36.4</m:t>
        </m:r>
      </m:oMath>
      <w:r>
        <w:rPr>
          <w:rFonts w:ascii="Times New Roman" w:hAnsi="Times New Roman" w:cs="Times New Roman" w:eastAsia="Times New Roman"/>
        </w:rPr>
        <w:t xml:space="preserve"> </w:t>
      </w:r>
      <w:r>
        <w:rPr>
          <w:rFonts w:ascii="Times New Roman" w:hAnsi="Times New Roman" w:cs="Times New Roman" w:eastAsia="Times New Roman"/>
        </w:rPr>
        <w:t xml:space="preserve">was consistent across panels despite substantial differences in population composition (a multi-ethnic global panel, a UK Biobank and 1000 Genomes composite, and a multi-ethnic clinical cohort, respectively). A per-MAF sweep on the current implementation confirms both the optimum and its structure (Supplementary Table S13): on the 1000 Genomes panel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maximised at the formula's</w:t>
      </w:r>
      <w:r>
        <w:rPr>
          <w:rFonts w:ascii="Times New Roman" w:hAnsi="Times New Roman" w:cs="Times New Roman" w:eastAsia="Times New Roman"/>
        </w:rPr>
        <w:t xml:space="preserve"> </w:t>
      </w:r>
      <m:oMath>
        <m:sSub>
          <m:e>
            <m:r>
              <m:t>N</m:t>
            </m:r>
          </m:e>
          <m:sub>
            <m:r>
              <m:t>e</m:t>
            </m:r>
          </m:sub>
        </m:sSub>
        <m:r>
          <m:rPr>
            <m:sty m:val="p"/>
          </m:rPr>
          <m:t>≈</m:t>
        </m:r>
        <m:r>
          <m:t>175</m:t>
        </m:r>
        <m:r>
          <m:rPr>
            <m:sty m:val="p"/>
          </m:rPr>
          <m:t>,</m:t>
        </m:r>
        <m:r>
          <m:t>000</m:t>
        </m:r>
      </m:oMath>
      <w:r>
        <w:rPr>
          <w:rFonts w:ascii="Times New Roman" w:hAnsi="Times New Roman" w:cs="Times New Roman" w:eastAsia="Times New Roman"/>
        </w:rPr>
        <w:t xml:space="preserve">, while rare variants favour a lower</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(≈50,000) and common variants a higher one (≈350,000), so the single formula value balances a genuine rare-versus-common tradeoff rather than sitting at either extreme.</w:t>
      </w:r>
    </w:p>
    <w:p>
      <w:pPr>
        <w:pStyle w:val="BodyText"/>
        <w:jc w:val="both"/>
      </w:pPr>
      <w:r>
        <w:rPr>
          <w:rFonts w:ascii="Times New Roman" w:hAnsi="Times New Roman" w:cs="Times New Roman" w:eastAsia="Times New Roman"/>
        </w:rPr>
        <w:t xml:space="preserve">The effective population size is further calibrated per site using a MAF-adaptive scheme:</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set to</w:t>
      </w:r>
      <w:r>
        <w:rPr>
          <w:rFonts w:ascii="Times New Roman" w:hAnsi="Times New Roman" w:cs="Times New Roman" w:eastAsia="Times New Roman"/>
        </w:rPr>
        <w:t xml:space="preserve"> </w:t>
      </w:r>
      <m:oMath>
        <m:r>
          <m:t>0.85</m:t>
        </m:r>
        <m:r>
          <m:rPr>
            <m:sty m:val="p"/>
          </m:rPr>
          <m:t>×</m:t>
        </m:r>
        <m:sSub>
          <m:e>
            <m:r>
              <m:t>N</m:t>
            </m:r>
          </m:e>
          <m:sub>
            <m:r>
              <m:t>e</m:t>
            </m:r>
            <m:r>
              <m:rPr>
                <m:sty m:val="p"/>
              </m:rPr>
              <m:t>,</m:t>
            </m:r>
            <m:r>
              <m:rPr>
                <m:nor/>
                <m:sty m:val="p"/>
              </m:rPr>
              <m:t>base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rare variants (MAF &lt; 0.5%) and</w:t>
      </w:r>
      <w:r>
        <w:rPr>
          <w:rFonts w:ascii="Times New Roman" w:hAnsi="Times New Roman" w:cs="Times New Roman" w:eastAsia="Times New Roman"/>
        </w:rPr>
        <w:t xml:space="preserve"> </w:t>
      </w:r>
      <m:oMath>
        <m:r>
          <m:t>1.2</m:t>
        </m:r>
        <m:r>
          <m:rPr>
            <m:sty m:val="p"/>
          </m:rPr>
          <m:t>×</m:t>
        </m:r>
        <m:sSub>
          <m:e>
            <m:r>
              <m:t>N</m:t>
            </m:r>
          </m:e>
          <m:sub>
            <m:r>
              <m:t>e</m:t>
            </m:r>
            <m:r>
              <m:rPr>
                <m:sty m:val="p"/>
              </m:rPr>
              <m:t>,</m:t>
            </m:r>
            <m:r>
              <m:rPr>
                <m:nor/>
                <m:sty m:val="p"/>
              </m:rPr>
              <m:t>base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common variants (MAF &gt; 2%), with a smooth logistic transition between. When the diploid phasing engine is used, the</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estimated by EM during burn-in (see Diploid engine, above) may additionally inform the imputation HMM. Users may override the automatic</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with a fixed value for reproducibility with prior results.</w:t>
      </w:r>
    </w:p>
    <w:p>
      <w:pPr>
        <w:pStyle w:val="BodyText"/>
        <w:jc w:val="both"/>
      </w:pPr>
      <w:r>
        <w:rPr>
          <w:rFonts w:ascii="Times New Roman" w:hAnsi="Times New Roman" w:cs="Times New Roman" w:eastAsia="Times New Roman"/>
          <w:b/>
          <w:bCs/>
        </w:rPr>
        <w:t xml:space="preserve">Adaptive candidate-set sizing.</w:t>
      </w:r>
      <w:r>
        <w:rPr>
          <w:rFonts w:ascii="Times New Roman" w:hAnsi="Times New Roman" w:cs="Times New Roman" w:eastAsia="Times New Roman"/>
        </w:rPr>
        <w:t xml:space="preserve"> </w:t>
      </w:r>
      <w:r>
        <w:rPr>
          <w:rFonts w:ascii="Times New Roman" w:hAnsi="Times New Roman" w:cs="Times New Roman" w:eastAsia="Times New Roman"/>
        </w:rPr>
        <w:t xml:space="preserve">Selphi 1 retained conditioning haplotypes with fixed per-variant match caps, independent of reference panel size: a forward top-</w:t>
      </w:r>
      <m:oMath>
        <m:sSub>
          <m:e>
            <m:r>
              <m:t>K</m:t>
            </m:r>
          </m:e>
          <m:sub>
            <m:r>
              <m:t>1</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450, reduced to</w:t>
      </w:r>
      <w:r>
        <w:rPr>
          <w:rFonts w:ascii="Times New Roman" w:hAnsi="Times New Roman" w:cs="Times New Roman" w:eastAsia="Times New Roman"/>
        </w:rPr>
        <w:t xml:space="preserve"> </w:t>
      </w:r>
      <m:oMath>
        <m:sSub>
          <m:e>
            <m:r>
              <m:t>K</m:t>
            </m:r>
          </m:e>
          <m:sub>
            <m:r>
              <m:t>2</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60 matches per variant in a backward re-scoring pass, then a top-</w:t>
      </w:r>
      <m:oMath>
        <m:sSub>
          <m:e>
            <m:r>
              <m:t>K</m:t>
            </m:r>
          </m:e>
          <m:sub>
            <m:r>
              <m:t>3</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50 filter. Selphi 2 instead sizes the per-target candidate set adaptively. The maximum number of reference haplotypes retained per target, denoted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henceforth, is set automatically as a function of reference panel size and panel diversity. A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example</w:t>
      </w:r>
      <w:r>
        <w:rPr>
          <w:rFonts w:ascii="Times New Roman" w:hAnsi="Times New Roman" w:cs="Times New Roman" w:eastAsia="Times New Roman"/>
        </w:rPr>
        <w:t xml:space="preserve"> </w:t>
      </w:r>
      <m:oMath>
        <m:sSub>
          <m:e>
            <m:r>
              <m:t>m</m:t>
            </m:r>
          </m:e>
          <m:sub>
            <m:r>
              <m:t>c</m:t>
            </m:r>
          </m:sub>
        </m:sSub>
        <m:r>
          <m:rPr>
            <m:sty m:val="p"/>
          </m:rPr>
          <m:t>=</m:t>
        </m:r>
        <m:r>
          <m:t>2</m:t>
        </m:r>
        <m:r>
          <m:rPr>
            <m:sty m:val="p"/>
          </m:rPr>
          <m:t>,</m:t>
        </m:r>
        <m:r>
          <m:t>500</m:t>
        </m:r>
      </m:oMath>
      <w:r>
        <w:rPr>
          <w:rFonts w:ascii="Times New Roman" w:hAnsi="Times New Roman" w:cs="Times New Roman" w:eastAsia="Times New Roman"/>
        </w:rPr>
        <w:t xml:space="preserve">) generates a panel-relative truncation rate that varies by two orders of magnitude across panels:</w:t>
      </w:r>
      <w:r>
        <w:rPr>
          <w:rFonts w:ascii="Times New Roman" w:hAnsi="Times New Roman" w:cs="Times New Roman" w:eastAsia="Times New Roman"/>
        </w:rPr>
        <w:t xml:space="preserve"> </w:t>
      </w:r>
      <m:oMath>
        <m:sSub>
          <m:e>
            <m:r>
              <m:t>m</m:t>
            </m:r>
          </m:e>
          <m:sub>
            <m:r>
              <m:t>c</m:t>
            </m:r>
          </m:sub>
        </m:sSub>
        <m:r>
          <m:rPr>
            <m:sty m:val="p"/>
          </m:rPr>
          <m:t>=</m:t>
        </m:r>
        <m:r>
          <m:t>2</m:t>
        </m:r>
        <m:r>
          <m:rPr>
            <m:sty m:val="p"/>
          </m:rPr>
          <m:t>,</m:t>
        </m:r>
        <m:r>
          <m:t>500</m:t>
        </m:r>
      </m:oMath>
      <w:r>
        <w:rPr>
          <w:rFonts w:ascii="Times New Roman" w:hAnsi="Times New Roman" w:cs="Times New Roman" w:eastAsia="Times New Roman"/>
        </w:rPr>
        <w:t xml:space="preserve"> </w:t>
      </w:r>
      <w:r>
        <w:rPr>
          <w:rFonts w:ascii="Times New Roman" w:hAnsi="Times New Roman" w:cs="Times New Roman" w:eastAsia="Times New Roman"/>
        </w:rPr>
        <w:t xml:space="preserve">retains 50% of a 5,000-haplotype panel but only 1.5% of a 171,054-haplotype panel. The latter regime systematically excludes rare-variant carriers from minority sub-populations when the per-target top-K is dominated by haplotypes of the panel's majority ancestry, producing</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losses concentrated on low-frequency variants in admixed cohorts.</w:t>
      </w:r>
    </w:p>
    <w:p>
      <w:pPr>
        <w:pStyle w:val="BodyText"/>
        <w:jc w:val="both"/>
      </w:pPr>
      <w:r>
        <w:rPr>
          <w:rFonts w:ascii="Times New Roman" w:hAnsi="Times New Roman" w:cs="Times New Roman" w:eastAsia="Times New Roman"/>
        </w:rPr>
        <w:t xml:space="preserve">Selphi 2 resolves</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automatically as</w:t>
      </w:r>
    </w:p>
    <w:p>
      <w:pPr>
        <w:pStyle w:val="BodyText"/>
        <w:jc w:val="both"/>
      </w:pPr>
      <m:oMathPara>
        <m:oMathParaPr>
          <m:jc m:val="center"/>
        </m:oMathParaPr>
        <m:oMath>
          <m:sSub>
            <m:e>
              <m:r>
                <m:t>m</m:t>
              </m:r>
            </m:e>
            <m:sub>
              <m:r>
                <m:t>c</m:t>
              </m:r>
            </m:sub>
          </m:sSub>
          <m:r>
            <m:rPr>
              <m:sty m:val="p"/>
            </m:rPr>
            <m:t>=</m:t>
          </m:r>
          <m:r>
            <m:rPr>
              <m:sty m:val="p"/>
            </m:rPr>
            <m:t>c</m:t>
          </m:r>
          <m:r>
            <m:rPr>
              <m:sty m:val="p"/>
            </m:rPr>
            <m:t>l</m:t>
          </m:r>
          <m:r>
            <m:rPr>
              <m:sty m:val="p"/>
            </m:rPr>
            <m:t>a</m:t>
          </m:r>
          <m:r>
            <m:rPr>
              <m:sty m:val="p"/>
            </m:rPr>
            <m:t>m</m:t>
          </m:r>
          <m:r>
            <m:rPr>
              <m:sty m:val="p"/>
            </m:rPr>
            <m:t>p</m:t>
          </m:r>
          <m:r>
            <m:t>​</m:t>
          </m:r>
          <m:d>
            <m:dPr>
              <m:begChr m:val="("/>
              <m:sepChr m:val=""/>
              <m:endChr m:val=")"/>
              <m:grow/>
            </m:dPr>
            <m:e>
              <m:sSub>
                <m:e>
                  <m:r>
                    <m:t>N</m:t>
                  </m:r>
                </m:e>
                <m:sub>
                  <m:r>
                    <m:rPr>
                      <m:nor/>
                      <m:sty m:val="p"/>
                    </m:rPr>
                    <m:t>ref</m:t>
                  </m:r>
                </m:sub>
              </m:sSub>
              <m:r>
                <m:t> </m:t>
              </m:r>
              <m:r>
                <m:rPr>
                  <m:sty m:val="p"/>
                </m:rPr>
                <m:t>(</m:t>
              </m:r>
              <m:r>
                <m:t>γ</m:t>
              </m:r>
              <m:r>
                <m:rPr>
                  <m:sty m:val="p"/>
                </m:rPr>
                <m:t>+</m:t>
              </m:r>
              <m:r>
                <m:t>α</m:t>
              </m:r>
              <m:r>
                <m:t> </m:t>
              </m:r>
              <m:sSub>
                <m:e>
                  <m:r>
                    <m:rPr>
                      <m:sty m:val="p"/>
                    </m:rPr>
                    <m:t>C</m:t>
                  </m:r>
                  <m:r>
                    <m:rPr>
                      <m:sty m:val="p"/>
                    </m:rPr>
                    <m:t>V</m:t>
                  </m:r>
                </m:e>
                <m:sub>
                  <m:r>
                    <m:rPr>
                      <m:nor/>
                      <m:sty m:val="p"/>
                    </m:rPr>
                    <m:t>panel</m:t>
                  </m:r>
                </m:sub>
              </m:sSub>
              <m:r>
                <m:rPr>
                  <m:sty m:val="p"/>
                </m:rPr>
                <m:t>)</m:t>
              </m:r>
              <m:r>
                <m:rPr>
                  <m:sty m:val="p"/>
                </m:rPr>
                <m:t>,</m:t>
              </m:r>
              <m:r>
                <m:t> </m:t>
              </m:r>
              <m:sSubSup>
                <m:e>
                  <m:r>
                    <m:t>m</m:t>
                  </m:r>
                </m:e>
                <m:sub>
                  <m:r>
                    <m:t>c</m:t>
                  </m:r>
                </m:sub>
                <m:sup>
                  <m:r>
                    <m:rPr>
                      <m:nor/>
                      <m:sty m:val="p"/>
                    </m:rPr>
                    <m:t>floor</m:t>
                  </m:r>
                </m:sup>
              </m:sSubSup>
              <m:r>
                <m:rPr>
                  <m:sty m:val="p"/>
                </m:rPr>
                <m:t>,</m:t>
              </m:r>
              <m:r>
                <m:t> </m:t>
              </m:r>
              <m:sSubSup>
                <m:e>
                  <m:r>
                    <m:t>m</m:t>
                  </m:r>
                </m:e>
                <m:sub>
                  <m:r>
                    <m:t>c</m:t>
                  </m:r>
                </m:sub>
                <m:sup>
                  <m:r>
                    <m:rPr>
                      <m:nor/>
                      <m:sty m:val="p"/>
                    </m:rPr>
                    <m:t>ceil</m:t>
                  </m:r>
                </m:sup>
              </m:sSubSup>
            </m:e>
          </m:d>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total number of reference haplotypes,</w:t>
      </w:r>
      <w:r>
        <w:rPr>
          <w:rFonts w:ascii="Times New Roman" w:hAnsi="Times New Roman" w:cs="Times New Roman" w:eastAsia="Times New Roman"/>
        </w:rPr>
        <w:t xml:space="preserve"> </w:t>
      </w:r>
      <m:oMath>
        <m:r>
          <m:t>γ</m:t>
        </m:r>
      </m:oMath>
      <w:r>
        <w:rPr>
          <w:rFonts w:ascii="Times New Roman" w:hAnsi="Times New Roman" w:cs="Times New Roman" w:eastAsia="Times New Roman"/>
        </w:rPr>
        <w:t xml:space="preserve"> </w:t>
      </w:r>
      <w:r>
        <w:rPr>
          <w:rFonts w:ascii="Times New Roman" w:hAnsi="Times New Roman" w:cs="Times New Roman" w:eastAsia="Times New Roman"/>
        </w:rPr>
        <w:t xml:space="preserve">is a base fraction,</w:t>
      </w:r>
      <w:r>
        <w:rPr>
          <w:rFonts w:ascii="Times New Roman" w:hAnsi="Times New Roman" w:cs="Times New Roman" w:eastAsia="Times New Roman"/>
        </w:rPr>
        <w:t xml:space="preserve"> </w:t>
      </w:r>
      <m:oMath>
        <m:r>
          <m:t>α</m:t>
        </m:r>
      </m:oMath>
      <w:r>
        <w:rPr>
          <w:rFonts w:ascii="Times New Roman" w:hAnsi="Times New Roman" w:cs="Times New Roman" w:eastAsia="Times New Roman"/>
        </w:rPr>
        <w:t xml:space="preserve"> </w:t>
      </w:r>
      <w:r>
        <w:rPr>
          <w:rFonts w:ascii="Times New Roman" w:hAnsi="Times New Roman" w:cs="Times New Roman" w:eastAsia="Times New Roman"/>
        </w:rPr>
        <w:t xml:space="preserve">is a diversity-coupled fraction, and</w:t>
      </w:r>
      <w:r>
        <w:rPr>
          <w:rFonts w:ascii="Times New Roman" w:hAnsi="Times New Roman" w:cs="Times New Roman" w:eastAsia="Times New Roman"/>
        </w:rPr>
        <w:t xml:space="preserve"> </w:t>
      </w:r>
      <m:oMath>
        <m:sSub>
          <m:e>
            <m:r>
              <m:rPr>
                <m:sty m:val="p"/>
              </m:rPr>
              <m:t>C</m:t>
            </m:r>
            <m:r>
              <m:rPr>
                <m:sty m:val="p"/>
              </m:rPr>
              <m:t>V</m:t>
            </m:r>
          </m:e>
          <m:sub>
            <m:r>
              <m:rPr>
                <m:nor/>
                <m:sty m:val="p"/>
              </m:rPr>
              <m:t>panel</m:t>
            </m:r>
          </m:sub>
        </m:sSub>
        <m:r>
          <m:rPr>
            <m:sty m:val="p"/>
          </m:rPr>
          <m:t>∈</m:t>
        </m:r>
        <m:r>
          <m:rPr>
            <m:sty m:val="p"/>
          </m:rPr>
          <m:t>[</m:t>
        </m:r>
        <m:r>
          <m:t>0</m:t>
        </m:r>
        <m:r>
          <m:rPr>
            <m:sty m:val="p"/>
          </m:rPr>
          <m:t>,</m:t>
        </m:r>
        <m:r>
          <m:t>1</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coefficient of variation of compressed tile sizes in the SRP, computed once at panel load.</w:t>
      </w:r>
      <w:r>
        <w:rPr>
          <w:rFonts w:ascii="Times New Roman" w:hAnsi="Times New Roman" w:cs="Times New Roman" w:eastAsia="Times New Roman"/>
        </w:rPr>
        <w:t xml:space="preserve"> </w:t>
      </w:r>
      <m:oMath>
        <m:sSub>
          <m:e>
            <m:r>
              <m:rPr>
                <m:sty m:val="p"/>
              </m:rPr>
              <m:t>C</m:t>
            </m:r>
            <m:r>
              <m:rPr>
                <m:sty m:val="p"/>
              </m:rPr>
              <m:t>V</m:t>
            </m:r>
          </m:e>
          <m:sub>
            <m:r>
              <m:rPr>
                <m:nor/>
                <m:sty m:val="p"/>
              </m:rPr>
              <m:t>panel</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a proxy for haplotype-pattern diversity: panels containing multiple distinct mosaic structures (multiple ancestries, divergent sub-populations) compress less uniformly than ancestrally homogeneous panels, yielding higher CV.</w:t>
      </w:r>
    </w:p>
    <w:p>
      <w:pPr>
        <w:pStyle w:val="BodyText"/>
        <w:jc w:val="both"/>
      </w:pPr>
      <w:r>
        <w:rPr>
          <w:rFonts w:ascii="Times New Roman" w:hAnsi="Times New Roman" w:cs="Times New Roman" w:eastAsia="Times New Roman"/>
          <w:b/>
          <w:bCs/>
        </w:rPr>
        <w:t xml:space="preserve">Choice of</w:t>
      </w:r>
      <w:r>
        <w:rPr>
          <w:rFonts w:ascii="Times New Roman" w:hAnsi="Times New Roman" w:cs="Times New Roman" w:eastAsia="Times New Roman"/>
          <w:b/>
          <w:bCs/>
        </w:rPr>
        <w:t xml:space="preserve"> </w:t>
      </w:r>
      <m:oMath>
        <m:r>
          <m:t>γ</m:t>
        </m:r>
      </m:oMath>
      <w:r>
        <w:rPr>
          <w:rFonts w:ascii="Times New Roman" w:hAnsi="Times New Roman" w:cs="Times New Roman" w:eastAsia="Times New Roman"/>
          <w:b/>
          <w:bCs/>
        </w:rPr>
        <w:t xml:space="preserve">,</w:t>
      </w:r>
      <w:r>
        <w:rPr>
          <w:rFonts w:ascii="Times New Roman" w:hAnsi="Times New Roman" w:cs="Times New Roman" w:eastAsia="Times New Roman"/>
          <w:b/>
          <w:bCs/>
        </w:rPr>
        <w:t xml:space="preserve"> </w:t>
      </w:r>
      <m:oMath>
        <m:r>
          <m:t>α</m:t>
        </m:r>
      </m:oMath>
      <w:r>
        <w:rPr>
          <w:rFonts w:ascii="Times New Roman" w:hAnsi="Times New Roman" w:cs="Times New Roman" w:eastAsia="Times New Roman"/>
          <w:b/>
          <w:bCs/>
        </w:rPr>
        <w:t xml:space="preserve">, and the small-panel rule.</w:t>
      </w:r>
      <w:r>
        <w:rPr>
          <w:rFonts w:ascii="Times New Roman" w:hAnsi="Times New Roman" w:cs="Times New Roman" w:eastAsia="Times New Roman"/>
        </w:rPr>
        <w:t xml:space="preserve"> </w:t>
      </w:r>
      <w:r>
        <w:rPr>
          <w:rFonts w:ascii="Times New Roman" w:hAnsi="Times New Roman" w:cs="Times New Roman" w:eastAsia="Times New Roman"/>
        </w:rPr>
        <w:t xml:space="preserve">Subsetting the conditioning set is a speed and memory optimization that benefits only biobank-scale panels; on a small panel it discards rare-allele-carrying haplotypes for no compute benefit, and the diversity-coupled fraction can return only a fraction of a small panel (on a low-CV panel it falls to the floor). We therefore retain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entire panel</w:t>
      </w:r>
      <w:r>
        <w:rPr>
          <w:rFonts w:ascii="Times New Roman" w:hAnsi="Times New Roman" w:cs="Times New Roman" w:eastAsia="Times New Roman"/>
        </w:rPr>
        <w:t xml:space="preserve"> </w:t>
      </w:r>
      <w:r>
        <w:rPr>
          <w:rFonts w:ascii="Times New Roman" w:hAnsi="Times New Roman" w:cs="Times New Roman" w:eastAsia="Times New Roman"/>
        </w:rPr>
        <w:t xml:space="preserve">as the conditioning set when it contains at most 16,000 haplotypes (≈8,000 samples), applying the formula</w:t>
      </w:r>
      <w:r>
        <w:rPr>
          <w:rFonts w:ascii="Times New Roman" w:hAnsi="Times New Roman" w:cs="Times New Roman" w:eastAsia="Times New Roman"/>
        </w:rPr>
        <w:t xml:space="preserve"> </w:t>
      </w:r>
      <m:oMath>
        <m:sSub>
          <m:e>
            <m:r>
              <m:t>m</m:t>
            </m:r>
          </m:e>
          <m:sub>
            <m:r>
              <m:t>c</m:t>
            </m:r>
          </m:sub>
        </m:sSub>
        <m:r>
          <m:rPr>
            <m:sty m:val="p"/>
          </m:rPr>
          <m:t>=</m:t>
        </m:r>
        <m:r>
          <m:rPr>
            <m:sty m:val="p"/>
          </m:rPr>
          <m:t>c</m:t>
        </m:r>
        <m:r>
          <m:rPr>
            <m:sty m:val="p"/>
          </m:rPr>
          <m:t>l</m:t>
        </m:r>
        <m:r>
          <m:rPr>
            <m:sty m:val="p"/>
          </m:rPr>
          <m:t>a</m:t>
        </m:r>
        <m:r>
          <m:rPr>
            <m:sty m:val="p"/>
          </m:rPr>
          <m:t>m</m:t>
        </m:r>
        <m:r>
          <m:rPr>
            <m:sty m:val="p"/>
          </m:rPr>
          <m:t>p</m:t>
        </m:r>
        <m:r>
          <m:rPr>
            <m:sty m:val="p"/>
          </m:rPr>
          <m:t>(</m:t>
        </m:r>
        <m:sSub>
          <m:e>
            <m:r>
              <m:t>N</m:t>
            </m:r>
          </m:e>
          <m:sub>
            <m:r>
              <m:rPr>
                <m:nor/>
                <m:sty m:val="p"/>
              </m:rPr>
              <m:t>ref</m:t>
            </m:r>
          </m:sub>
        </m:sSub>
        <m:r>
          <m:rPr>
            <m:sty m:val="p"/>
          </m:rPr>
          <m:t>(</m:t>
        </m:r>
        <m:r>
          <m:t>γ</m:t>
        </m:r>
        <m:r>
          <m:rPr>
            <m:sty m:val="p"/>
          </m:rPr>
          <m:t>+</m:t>
        </m:r>
        <m:r>
          <m:t>α</m:t>
        </m:r>
        <m:r>
          <m:rPr>
            <m:sty m:val="p"/>
          </m:rPr>
          <m:t>⋅</m:t>
        </m:r>
        <m:sSub>
          <m:e>
            <m:r>
              <m:rPr>
                <m:sty m:val="p"/>
              </m:rPr>
              <m:t>C</m:t>
            </m:r>
            <m:r>
              <m:rPr>
                <m:sty m:val="p"/>
              </m:rPr>
              <m:t>V</m:t>
            </m:r>
          </m:e>
          <m:sub>
            <m:r>
              <m:rPr>
                <m:nor/>
                <m:sty m:val="p"/>
              </m:rPr>
              <m:t>panel</m:t>
            </m:r>
          </m:sub>
        </m:sSub>
        <m:r>
          <m:rPr>
            <m:sty m:val="p"/>
          </m:rPr>
          <m:t>)</m:t>
        </m:r>
        <m:r>
          <m:rPr>
            <m:sty m:val="p"/>
          </m:rPr>
          <m:t>,</m:t>
        </m:r>
        <m:r>
          <m:t> </m:t>
        </m:r>
        <m:r>
          <m:t>2</m:t>
        </m:r>
        <m:r>
          <m:rPr>
            <m:sty m:val="p"/>
          </m:rPr>
          <m:t>,</m:t>
        </m:r>
        <m:r>
          <m:t>500</m:t>
        </m:r>
        <m:r>
          <m:rPr>
            <m:sty m:val="p"/>
          </m:rPr>
          <m:t>,</m:t>
        </m:r>
        <m:r>
          <m:t> </m:t>
        </m:r>
        <m:sSup>
          <m:e>
            <m:r>
              <m:t>10</m:t>
            </m:r>
          </m:e>
          <m:sup>
            <m:r>
              <m:t>6</m:t>
            </m:r>
          </m:sup>
        </m:sSup>
        <m:r>
          <m:rPr>
            <m:sty m:val="p"/>
          </m:rPr>
          <m:t>)</m:t>
        </m:r>
      </m:oMath>
      <w:r>
        <w:rPr>
          <w:rFonts w:ascii="Times New Roman" w:hAnsi="Times New Roman" w:cs="Times New Roman" w:eastAsia="Times New Roman"/>
        </w:rPr>
        <w:t xml:space="preserve">, with</w:t>
      </w:r>
      <w:r>
        <w:rPr>
          <w:rFonts w:ascii="Times New Roman" w:hAnsi="Times New Roman" w:cs="Times New Roman" w:eastAsia="Times New Roman"/>
        </w:rPr>
        <w:t xml:space="preserve"> </w:t>
      </w:r>
      <m:oMath>
        <m:r>
          <m:t>γ</m:t>
        </m:r>
        <m:r>
          <m:rPr>
            <m:sty m:val="p"/>
          </m:rPr>
          <m:t>=</m:t>
        </m:r>
        <m:r>
          <m:t>0.10</m:t>
        </m:r>
      </m:oMath>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m:oMath>
        <m:r>
          <m:t>α</m:t>
        </m:r>
        <m:r>
          <m:rPr>
            <m:sty m:val="p"/>
          </m:rPr>
          <m:t>=</m:t>
        </m:r>
        <m:r>
          <m:t>0.80</m:t>
        </m:r>
      </m:oMath>
      <w:r>
        <w:rPr>
          <w:rFonts w:ascii="Times New Roman" w:hAnsi="Times New Roman" w:cs="Times New Roman" w:eastAsia="Times New Roman"/>
        </w:rPr>
        <w:t xml:space="preserve">, only above that size (the result is additionally capped at</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This threshold sits above 1000-Genomes-scale panels and below biobank panels (HRC ≈ 65,000, TOPMed ≈ 171,000 haplotypes), and near the empirical accuracy-saturation point of the conditioning-set size. The distinction is consequential for ancestries absent from the panel: imputing Human Genome Diversity Project individuals against a 1000 Genomes panel, the formula's small-panel fraction fell to the 2,500 floor (39% of the 6,332-haplotype panel), dropping the conditioning set's rare-allele carriers and inverting the rare-variant ranking versus Beagle 5.5; retaining the full panel restored Selphi 2's advantage at every frequency above the rarest bin (Results, Out-of-panel generalization). On the panels evaluated here the rule yields the full 4,802 haplotypes for the 1000 Genomes Phase 3 panel and</w:t>
      </w:r>
      <w:r>
        <w:rPr>
          <w:rFonts w:ascii="Times New Roman" w:hAnsi="Times New Roman" w:cs="Times New Roman" w:eastAsia="Times New Roman"/>
        </w:rPr>
        <w:t xml:space="preserve"> </w:t>
      </w:r>
      <m:oMath>
        <m:sSub>
          <m:e>
            <m:r>
              <m:t>m</m:t>
            </m:r>
          </m:e>
          <m:sub>
            <m:r>
              <m:t>c</m:t>
            </m:r>
          </m:sub>
        </m:sSub>
        <m:r>
          <m:rPr>
            <m:sty m:val="p"/>
          </m:rPr>
          <m:t>=</m:t>
        </m:r>
        <m:r>
          <m:t>132</m:t>
        </m:r>
        <m:r>
          <m:rPr>
            <m:sty m:val="p"/>
          </m:rPr>
          <m:t>,</m:t>
        </m:r>
        <m:r>
          <m:t>676</m:t>
        </m:r>
      </m:oMath>
      <w:r>
        <w:rPr>
          <w:rFonts w:ascii="Times New Roman" w:hAnsi="Times New Roman" w:cs="Times New Roman" w:eastAsia="Times New Roman"/>
        </w:rPr>
        <w:t xml:space="preserve"> </w:t>
      </w:r>
      <w:r>
        <w:rPr>
          <w:rFonts w:ascii="Times New Roman" w:hAnsi="Times New Roman" w:cs="Times New Roman" w:eastAsia="Times New Roman"/>
        </w:rPr>
        <w:t xml:space="preserve">for the TOPMed panel (</w:t>
      </w:r>
      <m:oMath>
        <m:sSub>
          <m:e>
            <m:r>
              <m:rPr>
                <m:sty m:val="p"/>
              </m:rPr>
              <m:t>C</m:t>
            </m:r>
            <m:r>
              <m:rPr>
                <m:sty m:val="p"/>
              </m:rPr>
              <m:t>V</m:t>
            </m:r>
          </m:e>
          <m:sub>
            <m:r>
              <m:rPr>
                <m:nor/>
                <m:sty m:val="p"/>
              </m:rPr>
              <m:t>panel</m:t>
            </m:r>
          </m:sub>
        </m:sSub>
        <m:r>
          <m:rPr>
            <m:sty m:val="p"/>
          </m:rPr>
          <m:t>=</m:t>
        </m:r>
        <m:r>
          <m:t>0.845</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m:oMath>
        <m:sSub>
          <m:e>
            <m:r>
              <m:t>N</m:t>
            </m:r>
          </m:e>
          <m:sub>
            <m:r>
              <m:rPr>
                <m:nor/>
                <m:sty m:val="p"/>
              </m:rPr>
              <m:t>ref</m:t>
            </m:r>
          </m:sub>
        </m:sSub>
        <m:r>
          <m:rPr>
            <m:sty m:val="p"/>
          </m:rPr>
          <m:t>=</m:t>
        </m:r>
        <m:r>
          <m:t>171</m:t>
        </m:r>
        <m:r>
          <m:rPr>
            <m:sty m:val="p"/>
          </m:rPr>
          <m:t>,</m:t>
        </m:r>
        <m:r>
          <m:t>054</m:t>
        </m:r>
      </m:oMath>
      <w:r>
        <w:rPr>
          <w:rFonts w:ascii="Times New Roman" w:hAnsi="Times New Roman" w:cs="Times New Roman" w:eastAsia="Times New Roman"/>
        </w:rPr>
        <w:t xml:space="preserve">; 78% of the panel). Users may override the automatic</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with a fixed value for reproducibility with prior results.</w:t>
      </w:r>
    </w:p>
    <w:p>
      <w:pPr>
        <w:pStyle w:val="BodyText"/>
        <w:jc w:val="both"/>
      </w:pPr>
      <w:r>
        <w:rPr>
          <w:rFonts w:ascii="Times New Roman" w:hAnsi="Times New Roman" w:cs="Times New Roman" w:eastAsia="Times New Roman"/>
        </w:rPr>
        <w:t xml:space="preserve">The resulting HMM posterior weights are stored as sparse CSR matrices (row-per-chip-variant, column-per-reference-haplotype), with entries below</w:t>
      </w:r>
      <w:r>
        <w:rPr>
          <w:rFonts w:ascii="Times New Roman" w:hAnsi="Times New Roman" w:cs="Times New Roman" w:eastAsia="Times New Roman"/>
        </w:rPr>
        <w:t xml:space="preserve"> </w:t>
      </w:r>
      <m:oMath>
        <m:r>
          <m:t>1</m:t>
        </m:r>
        <m:r>
          <m:rPr>
            <m:sty m:val="p"/>
          </m:rPr>
          <m:t>/</m:t>
        </m:r>
        <m:r>
          <m:rPr>
            <m:sty m:val="p"/>
          </m:rPr>
          <m:t>(</m:t>
        </m:r>
        <m:r>
          <m:t>H</m:t>
        </m:r>
        <m:r>
          <m:rPr>
            <m:sty m:val="p"/>
          </m:rPr>
          <m:t>+</m:t>
        </m:r>
        <m:r>
          <m:t>1</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set to zero.</w:t>
      </w:r>
    </w:p>
    <w:p>
      <w:pPr>
        <w:pStyle w:val="Heading3"/>
        <w:jc w:val="both"/>
      </w:pPr>
      <w:r>
        <w:rPr>
          <w:rFonts w:ascii="Times New Roman" w:hAnsi="Times New Roman" w:cs="Times New Roman" w:eastAsia="Times New Roman"/>
          <w:b/>
          <w:bCs/>
        </w:rPr>
        <w:t xml:space="preserve">Interpolation and output</w:t>
      </w:r>
    </w:p>
    <w:p>
      <w:pPr>
        <w:pStyle w:val="FirstParagraph"/>
        <w:jc w:val="both"/>
      </w:pPr>
      <w:r>
        <w:rPr>
          <w:rFonts w:ascii="Times New Roman" w:hAnsi="Times New Roman" w:cs="Times New Roman" w:eastAsia="Times New Roman"/>
        </w:rPr>
        <w:t xml:space="preserve">Between consecutive shared-variant positions (chip sites), imputed dosages at reference-panel-only positions are computed by linear interpolation of the HMM-derived haplotype weights, following the standard approach</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color w:val="0563C1"/>
          <w:vertAlign w:val="superscript"/>
        </w:rPr>
        <w:t xml:space="preserve">,</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w:t>
      </w:r>
    </w:p>
    <w:p>
      <w:pPr>
        <w:pStyle w:val="BodyText"/>
        <w:jc w:val="both"/>
      </w:pPr>
      <m:oMathPara>
        <m:oMathParaPr>
          <m:jc m:val="center"/>
        </m:oMathParaPr>
        <m:oMath>
          <m:r>
            <m:t>P</m:t>
          </m:r>
          <m:r>
            <m:rPr>
              <m:sty m:val="p"/>
            </m:rPr>
            <m:t>(</m:t>
          </m:r>
          <m:r>
            <m:rPr>
              <m:sty m:val="p"/>
            </m:rPr>
            <m:t>a</m:t>
          </m:r>
          <m:r>
            <m:rPr>
              <m:sty m:val="p"/>
            </m:rPr>
            <m:t>l</m:t>
          </m:r>
          <m:r>
            <m:rPr>
              <m:sty m:val="p"/>
            </m:rPr>
            <m:t>t</m:t>
          </m:r>
          <m:r>
            <m:rPr>
              <m:sty m:val="p"/>
            </m:rPr>
            <m:t>∣</m:t>
          </m:r>
          <m:r>
            <m:t>j</m:t>
          </m:r>
          <m:r>
            <m:rPr>
              <m:sty m:val="p"/>
            </m:rPr>
            <m:t>)</m:t>
          </m:r>
          <m:r>
            <m:rPr>
              <m:sty m:val="p"/>
            </m:rPr>
            <m:t>=</m:t>
          </m:r>
          <m:f>
            <m:fPr>
              <m:type m:val="bar"/>
            </m:fPr>
            <m:num>
              <m:nary>
                <m:naryPr>
                  <m:chr m:val="∑"/>
                  <m:limLoc m:val="undOvr"/>
                  <m:subHide m:val="off"/>
                  <m:supHide m:val="on"/>
                </m:naryPr>
                <m:sub>
                  <m:r>
                    <m:t>r</m:t>
                  </m:r>
                </m:sub>
                <m:sup>
                  <m:r>
                    <m:t>​</m:t>
                  </m:r>
                </m:sup>
                <m:e>
                  <m:sSub>
                    <m:e>
                      <m:r>
                        <m:t>w</m:t>
                      </m:r>
                    </m:e>
                    <m:sub>
                      <m:r>
                        <m:t>r</m:t>
                      </m:r>
                    </m:sub>
                  </m:sSub>
                </m:e>
              </m:nary>
              <m:r>
                <m:rPr>
                  <m:sty m:val="p"/>
                </m:rPr>
                <m:t>(</m:t>
              </m:r>
              <m:r>
                <m:t>j</m:t>
              </m:r>
              <m:r>
                <m:rPr>
                  <m:sty m:val="p"/>
                </m:rPr>
                <m:t>)</m:t>
              </m:r>
              <m:r>
                <m:t> </m:t>
              </m:r>
              <m:sSub>
                <m:e>
                  <m:r>
                    <m:t>x</m:t>
                  </m:r>
                </m:e>
                <m:sub>
                  <m:r>
                    <m:t>r</m:t>
                  </m:r>
                </m:sub>
              </m:sSub>
              <m:r>
                <m:rPr>
                  <m:sty m:val="p"/>
                </m:rPr>
                <m:t>(</m:t>
              </m:r>
              <m:r>
                <m:t>j</m:t>
              </m:r>
              <m:r>
                <m:rPr>
                  <m:sty m:val="p"/>
                </m:rPr>
                <m:t>)</m:t>
              </m:r>
            </m:num>
            <m:den>
              <m:nary>
                <m:naryPr>
                  <m:chr m:val="∑"/>
                  <m:limLoc m:val="undOvr"/>
                  <m:subHide m:val="off"/>
                  <m:supHide m:val="on"/>
                </m:naryPr>
                <m:sub>
                  <m:r>
                    <m:t>r</m:t>
                  </m:r>
                </m:sub>
                <m:sup>
                  <m:r>
                    <m:t>​</m:t>
                  </m:r>
                </m:sup>
                <m:e>
                  <m:sSub>
                    <m:e>
                      <m:r>
                        <m:t>w</m:t>
                      </m:r>
                    </m:e>
                    <m:sub>
                      <m:r>
                        <m:t>r</m:t>
                      </m:r>
                    </m:sub>
                  </m:sSub>
                </m:e>
              </m:nary>
              <m:r>
                <m:rPr>
                  <m:sty m:val="p"/>
                </m:rPr>
                <m:t>(</m:t>
              </m:r>
              <m:r>
                <m:t>j</m:t>
              </m:r>
              <m:r>
                <m:rPr>
                  <m:sty m:val="p"/>
                </m:rPr>
                <m:t>)</m:t>
              </m:r>
            </m:den>
          </m:f>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w</m:t>
            </m:r>
          </m:e>
          <m:sub>
            <m:r>
              <m:t>r</m:t>
            </m:r>
          </m:sub>
        </m:sSub>
        <m:r>
          <m:rPr>
            <m:sty m:val="p"/>
          </m:rPr>
          <m:t>(</m:t>
        </m:r>
        <m:r>
          <m:t>j</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interpolated weight of reference haplotype r at position j, and</w:t>
      </w:r>
      <w:r>
        <w:rPr>
          <w:rFonts w:ascii="Times New Roman" w:hAnsi="Times New Roman" w:cs="Times New Roman" w:eastAsia="Times New Roman"/>
        </w:rPr>
        <w:t xml:space="preserve"> </w:t>
      </w:r>
      <m:oMath>
        <m:sSub>
          <m:e>
            <m:r>
              <m:t>x</m:t>
            </m:r>
          </m:e>
          <m:sub>
            <m:r>
              <m:t>r</m:t>
            </m:r>
          </m:sub>
        </m:sSub>
        <m:r>
          <m:rPr>
            <m:sty m:val="p"/>
          </m:rPr>
          <m:t>(</m:t>
        </m:r>
        <m:r>
          <m:t>j</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allele carried by haplotype r at that position. Reference alleles at imputed positions are read from the tiled SRP format (see Sparse Reference Panel format, below), with pre-loaded stripe batches overlapping I/O with HMM computation.</w:t>
      </w:r>
    </w:p>
    <w:p>
      <w:pPr>
        <w:pStyle w:val="BodyText"/>
        <w:jc w:val="both"/>
      </w:pPr>
      <w:r>
        <w:rPr>
          <w:rFonts w:ascii="Times New Roman" w:hAnsi="Times New Roman" w:cs="Times New Roman" w:eastAsia="Times New Roman"/>
        </w:rPr>
        <w:t xml:space="preserve">Interpolation operates on tiles of 1,024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4,096 haplotypes, sized to fit in L2 cache per core. Within each tile, the interpolation is fused with output encoding: after a tile's dosages are computed, they are immediately formatted to all active output formats and the tile memory is freed. This prevents accumulation of interpolated dosages across the entire chromosome.</w:t>
      </w:r>
    </w:p>
    <w:p>
      <w:pPr>
        <w:pStyle w:val="BodyText"/>
        <w:jc w:val="both"/>
      </w:pPr>
      <w:r>
        <w:rPr>
          <w:rFonts w:ascii="Times New Roman" w:hAnsi="Times New Roman" w:cs="Times New Roman" w:eastAsia="Times New Roman"/>
        </w:rPr>
        <w:t xml:space="preserve">The per-variant dosage R-squared (DR2) quality metric</w:t>
      </w:r>
      <w:hyperlink w:anchor="ref24">
        <w:r>
          <w:rPr>
            <w:rFonts w:ascii="Times New Roman" w:hAnsi="Times New Roman" w:cs="Times New Roman" w:eastAsia="Times New Roman"/>
            <w:color w:val="0563C1"/>
            <w:vertAlign w:val="superscript"/>
          </w:rPr>
          <w:t xml:space="preserve">24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computed using a numerically stable two-pass method:</w:t>
      </w:r>
    </w:p>
    <w:p>
      <w:pPr>
        <w:pStyle w:val="BodyText"/>
        <w:jc w:val="both"/>
      </w:pPr>
      <m:oMathPara>
        <m:oMathParaPr>
          <m:jc m:val="center"/>
        </m:oMathParaPr>
        <m:oMath>
          <m:r>
            <m:rPr>
              <m:sty m:val="p"/>
            </m:rPr>
            <m:t>D</m:t>
          </m:r>
          <m:r>
            <m:rPr>
              <m:sty m:val="p"/>
            </m:rPr>
            <m:t>R</m:t>
          </m:r>
          <m:r>
            <m:rPr>
              <m:sty m:val="p"/>
            </m:rPr>
            <m:t>2</m:t>
          </m:r>
          <m:r>
            <m:rPr>
              <m:sty m:val="p"/>
            </m:rPr>
            <m:t>=</m:t>
          </m:r>
          <m:f>
            <m:fPr>
              <m:type m:val="bar"/>
            </m:fPr>
            <m:num>
              <m:r>
                <m:rPr>
                  <m:sty m:val="p"/>
                </m:rPr>
                <m:t>v</m:t>
              </m:r>
              <m:r>
                <m:rPr>
                  <m:sty m:val="p"/>
                </m:rPr>
                <m:t>a</m:t>
              </m:r>
              <m:r>
                <m:rPr>
                  <m:sty m:val="p"/>
                </m:rPr>
                <m:t>r</m:t>
              </m:r>
              <m:r>
                <m:rPr>
                  <m:sty m:val="p"/>
                </m:rPr>
                <m:t>(</m:t>
              </m:r>
              <m:r>
                <m:rPr>
                  <m:sty m:val="p"/>
                </m:rPr>
                <m:t>d</m:t>
              </m:r>
              <m:r>
                <m:rPr>
                  <m:sty m:val="p"/>
                </m:rPr>
                <m:t>o</m:t>
              </m:r>
              <m:r>
                <m:rPr>
                  <m:sty m:val="p"/>
                </m:rPr>
                <m:t>s</m:t>
              </m:r>
              <m:r>
                <m:rPr>
                  <m:sty m:val="p"/>
                </m:rPr>
                <m:t>a</m:t>
              </m:r>
              <m:r>
                <m:rPr>
                  <m:sty m:val="p"/>
                </m:rPr>
                <m:t>g</m:t>
              </m:r>
              <m:r>
                <m:rPr>
                  <m:sty m:val="p"/>
                </m:rPr>
                <m:t>e</m:t>
              </m:r>
              <m:r>
                <m:rPr>
                  <m:sty m:val="p"/>
                </m:rPr>
                <m:t>)</m:t>
              </m:r>
            </m:num>
            <m:den>
              <m:r>
                <m:t>2</m:t>
              </m:r>
              <m:r>
                <m:t> </m:t>
              </m:r>
              <m:r>
                <m:t>p</m:t>
              </m:r>
              <m:r>
                <m:t> </m:t>
              </m:r>
              <m:r>
                <m:rPr>
                  <m:sty m:val="p"/>
                </m:rPr>
                <m:t>(</m:t>
              </m:r>
              <m:r>
                <m:t>1</m:t>
              </m:r>
              <m:r>
                <m:rPr>
                  <m:sty m:val="p"/>
                </m:rPr>
                <m:t>−</m:t>
              </m:r>
              <m:r>
                <m:t>p</m:t>
              </m:r>
              <m:r>
                <m:rPr>
                  <m:sty m:val="p"/>
                </m:rPr>
                <m:t>)</m:t>
              </m:r>
            </m:den>
          </m:f>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r>
          <m:t>p</m:t>
        </m:r>
        <m:r>
          <m:rPr>
            <m:sty m:val="p"/>
          </m:rPr>
          <m:t>=</m:t>
        </m:r>
        <m:r>
          <m:rPr>
            <m:sty m:val="p"/>
          </m:rPr>
          <m:t>m</m:t>
        </m:r>
        <m:r>
          <m:rPr>
            <m:sty m:val="p"/>
          </m:rPr>
          <m:t>e</m:t>
        </m:r>
        <m:r>
          <m:rPr>
            <m:sty m:val="p"/>
          </m:rPr>
          <m:t>a</m:t>
        </m:r>
        <m:r>
          <m:rPr>
            <m:sty m:val="p"/>
          </m:rPr>
          <m:t>n</m:t>
        </m:r>
        <m:r>
          <m:rPr>
            <m:sty m:val="p"/>
          </m:rPr>
          <m:t>(</m:t>
        </m:r>
        <m:r>
          <m:rPr>
            <m:sty m:val="p"/>
          </m:rPr>
          <m:t>d</m:t>
        </m:r>
        <m:r>
          <m:rPr>
            <m:sty m:val="p"/>
          </m:rPr>
          <m:t>o</m:t>
        </m:r>
        <m:r>
          <m:rPr>
            <m:sty m:val="p"/>
          </m:rPr>
          <m:t>s</m:t>
        </m:r>
        <m:r>
          <m:rPr>
            <m:sty m:val="p"/>
          </m:rPr>
          <m:t>a</m:t>
        </m:r>
        <m:r>
          <m:rPr>
            <m:sty m:val="p"/>
          </m:rPr>
          <m:t>g</m:t>
        </m:r>
        <m:r>
          <m:rPr>
            <m:sty m:val="p"/>
          </m:rPr>
          <m:t>e</m:t>
        </m:r>
        <m:r>
          <m:rPr>
            <m:sty m:val="p"/>
          </m:rPr>
          <m:t>)</m:t>
        </m:r>
        <m:r>
          <m:rPr>
            <m:sty m:val="p"/>
          </m:rPr>
          <m:t>/</m:t>
        </m:r>
        <m:r>
          <m:t>2</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estimated alternate allele frequency, and var(dosage) is computed as the mean of squared deviations from the mean (avoiding the numerically unstable single-pass</w:t>
      </w:r>
      <w:r>
        <w:rPr>
          <w:rFonts w:ascii="Times New Roman" w:hAnsi="Times New Roman" w:cs="Times New Roman" w:eastAsia="Times New Roman"/>
        </w:rPr>
        <w:t xml:space="preserve"> </w:t>
      </w:r>
      <m:oMath>
        <m:r>
          <m:t>E</m:t>
        </m:r>
        <m:r>
          <m:rPr>
            <m:sty m:val="p"/>
          </m:rPr>
          <m:t>[</m:t>
        </m:r>
        <m:sSup>
          <m:e>
            <m:r>
              <m:t>X</m:t>
            </m:r>
          </m:e>
          <m:sup>
            <m:r>
              <m:t>2</m:t>
            </m:r>
          </m:sup>
        </m:sSup>
        <m:r>
          <m:rPr>
            <m:sty m:val="p"/>
          </m:rPr>
          <m:t>]</m:t>
        </m:r>
        <m:r>
          <m:rPr>
            <m:sty m:val="p"/>
          </m:rPr>
          <m:t>−</m:t>
        </m:r>
        <m:r>
          <m:t>E</m:t>
        </m:r>
        <m:r>
          <m:rPr>
            <m:sty m:val="p"/>
          </m:rPr>
          <m:t>[</m:t>
        </m:r>
        <m:r>
          <m:t>X</m:t>
        </m:r>
        <m:sSup>
          <m:e>
            <m:r>
              <m:rPr>
                <m:sty m:val="p"/>
              </m:rPr>
              <m:t>]</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formula).</w:t>
      </w:r>
    </w:p>
    <w:p>
      <w:pPr>
        <w:pStyle w:val="BodyText"/>
        <w:jc w:val="both"/>
      </w:pPr>
      <w:r>
        <w:rPr>
          <w:rFonts w:ascii="Times New Roman" w:hAnsi="Times New Roman" w:cs="Times New Roman" w:eastAsia="Times New Roman"/>
        </w:rPr>
        <w:t xml:space="preserve">VCF output formatting performs no floating-point-to-string conversion at all. Dosages are quantized to the emitted precision (three decimals for DS, two for AP) and the quantized values index byte-slice lookup tables rendered once at start-up: a 2</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2,001-entry table over (haplotype-1 call, haplotype-2 call, dosage index) emits an entire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GT:DS</w:t>
      </w:r>
      <w:r>
        <w:rPr>
          <w:rFonts w:ascii="Times New Roman" w:hAnsi="Times New Roman" w:cs="Times New Roman" w:eastAsia="Times New Roman"/>
        </w:rPr>
        <w:t xml:space="preserve"> </w:t>
      </w:r>
      <w:r>
        <w:rPr>
          <w:rFonts w:ascii="Times New Roman" w:hAnsi="Times New Roman" w:cs="Times New Roman" w:eastAsia="Times New Roman"/>
        </w:rPr>
        <w:t xml:space="preserve">field as a single memory copy, and a 101</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101-entry table does the same for the paired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AP1:AP2</w:t>
      </w:r>
      <w:r>
        <w:rPr>
          <w:rFonts w:ascii="Times New Roman" w:hAnsi="Times New Roman" w:cs="Times New Roman" w:eastAsia="Times New Roman"/>
        </w:rPr>
        <w:t xml:space="preserve"> </w:t>
      </w:r>
      <w:r>
        <w:rPr>
          <w:rFonts w:ascii="Times New Roman" w:hAnsi="Times New Roman" w:cs="Times New Roman" w:eastAsia="Times New Roman"/>
        </w:rPr>
        <w:t xml:space="preserve">field. Every sample at every variant takes this path, so per-sample formatting cost is constant and independent of the dosage value.</w:t>
      </w:r>
    </w:p>
    <w:p>
      <w:pPr>
        <w:pStyle w:val="BodyText"/>
        <w:jc w:val="both"/>
      </w:pPr>
      <w:r>
        <w:rPr>
          <w:rFonts w:ascii="Times New Roman" w:hAnsi="Times New Roman" w:cs="Times New Roman" w:eastAsia="Times New Roman"/>
        </w:rPr>
        <w:t xml:space="preserve">Selphi 2 supports five output formats from a single interpolation pass: VCF.gz (multi-threaded BGZF compression), native BCF 2.2</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Apache Parquet (zstd-compressed, variant-major columnar layout), PLINK2 PGEN</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(mode 0x03 with fixed-width records containing 2-bit hardcalls and 16-bit unphased dosage), and SelfDecode format (per-sample chunked Parquet in a ZIP archive). The VCF/BCF output channel uses a dedicated writer thread with a bounded synchronous channel, decoupling interpolation throughput from I/O throughput; its depth is set from cohort size (16 blocks below 1,000 samples, 4 at or above, because a single block at biobank scale is hundreds of megabytes of encoded text). All output formats use the same two-pass DR2 computation, ensuring consistent quality metrics regardless of format choice.</w:t>
      </w:r>
    </w:p>
    <w:p>
      <w:pPr>
        <w:pStyle w:val="Heading3"/>
        <w:jc w:val="both"/>
      </w:pPr>
      <w:r>
        <w:rPr>
          <w:rFonts w:ascii="Times New Roman" w:hAnsi="Times New Roman" w:cs="Times New Roman" w:eastAsia="Times New Roman"/>
          <w:b/>
          <w:bCs/>
        </w:rPr>
        <w:t xml:space="preserve">Low-coverage sequencing imputation engine</w:t>
      </w:r>
    </w:p>
    <w:p>
      <w:pPr>
        <w:pStyle w:val="FirstParagraph"/>
        <w:jc w:val="both"/>
      </w:pPr>
      <w:r>
        <w:rPr>
          <w:rFonts w:ascii="Times New Roman" w:hAnsi="Times New Roman" w:cs="Times New Roman" w:eastAsia="Times New Roman"/>
        </w:rPr>
        <w:t xml:space="preserve">The phasing-and-imputation pipeline above targets array-genotyped data, where the input is a set of confident hard genotype calls at chip sites. Low-coverage whole-genome sequencing (lcWGS) presents a different inference problem: at 0.5-2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depth, most sites carry no confident call but a soft genotype likelihood (GL) derived from one or two reads. Selphi 2 provides a dedicated lcWGS engine, selected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that reuses the reference-panel ingestion (SRP),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HaplotypeBitmatrix</w:t>
      </w:r>
      <w:r>
        <w:rPr>
          <w:rFonts w:ascii="Times New Roman" w:hAnsi="Times New Roman" w:cs="Times New Roman" w:eastAsia="Times New Roman"/>
        </w:rPr>
        <w:t xml:space="preserve">, the genetic map, and the output writers, but replaces the hard-call HMM with a genotype-likelihood-aware Li-Stephens model.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established that this regime is best addressed by imputing directly from genotype likelihoods rather than from hard calls; we benchmark against it in Results.</w:t>
      </w:r>
    </w:p>
    <w:p>
      <w:pPr>
        <w:pStyle w:val="BodyText"/>
        <w:jc w:val="both"/>
      </w:pPr>
      <w:r>
        <w:rPr>
          <w:rFonts w:ascii="Times New Roman" w:hAnsi="Times New Roman" w:cs="Times New Roman" w:eastAsia="Times New Roman"/>
        </w:rPr>
        <w:t xml:space="preserve">The engine reads per-sample Phred-scaled genotype likelihoods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field produced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 | call</w:t>
      </w:r>
      <w:r>
        <w:rPr>
          <w:rFonts w:ascii="Times New Roman" w:hAnsi="Times New Roman" w:cs="Times New Roman" w:eastAsia="Times New Roman"/>
        </w:rPr>
        <w:t xml:space="preserve">) at the panel's variant sites and converts them, via a 256-entry lookup table, to per-haplotype likelihoods. The genotype likelihoods may instead be computed natively from aligned reads (BAM or CRAM, one file per sample) in the same process, removing the external pileup step: for each biallelic panel SNP, the overlapping reads are walked through their CIGAR alignment and each read base is folded into the three genotype likelihoods under the standard SAMtools/BCFtools base-quality error model</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w:t>
      </w:r>
      <m:oMath>
        <m:r>
          <m:t>P</m:t>
        </m:r>
        <m:r>
          <m:rPr>
            <m:sty m:val="p"/>
          </m:rPr>
          <m:t>(</m:t>
        </m:r>
        <m:r>
          <m:t>b</m:t>
        </m:r>
        <m:r>
          <m:t> </m:t>
        </m:r>
        <m:r>
          <m:rPr>
            <m:sty m:val="p"/>
          </m:rPr>
          <m:t>|</m:t>
        </m:r>
        <m:r>
          <m:t> </m:t>
        </m:r>
        <m:r>
          <m:rPr>
            <m:sty m:val="p"/>
          </m:rPr>
          <m:t>R</m:t>
        </m:r>
        <m:r>
          <m:rPr>
            <m:sty m:val="p"/>
          </m:rPr>
          <m:t>E</m:t>
        </m:r>
        <m:r>
          <m:rPr>
            <m:sty m:val="p"/>
          </m:rPr>
          <m:t>F</m:t>
        </m:r>
        <m:r>
          <m:rPr>
            <m:sty m:val="p"/>
          </m:rPr>
          <m:t>)</m:t>
        </m:r>
        <m:r>
          <m:rPr>
            <m:sty m:val="p"/>
          </m:rPr>
          <m:t>=</m:t>
        </m:r>
        <m:r>
          <m:t>1</m:t>
        </m:r>
        <m:r>
          <m:rPr>
            <m:sty m:val="p"/>
          </m:rPr>
          <m:t>−</m:t>
        </m:r>
        <m:r>
          <m:t>ε</m:t>
        </m:r>
      </m:oMath>
      <w:r>
        <w:rPr>
          <w:rFonts w:ascii="Times New Roman" w:hAnsi="Times New Roman" w:cs="Times New Roman" w:eastAsia="Times New Roman"/>
        </w:rPr>
        <w:t xml:space="preserve"> </w:t>
      </w:r>
      <w:r>
        <w:rPr>
          <w:rFonts w:ascii="Times New Roman" w:hAnsi="Times New Roman" w:cs="Times New Roman" w:eastAsia="Times New Roman"/>
        </w:rPr>
        <w:t xml:space="preserve">if the base matches else</w:t>
      </w:r>
      <w:r>
        <w:rPr>
          <w:rFonts w:ascii="Times New Roman" w:hAnsi="Times New Roman" w:cs="Times New Roman" w:eastAsia="Times New Roman"/>
        </w:rPr>
        <w:t xml:space="preserve"> </w:t>
      </w:r>
      <m:oMath>
        <m:r>
          <m:t>ε</m:t>
        </m:r>
        <m:r>
          <m:rPr>
            <m:sty m:val="p"/>
          </m:rPr>
          <m:t>/</m:t>
        </m:r>
        <m:r>
          <m:t>3</m:t>
        </m:r>
      </m:oMath>
      <w:r>
        <w:rPr>
          <w:rFonts w:ascii="Times New Roman" w:hAnsi="Times New Roman" w:cs="Times New Roman" w:eastAsia="Times New Roman"/>
        </w:rPr>
        <w:t xml:space="preserve">, with</w:t>
      </w:r>
      <w:r>
        <w:rPr>
          <w:rFonts w:ascii="Times New Roman" w:hAnsi="Times New Roman" w:cs="Times New Roman" w:eastAsia="Times New Roman"/>
        </w:rPr>
        <w:t xml:space="preserve"> </w:t>
      </w:r>
      <m:oMath>
        <m:r>
          <m:t>ε</m:t>
        </m:r>
        <m:r>
          <m:rPr>
            <m:sty m:val="p"/>
          </m:rPr>
          <m:t>=</m:t>
        </m:r>
        <m:sSup>
          <m:e>
            <m:r>
              <m:t>10</m:t>
            </m:r>
          </m:e>
          <m:sup>
            <m:r>
              <m:rPr>
                <m:sty m:val="p"/>
              </m:rPr>
              <m:t>−</m:t>
            </m:r>
            <m:r>
              <m:t>Q</m:t>
            </m:r>
            <m:r>
              <m:rPr>
                <m:sty m:val="p"/>
              </m:rPr>
              <m:t>/</m:t>
            </m:r>
            <m:r>
              <m:t>10</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and the heterozygous term</w:t>
      </w:r>
      <w:r>
        <w:rPr>
          <w:rFonts w:ascii="Times New Roman" w:hAnsi="Times New Roman" w:cs="Times New Roman" w:eastAsia="Times New Roman"/>
        </w:rPr>
        <w:t xml:space="preserve"> </w:t>
      </w:r>
      <m:oMath>
        <m:f>
          <m:fPr>
            <m:type m:val="lin"/>
          </m:fPr>
          <m:num>
            <m:r>
              <m:t>1</m:t>
            </m:r>
          </m:num>
          <m:den>
            <m:r>
              <m:t>2</m:t>
            </m:r>
          </m:den>
        </m:f>
        <m:r>
          <m:t>P</m:t>
        </m:r>
        <m:r>
          <m:rPr>
            <m:sty m:val="p"/>
          </m:rPr>
          <m:t>(</m:t>
        </m:r>
        <m:r>
          <m:t>b</m:t>
        </m:r>
        <m:r>
          <m:t> </m:t>
        </m:r>
        <m:r>
          <m:rPr>
            <m:sty m:val="p"/>
          </m:rPr>
          <m:t>|</m:t>
        </m:r>
        <m:r>
          <m:t> </m:t>
        </m:r>
        <m:r>
          <m:rPr>
            <m:sty m:val="p"/>
          </m:rPr>
          <m:t>R</m:t>
        </m:r>
        <m:r>
          <m:rPr>
            <m:sty m:val="p"/>
          </m:rPr>
          <m:t>E</m:t>
        </m:r>
        <m:r>
          <m:rPr>
            <m:sty m:val="p"/>
          </m:rPr>
          <m:t>F</m:t>
        </m:r>
        <m:r>
          <m:rPr>
            <m:sty m:val="p"/>
          </m:rPr>
          <m:t>)</m:t>
        </m:r>
        <m:r>
          <m:rPr>
            <m:sty m:val="p"/>
          </m:rPr>
          <m:t>+</m:t>
        </m:r>
        <m:f>
          <m:fPr>
            <m:type m:val="lin"/>
          </m:fPr>
          <m:num>
            <m:r>
              <m:t>1</m:t>
            </m:r>
          </m:num>
          <m:den>
            <m:r>
              <m:t>2</m:t>
            </m:r>
          </m:den>
        </m:f>
        <m:r>
          <m:t>P</m:t>
        </m:r>
        <m:r>
          <m:rPr>
            <m:sty m:val="p"/>
          </m:rPr>
          <m:t>(</m:t>
        </m:r>
        <m:r>
          <m:t>b</m:t>
        </m:r>
        <m:r>
          <m:t> </m:t>
        </m:r>
        <m:r>
          <m:rPr>
            <m:sty m:val="p"/>
          </m:rPr>
          <m:t>|</m:t>
        </m:r>
        <m:r>
          <m:t> </m:t>
        </m:r>
        <m:r>
          <m:rPr>
            <m:sty m:val="p"/>
          </m:rPr>
          <m:t>A</m:t>
        </m:r>
        <m:r>
          <m:rPr>
            <m:sty m:val="p"/>
          </m:rPr>
          <m:t>L</m:t>
        </m:r>
        <m:r>
          <m:rPr>
            <m:sty m:val="p"/>
          </m:rPr>
          <m:t>T</m:t>
        </m:r>
        <m:r>
          <m:rPr>
            <m:sty m:val="p"/>
          </m:rPr>
          <m:t>)</m:t>
        </m:r>
      </m:oMath>
      <w:r>
        <w:rPr>
          <w:rFonts w:ascii="Times New Roman" w:hAnsi="Times New Roman" w:cs="Times New Roman" w:eastAsia="Times New Roman"/>
        </w:rPr>
        <w:t xml:space="preserve">), filtered by mapping and base quality; the result matches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at the same thresholds. Overlapping paired-end mates, the two mates of one fragment sample the same molecule, are collapsed to a single observation per site (agreeing bases retain the higher base quality, disagreeing bases are down-weighted) so a fragment's evidence is not double-counted. CRAM read bases are reconstructed against the supplied reference FASTA, and with a region restriction the alignment index (</w:t>
      </w:r>
      <w:r>
        <w:rPr>
          <w:rFonts w:ascii="Times New Roman" w:hAnsi="Times New Roman" w:cs="Times New Roman" w:eastAsia="Times New Roman"/>
          <w:rStyle w:val="VerbatimChar"/>
        </w:rPr>
        <w:t xml:space="preserve">.bai</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.crai</w:t>
      </w:r>
      <w:r>
        <w:rPr>
          <w:rFonts w:ascii="Times New Roman" w:hAnsi="Times New Roman" w:cs="Times New Roman" w:eastAsia="Times New Roman"/>
        </w:rPr>
        <w:t xml:space="preserve">) is used to decode only the requested span. Indel panel sites are imputed flat from the haplotype scaffold by default, as in GLIMPSE2: at low coverage per-read indel likelihoods are miscalibrated and degrade neighbouring-SNP accuracy when fed to the joint model. Optionally (for higher-coverage input) the local REF and ALT haplotypes of each panel indel are built from the reference and every spanning read is scored against both with a pair-hidden-Markov model (forward algorithm, affine gap penalties, per-base-quality emissions, marginalising over alignment uncertainty), folding</w:t>
      </w:r>
      <w:r>
        <w:rPr>
          <w:rFonts w:ascii="Times New Roman" w:hAnsi="Times New Roman" w:cs="Times New Roman" w:eastAsia="Times New Roman"/>
        </w:rPr>
        <w:t xml:space="preserve"> </w:t>
      </w:r>
      <m:oMath>
        <m:r>
          <m:t>P</m:t>
        </m:r>
        <m:r>
          <m:rPr>
            <m:sty m:val="p"/>
          </m:rPr>
          <m:t>(</m:t>
        </m:r>
        <m:r>
          <m:rPr>
            <m:nor/>
            <m:sty m:val="p"/>
          </m:rPr>
          <m:t>read</m:t>
        </m:r>
        <m:r>
          <m:t> </m:t>
        </m:r>
        <m:r>
          <m:rPr>
            <m:sty m:val="p"/>
          </m:rPr>
          <m:t>|</m:t>
        </m:r>
        <m:r>
          <m:t> </m:t>
        </m:r>
        <m:r>
          <m:rPr>
            <m:nor/>
            <m:sty m:val="p"/>
          </m:rPr>
          <m:t>REF</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m:oMath>
        <m:r>
          <m:t>P</m:t>
        </m:r>
        <m:r>
          <m:rPr>
            <m:sty m:val="p"/>
          </m:rPr>
          <m:t>(</m:t>
        </m:r>
        <m:r>
          <m:rPr>
            <m:nor/>
            <m:sty m:val="p"/>
          </m:rPr>
          <m:t>read</m:t>
        </m:r>
        <m:r>
          <m:t> </m:t>
        </m:r>
        <m:r>
          <m:rPr>
            <m:sty m:val="p"/>
          </m:rPr>
          <m:t>|</m:t>
        </m:r>
        <m:r>
          <m:t> </m:t>
        </m:r>
        <m:r>
          <m:rPr>
            <m:nor/>
            <m:sty m:val="p"/>
          </m:rPr>
          <m:t>ALT</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into the genotype likelihoods as for a SNP. To verify that this in-process pileup is faithful to the external</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path, we ran a downsampling check (a 52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whole-genome sample reduced to 1</w:t>
      </w:r>
      <m:oMath>
        <m:r>
          <m:rPr>
            <m:sty m:val="p"/>
          </m:rPr>
          <m:t>×</m:t>
        </m:r>
      </m:oMath>
      <w:r>
        <w:rPr>
          <w:rFonts w:ascii="Times New Roman" w:hAnsi="Times New Roman" w:cs="Times New Roman" w:eastAsia="Times New Roman"/>
        </w:rPr>
        <w:t xml:space="preserve">, with the full-depth calls as truth): Selphi 2's native pileup attains per-allele-frequency-bin aggregate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0.964, matching (and slightly exceeding) its own pre-computed-likelihood path (0.960) and comparable to an equivalent GLIMPSE2 pileup (0.967), confirming the native genotype-likelihood computation reproduces the established pipeline. Imputation proceeds by Gibbs alternation between haplotype selection and a GL-weighted forward-backward pass: each iteration selects a conditioning set of reference haplotypes by sparse PBWT from the current sampled haplotypes, then runs a Li-Stephens forward-backward in which each haplotype's per-site emission is built conditional on the partner haplotype's currently sampled allele, decoupling the two haplotypes of a diploid sample into independent copying problems, and samples a fresh allele per site from the resulting posterior. Posterior dosages from the post-burn-in iterations are averaged for the output, written as VCF.gz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GT:DS:GP</w:t>
      </w:r>
      <w:r>
        <w:rPr>
          <w:rFonts w:ascii="Times New Roman" w:hAnsi="Times New Roman" w:cs="Times New Roman" w:eastAsia="Times New Roman"/>
        </w:rPr>
        <w:t xml:space="preserve"> </w:t>
      </w:r>
      <w:r>
        <w:rPr>
          <w:rFonts w:ascii="Times New Roman" w:hAnsi="Times New Roman" w:cs="Times New Roman" w:eastAsia="Times New Roman"/>
        </w:rPr>
        <w:t xml:space="preserve">fields. The forward-backward applies a leave-one-out emission: the forward emission at each site is divided back out of the hidden-state posterior before the read likelihood and error model are re-applied, so the per-site read is incorporated once rather than twice.</w:t>
      </w:r>
    </w:p>
    <w:p>
      <w:pPr>
        <w:pStyle w:val="BodyText"/>
        <w:jc w:val="both"/>
      </w:pPr>
      <w:r>
        <w:rPr>
          <w:rFonts w:ascii="Times New Roman" w:hAnsi="Times New Roman" w:cs="Times New Roman" w:eastAsia="Times New Roman"/>
        </w:rPr>
        <w:t xml:space="preserve">To bound memory independently of chromosome length and panel size, the chromosome is processed in overlapping cM chunks: each chunk's reference bitmatrix is extracted directly from the SRP for that chunk's variants and discarded after use, so the full-chromosome reference bitmatrix is never materialized. The forward-backward inner loops over the conditioning states are vectorized with AVX-512 (a bit-packed conditioning representation loads 16 reference alleles directly as a mask register), with a scalar fallback on other hosts; the selection step accumulates IBS match lengths in a per-target sparse map rather than a dense target</w:t>
      </w:r>
      <m:oMath>
        <m:r>
          <m:rPr>
            <m:sty m:val="p"/>
          </m:rPr>
          <m:t>×</m:t>
        </m:r>
      </m:oMath>
      <w:r>
        <w:rPr>
          <w:rFonts w:ascii="Times New Roman" w:hAnsi="Times New Roman" w:cs="Times New Roman" w:eastAsia="Times New Roman"/>
        </w:rPr>
        <w:t xml:space="preserve">panel matrix, so its memory is independent of panel haplotype count.</w:t>
      </w:r>
    </w:p>
    <w:p>
      <w:pPr>
        <w:pStyle w:val="Heading3"/>
        <w:jc w:val="both"/>
      </w:pPr>
      <w:r>
        <w:rPr>
          <w:rFonts w:ascii="Times New Roman" w:hAnsi="Times New Roman" w:cs="Times New Roman" w:eastAsia="Times New Roman"/>
          <w:b/>
          <w:bCs/>
        </w:rPr>
        <w:t xml:space="preserve">Sparse Reference Panel format (SRP)</w:t>
      </w:r>
    </w:p>
    <w:p>
      <w:pPr>
        <w:pStyle w:val="FirstParagraph"/>
        <w:jc w:val="both"/>
      </w:pPr>
      <w:r>
        <w:rPr>
          <w:rFonts w:ascii="Times New Roman" w:hAnsi="Times New Roman" w:cs="Times New Roman" w:eastAsia="Times New Roman"/>
        </w:rPr>
        <w:t xml:space="preserve">The SRP format stores reference panel haplotypes as a 2D tiled sparse matrix. Each tile covers 1,024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4,096 haplotypes and is stored as a compressed sparse column (CSC) sub-matrix with u16 row indices and u32 column pointers, compressed with zstd at level 3. Tiles are arranged in row-major order (all bands for stripe 0, then stripe 1, etc.), enabling sequential bulk reads per stripe batch via a single pread() system call.</w:t>
      </w:r>
    </w:p>
    <w:p>
      <w:pPr>
        <w:pStyle w:val="BodyText"/>
        <w:jc w:val="both"/>
      </w:pPr>
      <w:r>
        <w:rPr>
          <w:rFonts w:ascii="Times New Roman" w:hAnsi="Times New Roman" w:cs="Times New Roman" w:eastAsia="Times New Roman"/>
        </w:rPr>
        <w:t xml:space="preserve">SRP creation is fully streaming: source data (BCF, VCF, or BREF3</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is processed chunk-by-chunk, with each source chunk decompressed once and scattered to tile columns in parallel. Completed stripes are flushed to disk immediately, keeping peak memory below 500 MB for any panel size. The parallel BCF reader uses CSI index</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seeking to divide the source file into balanced genomic regions across threads. The reverse direction is also provided natively: an SRP or BREF3 panel can be decoded back to phased VCF or BCF in the same binary, as a streaming three-stage pipeline (panel read, per-record formatting, and BGZF compression overlapped across threads) with bounded memory, removing the dependency on Beagle's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unbref3</w:t>
      </w:r>
      <w:r>
        <w:rPr>
          <w:rFonts w:ascii="Times New Roman" w:hAnsi="Times New Roman" w:cs="Times New Roman" w:eastAsia="Times New Roman"/>
        </w:rPr>
        <w:t xml:space="preserve"> </w:t>
      </w:r>
      <w:r>
        <w:rPr>
          <w:rFonts w:ascii="Times New Roman" w:hAnsi="Times New Roman" w:cs="Times New Roman" w:eastAsia="Times New Roman"/>
        </w:rPr>
        <w:t xml:space="preserve">and the per-stage intermediate files it requires; the decode is lossless, reproducing the panel genotypes byte-for-byte on an SRP round-trip (Results).</w:t>
      </w:r>
    </w:p>
    <w:p>
      <w:pPr>
        <w:pStyle w:val="BodyText"/>
        <w:jc w:val="both"/>
      </w:pPr>
      <w:r>
        <w:rPr>
          <w:rFonts w:ascii="Times New Roman" w:hAnsi="Times New Roman" w:cs="Times New Roman" w:eastAsia="Times New Roman"/>
        </w:rPr>
        <w:t xml:space="preserve">The SRP format supports both single-chromosome and multi-chromosome panels. A multi-chromosome SRP stores all chromosomes in a single file with a global header containing a chromosome directory and shared sample IDs, followed by independent per-chromosome tile sections. Multi-chromosome panels are automatically detected, enabling whole-genome imputation from a single command with overlapped prefetch of the next chromosome's data during the current chromosome's HMM computation.</w:t>
      </w:r>
    </w:p>
    <w:p>
      <w:pPr>
        <w:pStyle w:val="Heading3"/>
        <w:jc w:val="both"/>
      </w:pPr>
      <w:r>
        <w:rPr>
          <w:rFonts w:ascii="Times New Roman" w:hAnsi="Times New Roman" w:cs="Times New Roman" w:eastAsia="Times New Roman"/>
          <w:b/>
          <w:bCs/>
        </w:rPr>
        <w:t xml:space="preserve">Multi-chromosome processing</w:t>
      </w:r>
    </w:p>
    <w:p>
      <w:pPr>
        <w:pStyle w:val="FirstParagraph"/>
        <w:jc w:val="both"/>
      </w:pPr>
      <w:r>
        <w:rPr>
          <w:rFonts w:ascii="Times New Roman" w:hAnsi="Times New Roman" w:cs="Times New Roman" w:eastAsia="Times New Roman"/>
        </w:rPr>
        <w:t xml:space="preserve">Selphi 2 supports whole-genome imputation from a single command using a multi-chromosome SRP file. A multi-chromosome SRP contains a global header with a chromosome directory and shared sample IDs, followed by independent per-chromosome tile sections. Multi-chromosome panels are created from multi-contig BCF files, from directories of per-chromosome BCF files, or by merging existing single-chromosome SRP files.</w:t>
      </w:r>
    </w:p>
    <w:p>
      <w:pPr>
        <w:pStyle w:val="BodyText"/>
        <w:jc w:val="both"/>
      </w:pPr>
      <w:r>
        <w:rPr>
          <w:rFonts w:ascii="Times New Roman" w:hAnsi="Times New Roman" w:cs="Times New Roman" w:eastAsia="Times New Roman"/>
        </w:rPr>
        <w:t xml:space="preserve">Target VCF input is read once and partitioned by chromosome in memory. Genetic maps are auto-discovered from a directory by matching chromosome names against common naming patterns (chr1.map, chr_1.map, genetic_map_chr1_*, etc.). Chromosomes are processed sequentially in natural sort order, with the next chromosome's reference data prefetched in a background thread during the current chromosome's HMM computation. This prefetch overlap hides I/O latency at no additional memory cost beyond one chromosome's reference data.</w:t>
      </w:r>
    </w:p>
    <w:p>
      <w:pPr>
        <w:pStyle w:val="BodyText"/>
        <w:jc w:val="both"/>
      </w:pPr>
      <w:r>
        <w:rPr>
          <w:rFonts w:ascii="Times New Roman" w:hAnsi="Times New Roman" w:cs="Times New Roman" w:eastAsia="Times New Roman"/>
        </w:rPr>
        <w:t xml:space="preserve">Output is written to a single VCF/BCF file across all chromosomes, with per-chromosome BGZF blocks concatenated natively (preserving block alignment for tabix/CSI indexing).</w:t>
      </w:r>
    </w:p>
    <w:p>
      <w:pPr>
        <w:pStyle w:val="Heading3"/>
        <w:jc w:val="both"/>
      </w:pPr>
      <w:r>
        <w:rPr>
          <w:rFonts w:ascii="Times New Roman" w:hAnsi="Times New Roman" w:cs="Times New Roman" w:eastAsia="Times New Roman"/>
          <w:b/>
          <w:bCs/>
        </w:rPr>
        <w:t xml:space="preserve">LD correction</w:t>
      </w:r>
    </w:p>
    <w:p>
      <w:pPr>
        <w:pStyle w:val="FirstParagraph"/>
        <w:jc w:val="both"/>
      </w:pPr>
      <w:r>
        <w:rPr>
          <w:rFonts w:ascii="Times New Roman" w:hAnsi="Times New Roman" w:cs="Times New Roman" w:eastAsia="Times New Roman"/>
        </w:rPr>
        <w:t xml:space="preserve">Genetic map distances used in the HMM transition probabilities are corrected for local linkage disequilibrium (LD) patterns</w:t>
      </w:r>
      <w:hyperlink w:anchor="ref26">
        <w:r>
          <w:rPr>
            <w:rFonts w:ascii="Times New Roman" w:hAnsi="Times New Roman" w:cs="Times New Roman" w:eastAsia="Times New Roman"/>
            <w:color w:val="0563C1"/>
            <w:vertAlign w:val="superscript"/>
          </w:rPr>
          <w:t xml:space="preserve">26</w:t>
        </w:r>
      </w:hyperlink>
      <w:r>
        <w:rPr>
          <w:rFonts w:ascii="Times New Roman" w:hAnsi="Times New Roman" w:cs="Times New Roman" w:eastAsia="Times New Roman"/>
        </w:rPr>
        <w:t xml:space="preserve">. Empirical switch rates between consecutive variant pairs in the reference panel are computed via XOR-and-popcount operations on the bitmatrix. These switch rates are normalized by expected heterozygosity, median-filtered to remove noise, and used to adjust the genetic map distances while preserving the total genetic length. This prevents inflation of the effective population size estimate in regions of strong LD.</w:t>
      </w:r>
    </w:p>
    <w:p>
      <w:pPr>
        <w:pStyle w:val="Heading3"/>
        <w:jc w:val="both"/>
      </w:pPr>
      <w:r>
        <w:rPr>
          <w:rFonts w:ascii="Times New Roman" w:hAnsi="Times New Roman" w:cs="Times New Roman" w:eastAsia="Times New Roman"/>
          <w:b/>
          <w:bCs/>
        </w:rPr>
        <w:t xml:space="preserve">Reference panels and relatedness</w:t>
      </w:r>
    </w:p>
    <w:p>
      <w:pPr>
        <w:pStyle w:val="FirstParagraph"/>
        <w:jc w:val="both"/>
      </w:pPr>
      <w:r>
        <w:rPr>
          <w:rFonts w:ascii="Times New Roman" w:hAnsi="Times New Roman" w:cs="Times New Roman" w:eastAsia="Times New Roman"/>
        </w:rPr>
        <w:t xml:space="preserve">Five reference panels are used.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1000 Genomes Phase 3</w:t>
      </w:r>
      <w:r>
        <w:rPr>
          <w:rFonts w:ascii="Times New Roman" w:hAnsi="Times New Roman" w:cs="Times New Roman" w:eastAsia="Times New Roman"/>
        </w:rPr>
        <w:t xml:space="preserve"> </w:t>
      </w:r>
      <w:r>
        <w:rPr>
          <w:rFonts w:ascii="Times New Roman" w:hAnsi="Times New Roman" w:cs="Times New Roman" w:eastAsia="Times New Roman"/>
        </w:rPr>
        <w:t xml:space="preserve">panel (2,401 samples, 4,802 haplotypes) is used with its published phasing; the 801 evaluation targets are a disjoint held-out subset.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no-trios</w:t>
      </w:r>
      <w:r>
        <w:rPr>
          <w:rFonts w:ascii="Times New Roman" w:hAnsi="Times New Roman" w:cs="Times New Roman" w:eastAsia="Times New Roman"/>
        </w:rPr>
        <w:t xml:space="preserve"> </w:t>
      </w:r>
      <w:r>
        <w:rPr>
          <w:rFonts w:ascii="Times New Roman" w:hAnsi="Times New Roman" w:cs="Times New Roman" w:eastAsia="Times New Roman"/>
        </w:rPr>
        <w:t xml:space="preserve">panel (2,239 samples, 4,478 haplotypes), used for the phasing and low-coverage benchmarks, is the 1000 Genomes cohort with all declared trio offspring and parents removed.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out-of-panel</w:t>
      </w:r>
      <w:r>
        <w:rPr>
          <w:rFonts w:ascii="Times New Roman" w:hAnsi="Times New Roman" w:cs="Times New Roman" w:eastAsia="Times New Roman"/>
        </w:rPr>
        <w:t xml:space="preserve"> </w:t>
      </w:r>
      <w:r>
        <w:rPr>
          <w:rFonts w:ascii="Times New Roman" w:hAnsi="Times New Roman" w:cs="Times New Roman" w:eastAsia="Times New Roman"/>
        </w:rPr>
        <w:t xml:space="preserve">benchmark uses the 3,166 1000 Genomes samples of the gnomAD Human Genome Diversity Project and 1000 Genomes harmonized callset (6,332 haplotypes) as the panel and the 925 HGDP individuals as targets.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75,552-haplotype</w:t>
      </w:r>
      <w:r>
        <w:rPr>
          <w:rFonts w:ascii="Times New Roman" w:hAnsi="Times New Roman" w:cs="Times New Roman" w:eastAsia="Times New Roman"/>
        </w:rPr>
        <w:t xml:space="preserve"> </w:t>
      </w:r>
      <w:r>
        <w:rPr>
          <w:rFonts w:ascii="Times New Roman" w:hAnsi="Times New Roman" w:cs="Times New Roman" w:eastAsia="Times New Roman"/>
        </w:rPr>
        <w:t xml:space="preserve">panel (37,776 samples) combines 34,582 UK Biobank whole-genome sequences, ancestry-balanced by down-sampling the majority European-ancestry set, with the full 1000 Genomes cohort (3,194 samples), phased with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its ancestry composition is approximately 49% European, 22% South Asian, 19% African, 10% East Asian and 1% admixed-American.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TOPMed Freeze 8</w:t>
      </w:r>
      <w:r>
        <w:rPr>
          <w:rFonts w:ascii="Times New Roman" w:hAnsi="Times New Roman" w:cs="Times New Roman" w:eastAsia="Times New Roman"/>
        </w:rPr>
        <w:t xml:space="preserve"> </w:t>
      </w:r>
      <w:r>
        <w:rPr>
          <w:rFonts w:ascii="Times New Roman" w:hAnsi="Times New Roman" w:cs="Times New Roman" w:eastAsia="Times New Roman"/>
        </w:rPr>
        <w:t xml:space="preserve">panel (171,054 haplotypes, 85,527 samples) is a TOPMed Freeze 8 reference panel from which the MESA study samples were removed, so the 5,000 MESA evaluation targets are held out from it.</w:t>
      </w:r>
    </w:p>
    <w:p>
      <w:pPr>
        <w:pStyle w:val="BodyText"/>
        <w:jc w:val="both"/>
      </w:pPr>
      <w:r>
        <w:rPr>
          <w:rFonts w:ascii="Times New Roman" w:hAnsi="Times New Roman" w:cs="Times New Roman" w:eastAsia="Times New Roman"/>
        </w:rPr>
        <w:t xml:space="preserve">Following standard practice for imputation reference panels, related individuals are retained rather than pruned. Unlike a genome-wide association cohort, in which cryptic relatedness inflates association test statistics, an imputation reference panel benefits from related haplotypes: they raise the local minor-allele count available to the copying model and thereby improve rare-variant accuracy, so panels such as 1000 Genomes, HRC and TOPMed are distributed without relatedness pruning. Only exact duplicate samples were removed during construction of the 75,552-haplotype panel. The relatedness that can bias an accuracy benchmark is instead the relatedness between a panel and its</w:t>
      </w:r>
      <w:r>
        <w:rPr>
          <w:rFonts w:ascii="Times New Roman" w:hAnsi="Times New Roman" w:cs="Times New Roman" w:eastAsia="Times New Roman"/>
        </w:rPr>
        <w:t xml:space="preserve"> </w:t>
      </w:r>
      <w:r>
        <w:rPr>
          <w:rFonts w:ascii="Times New Roman" w:hAnsi="Times New Roman" w:cs="Times New Roman" w:eastAsia="Times New Roman"/>
          <w:i/>
          <w:iCs/>
        </w:rPr>
        <w:t xml:space="preserve">evaluation targets</w:t>
      </w:r>
      <w:r>
        <w:rPr>
          <w:rFonts w:ascii="Times New Roman" w:hAnsi="Times New Roman" w:cs="Times New Roman" w:eastAsia="Times New Roman"/>
        </w:rPr>
        <w:t xml:space="preserve">, and this is controlled at the target side: the GIAB and HGDP benchmarks use targets provably absent from their panels (leak-free), whereas the 1000 Genomes benchmark, whose held-out targets share haplotypes with the panel by descent, is reported as such (Results) and is the reason the leak-free GIAB and HGDP results are treated as the decisive accuracy evidence.</w:t>
      </w:r>
    </w:p>
    <w:p>
      <w:pPr>
        <w:pStyle w:val="Heading3"/>
        <w:jc w:val="both"/>
      </w:pPr>
      <w:r>
        <w:rPr>
          <w:rFonts w:ascii="Times New Roman" w:hAnsi="Times New Roman" w:cs="Times New Roman" w:eastAsia="Times New Roman"/>
          <w:b/>
          <w:bCs/>
        </w:rPr>
        <w:t xml:space="preserve">Consumer-array benchmark: data preparation and evaluation</w:t>
      </w:r>
    </w:p>
    <w:p>
      <w:pPr>
        <w:pStyle w:val="FirstParagraph"/>
        <w:jc w:val="both"/>
      </w:pPr>
      <w:r>
        <w:rPr>
          <w:rFonts w:ascii="Times New Roman" w:hAnsi="Times New Roman" w:cs="Times New Roman" w:eastAsia="Times New Roman"/>
        </w:rPr>
        <w:t xml:space="preserve">For the consumer-array benchmark (Results,</w:t>
      </w:r>
      <w:r>
        <w:rPr>
          <w:rFonts w:ascii="Times New Roman" w:hAnsi="Times New Roman" w:cs="Times New Roman" w:eastAsia="Times New Roman"/>
        </w:rPr>
        <w:t xml:space="preserve"> </w:t>
      </w:r>
      <w:r>
        <w:rPr>
          <w:rFonts w:ascii="Times New Roman" w:hAnsi="Times New Roman" w:cs="Times New Roman" w:eastAsia="Times New Roman"/>
          <w:i/>
          <w:iCs/>
        </w:rPr>
        <w:t xml:space="preserve">Imputation accuracy on consumer arrays against high-coverage WGS truth</w:t>
      </w:r>
      <w:r>
        <w:rPr>
          <w:rFonts w:ascii="Times New Roman" w:hAnsi="Times New Roman" w:cs="Times New Roman" w:eastAsia="Times New Roman"/>
        </w:rPr>
        <w:t xml:space="preserve">; Table 3), we used six individuals each having both a SelfDecode consumer genotyping array (Illumina Global Screening Array, GRCh38) and an independent high-coverage Illumina whole-genome sequence processed with the DRAGEN germline pipeline (GRCh38; ≈30-60</w:t>
      </w:r>
      <m:oMath>
        <m:r>
          <m:rPr>
            <m:sty m:val="p"/>
          </m:rPr>
          <m:t>×</m:t>
        </m:r>
      </m:oMath>
      <w:r>
        <w:rPr>
          <w:rFonts w:ascii="Times New Roman" w:hAnsi="Times New Roman" w:cs="Times New Roman" w:eastAsia="Times New Roman"/>
        </w:rPr>
        <w:t xml:space="preserve">). All six were confirmed absent from the reference panel before any analysis.</w:t>
      </w:r>
    </w:p>
    <w:p>
      <w:pPr>
        <w:pStyle w:val="BodyText"/>
        <w:jc w:val="both"/>
      </w:pPr>
      <w:r>
        <w:rPr>
          <w:rFonts w:ascii="Times New Roman" w:hAnsi="Times New Roman" w:cs="Times New Roman" w:eastAsia="Times New Roman"/>
          <w:i/>
          <w:iCs/>
        </w:rPr>
        <w:t xml:space="preserve">Truth construction.</w:t>
      </w:r>
      <w:r>
        <w:rPr>
          <w:rFonts w:ascii="Times New Roman" w:hAnsi="Times New Roman" w:cs="Times New Roman" w:eastAsia="Times New Roman"/>
        </w:rPr>
        <w:t xml:space="preserve"> </w:t>
      </w:r>
      <w:r>
        <w:rPr>
          <w:rFonts w:ascii="Times New Roman" w:hAnsi="Times New Roman" w:cs="Times New Roman" w:eastAsia="Times New Roman"/>
        </w:rPr>
        <w:t xml:space="preserve">DRAGEN hard-filtered WGS calls were normalized and decomposed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norm -m-any</w:t>
      </w:r>
      <w:r>
        <w:rPr>
          <w:rFonts w:ascii="Times New Roman" w:hAnsi="Times New Roman" w:cs="Times New Roman" w:eastAsia="Times New Roman"/>
        </w:rPr>
        <w:t xml:space="preserve"> </w:t>
      </w:r>
      <w:r>
        <w:rPr>
          <w:rFonts w:ascii="Times New Roman" w:hAnsi="Times New Roman" w:cs="Times New Roman" w:eastAsia="Times New Roman"/>
        </w:rPr>
        <w:t xml:space="preserve">against the GRCh38 reference, then restricted to high-confidence genotypes by requiring</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FILTER=PASS</w:t>
      </w:r>
      <w:r>
        <w:rPr>
          <w:rFonts w:ascii="Times New Roman" w:hAnsi="Times New Roman" w:cs="Times New Roman" w:eastAsia="Times New Roman"/>
        </w:rPr>
        <w:t xml:space="preserve">, genotype quality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GQ ≥ 20</w:t>
      </w:r>
      <w:r>
        <w:rPr>
          <w:rFonts w:ascii="Times New Roman" w:hAnsi="Times New Roman" w:cs="Times New Roman" w:eastAsia="Times New Roman"/>
        </w:rPr>
        <w:t xml:space="preserve">, and read depth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DP ≥ 10</w:t>
      </w:r>
      <w:r>
        <w:rPr>
          <w:rFonts w:ascii="Times New Roman" w:hAnsi="Times New Roman" w:cs="Times New Roman" w:eastAsia="Times New Roman"/>
        </w:rPr>
        <w:t xml:space="preserve">. This removed roughly 13% of raw calls on average across the six samples (9% to 14% per sample; e.g. 4.98M to 4.34M for one sample);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FILTER=PASS</w:t>
      </w:r>
      <w:r>
        <w:rPr>
          <w:rFonts w:ascii="Times New Roman" w:hAnsi="Times New Roman" w:cs="Times New Roman" w:eastAsia="Times New Roman"/>
        </w:rPr>
        <w:t xml:space="preserve"> </w:t>
      </w:r>
      <w:r>
        <w:rPr>
          <w:rFonts w:ascii="Times New Roman" w:hAnsi="Times New Roman" w:cs="Times New Roman" w:eastAsia="Times New Roman"/>
        </w:rPr>
        <w:t xml:space="preserve">alone retained many low-confidence calls (genotypes supported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GQ</w:t>
      </w:r>
      <w:r>
        <w:rPr>
          <w:rFonts w:ascii="Times New Roman" w:hAnsi="Times New Roman" w:cs="Times New Roman" w:eastAsia="Times New Roman"/>
        </w:rPr>
        <w:t xml:space="preserve"> </w:t>
      </w:r>
      <w:r>
        <w:rPr>
          <w:rFonts w:ascii="Times New Roman" w:hAnsi="Times New Roman" w:cs="Times New Roman" w:eastAsia="Times New Roman"/>
        </w:rPr>
        <w:t xml:space="preserve">as low as 5) and was insufficient. Both SNPs and indels were retained and evaluated separately. The high-confidence set defines the truth genotype at every site it contains.</w:t>
      </w:r>
    </w:p>
    <w:p>
      <w:pPr>
        <w:pStyle w:val="BodyText"/>
        <w:jc w:val="both"/>
      </w:pPr>
      <w:r>
        <w:rPr>
          <w:rFonts w:ascii="Times New Roman" w:hAnsi="Times New Roman" w:cs="Times New Roman" w:eastAsia="Times New Roman"/>
          <w:i/>
          <w:iCs/>
        </w:rPr>
        <w:t xml:space="preserve">Array input.</w:t>
      </w:r>
      <w:r>
        <w:rPr>
          <w:rFonts w:ascii="Times New Roman" w:hAnsi="Times New Roman" w:cs="Times New Roman" w:eastAsia="Times New Roman"/>
        </w:rPr>
        <w:t xml:space="preserve"> </w:t>
      </w:r>
      <w:r>
        <w:rPr>
          <w:rFonts w:ascii="Times New Roman" w:hAnsi="Times New Roman" w:cs="Times New Roman" w:eastAsia="Times New Roman"/>
        </w:rPr>
        <w:t xml:space="preserve">Array genotypes were lifted to the panel's variant coordinates: REF/ALT and site position were taken from the reference panel, the genotype was assigned from the array alleles (strand-flipping by complement where required), and homozygous-reference calls, which a naïve TSV-to-VCF conversion leaves with an undefined ALT and would otherwise be dropped, were explicitly retained, yielding ≈620,000 autosomal SNPs per sample. The six samples were merged into one cohort and imputed jointly.</w:t>
      </w:r>
    </w:p>
    <w:p>
      <w:pPr>
        <w:pStyle w:val="BodyText"/>
        <w:jc w:val="both"/>
      </w:pPr>
      <w:r>
        <w:rPr>
          <w:rFonts w:ascii="Times New Roman" w:hAnsi="Times New Roman" w:cs="Times New Roman" w:eastAsia="Times New Roman"/>
          <w:i/>
          <w:iCs/>
        </w:rPr>
        <w:t xml:space="preserve">Imputation.</w:t>
      </w:r>
      <w:r>
        <w:rPr>
          <w:rFonts w:ascii="Times New Roman" w:hAnsi="Times New Roman" w:cs="Times New Roman" w:eastAsia="Times New Roman"/>
        </w:rPr>
        <w:t xml:space="preserve"> </w:t>
      </w:r>
      <w:r>
        <w:rPr>
          <w:rFonts w:ascii="Times New Roman" w:hAnsi="Times New Roman" w:cs="Times New Roman" w:eastAsia="Times New Roman"/>
        </w:rPr>
        <w:t xml:space="preserve">The array cohort was imputed against the 75,552-haplotype reference panel with each tool given the same per-chromosome genetic map. For the "Beagle-phased" rows, both Selphi 2 and Selphi 1.5.3 were given Beagle's phase-only output as their phased input, isolating the imputation step from phasing quality; the "haploid"/"diploid" rows use Selphi 2's internal phasing engines. Beagle 5.5 (build 03 Oct 2025) was run as a full phase-plus-impute pipeline against the same panel in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bref3</w:t>
      </w:r>
      <w:r>
        <w:rPr>
          <w:rFonts w:ascii="Times New Roman" w:hAnsi="Times New Roman" w:cs="Times New Roman" w:eastAsia="Times New Roman"/>
        </w:rPr>
        <w:t xml:space="preserve"> </w:t>
      </w:r>
      <w:r>
        <w:rPr>
          <w:rFonts w:ascii="Times New Roman" w:hAnsi="Times New Roman" w:cs="Times New Roman" w:eastAsia="Times New Roman"/>
        </w:rPr>
        <w:t xml:space="preserve">form.</w:t>
      </w:r>
    </w:p>
    <w:p>
      <w:pPr>
        <w:pStyle w:val="BodyText"/>
        <w:jc w:val="both"/>
      </w:pPr>
      <w:r>
        <w:rPr>
          <w:rFonts w:ascii="Times New Roman" w:hAnsi="Times New Roman" w:cs="Times New Roman" w:eastAsia="Times New Roman"/>
          <w:i/>
          <w:iCs/>
        </w:rPr>
        <w:t xml:space="preserve">Evaluation.</w:t>
      </w:r>
      <w:r>
        <w:rPr>
          <w:rFonts w:ascii="Times New Roman" w:hAnsi="Times New Roman" w:cs="Times New Roman" w:eastAsia="Times New Roman"/>
        </w:rPr>
        <w:t xml:space="preserve"> </w:t>
      </w:r>
      <w:r>
        <w:rPr>
          <w:rFonts w:ascii="Times New Roman" w:hAnsi="Times New Roman" w:cs="Times New Roman" w:eastAsia="Times New Roman"/>
        </w:rPr>
        <w:t xml:space="preserve">For each sample, variant class (SNP, indel), and chromosome we computed</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as the squared Pearson correlation between imputed dosage and truth genotype. A truth genotype is the high-confidence call where one exists; sites present in the raw WGS but removed by the confidence filter are excluded from evaluation rather than counted as homozygous reference; sites absent from the WGS are treated as homozygous reference; and the array sites themselves are excluded so that only imputed variants are scored. Reported values are means over the six samples, genome-wide across chromosomes 1-22. Pairwise comparisons between tools are summarized by the mean per-sample difference in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a 95% confidence interval obtained from 20,000 paired bootstrap resamples of the six per-sample differences, and a two-sided exact Wilcoxon signed-rank test; with n = 6 paired samples the smallest attainable two-sided p value is 0.031.</w:t>
      </w:r>
    </w:p>
    <w:p>
      <w:pPr>
        <w:pStyle w:val="Heading3"/>
        <w:jc w:val="both"/>
      </w:pPr>
      <w:r>
        <w:rPr>
          <w:rFonts w:ascii="Times New Roman" w:hAnsi="Times New Roman" w:cs="Times New Roman" w:eastAsia="Times New Roman"/>
          <w:b/>
          <w:bCs/>
        </w:rPr>
        <w:t xml:space="preserve">Comparator tools and versions</w:t>
      </w:r>
    </w:p>
    <w:p>
      <w:pPr>
        <w:pStyle w:val="FirstParagraph"/>
        <w:jc w:val="both"/>
      </w:pPr>
      <w:r>
        <w:rPr>
          <w:rFonts w:ascii="Times New Roman" w:hAnsi="Times New Roman" w:cs="Times New Roman" w:eastAsia="Times New Roman"/>
        </w:rPr>
        <w:t xml:space="preserve">Comparators were run at their default parameters unless noted, given the same per-chromosome genetic maps and the identical reference panel as Selphi 2 on each benchmark, and imputed variants were scored on the identical site set across the compared tools. Beagle 5.5 (build 03Oct25.f35702) was run as an integrated phase-and-impute pipeline against the panel in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bref3</w:t>
      </w:r>
      <w:r>
        <w:rPr>
          <w:rFonts w:ascii="Times New Roman" w:hAnsi="Times New Roman" w:cs="Times New Roman" w:eastAsia="Times New Roman"/>
        </w:rPr>
        <w:t xml:space="preserve"> </w:t>
      </w:r>
      <w:r>
        <w:rPr>
          <w:rFonts w:ascii="Times New Roman" w:hAnsi="Times New Roman" w:cs="Times New Roman" w:eastAsia="Times New Roman"/>
        </w:rPr>
        <w:t xml:space="preserve">form. IMPUTE5 v1.1.5 was run after converting the panel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imp5Convert</w:t>
      </w:r>
      <w:r>
        <w:rPr>
          <w:rFonts w:ascii="Times New Roman" w:hAnsi="Times New Roman" w:cs="Times New Roman" w:eastAsia="Times New Roman"/>
        </w:rPr>
        <w:t xml:space="preserve">, and Minimac4 v4.1.6 after converting the panel to</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msav</w:t>
      </w:r>
      <w:r>
        <w:rPr>
          <w:rFonts w:ascii="Times New Roman" w:hAnsi="Times New Roman" w:cs="Times New Roman" w:eastAsia="Times New Roman"/>
        </w:rPr>
        <w:t xml:space="preserve"> </w:t>
      </w:r>
      <w:r>
        <w:rPr>
          <w:rFonts w:ascii="Times New Roman" w:hAnsi="Times New Roman" w:cs="Times New Roman" w:eastAsia="Times New Roman"/>
        </w:rPr>
        <w:t xml:space="preserve">(the current Minimac4 panel format; the deprecated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m3vcf</w:t>
      </w:r>
      <w:r>
        <w:rPr>
          <w:rFonts w:ascii="Times New Roman" w:hAnsi="Times New Roman" w:cs="Times New Roman" w:eastAsia="Times New Roman"/>
        </w:rPr>
        <w:t xml:space="preserve"> </w:t>
      </w:r>
      <w:r>
        <w:rPr>
          <w:rFonts w:ascii="Times New Roman" w:hAnsi="Times New Roman" w:cs="Times New Roman" w:eastAsia="Times New Roman"/>
        </w:rPr>
        <w:t xml:space="preserve">was not used). Phasing was compared against SHAPEIT5 v5.1.1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followed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Low-coverage imputation was compared against GLIMPSE2 (native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chunk</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phase</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ligate</w:t>
      </w:r>
      <w:r>
        <w:rPr>
          <w:rFonts w:ascii="Times New Roman" w:hAnsi="Times New Roman" w:cs="Times New Roman" w:eastAsia="Times New Roman"/>
        </w:rPr>
        <w:t xml:space="preserve">) and QUILT2, each deriving genotype likelihoods from the same BAM files with its own in-process pileup. The original Selphi 1.5.3 was run from its published Docker image with the published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--chunk_size 10000</w:t>
      </w:r>
      <w:r>
        <w:rPr>
          <w:rFonts w:ascii="Times New Roman" w:hAnsi="Times New Roman" w:cs="Times New Roman" w:eastAsia="Times New Roman"/>
        </w:rPr>
        <w:t xml:space="preserve"> </w:t>
      </w:r>
      <w:r>
        <w:rPr>
          <w:rFonts w:ascii="Times New Roman" w:hAnsi="Times New Roman" w:cs="Times New Roman" w:eastAsia="Times New Roman"/>
        </w:rPr>
        <w:t xml:space="preserve">configuration. We verified that these defaults do not disadvantage the comparators: on the 1000 Genomes chromosome-22 benchmark, varying Beagle 5.5's window from 20 to 80 cM changed its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less than 0.0001, consistent with the near-insensitivity to window size reported by its authors; IMPUTE5's and Minimac4's default conditioning-state and blocking parameters are likewise the settings their authors recommend for large reference panels.</w:t>
      </w:r>
    </w:p>
    <w:p>
      <w:pPr>
        <w:pStyle w:val="Heading1"/>
        <w:jc w:val="both"/>
      </w:pPr>
      <w:r>
        <w:rPr>
          <w:rFonts w:ascii="Times New Roman" w:hAnsi="Times New Roman" w:cs="Times New Roman" w:eastAsia="Times New Roman"/>
          <w:b/>
          <w:bCs/>
        </w:rPr>
        <w:t xml:space="preserve">Results</w:t>
      </w:r>
    </w:p>
    <w:p>
      <w:pPr>
        <w:pStyle w:val="FirstParagraph"/>
        <w:jc w:val="both"/>
      </w:pPr>
      <w:r>
        <w:rPr>
          <w:rFonts w:ascii="Times New Roman" w:hAnsi="Times New Roman" w:cs="Times New Roman" w:eastAsia="Times New Roman"/>
        </w:rPr>
        <w:t xml:space="preserve">We evaluated Selphi 2 against Beagle 5.5 and the original Selphi 1.5.3 on three reference panels spanning two orders of magnitude in size: the 1000 Genomes Phase 3 panel</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(4,802 haplotypes), the TOPMed Freeze 8 panel</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(171,054 haplotypes), and a 75,552-haplotype (37,776-sample) reference panel combining UK Biobank whole-genome sequences (34,582 samples) with the full 1000 Genomes cohort (3,194 samples). All experiments use unphased target genotypes as the realistic input scenario; tools that require pre-phased input (Selphi 1.5.3 in particular) were pre-phased with Selphi 2's haploid engine to ensure an identical phased starting point.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computed against held-out whole-genome-sequenced truth, stratified by minor allele frequency (MAF) in the reference panel. All benchmarks were run on the same machine with 16 threads.</w:t>
      </w:r>
    </w:p>
    <w:p>
      <w:pPr>
        <w:pStyle w:val="Heading2"/>
        <w:jc w:val="both"/>
      </w:pPr>
      <w:r>
        <w:rPr>
          <w:rFonts w:ascii="Times New Roman" w:hAnsi="Times New Roman" w:cs="Times New Roman" w:eastAsia="Times New Roman"/>
          <w:b/>
          <w:bCs/>
        </w:rPr>
        <w:t xml:space="preserve">Imputation accuracy on the 1000 Genomes Phase 3 reference panel</w:t>
      </w:r>
    </w:p>
    <w:p>
      <w:pPr>
        <w:pStyle w:val="FirstParagraph"/>
        <w:jc w:val="both"/>
      </w:pPr>
      <w:r>
        <w:rPr>
          <w:rFonts w:ascii="Times New Roman" w:hAnsi="Times New Roman" w:cs="Times New Roman" w:eastAsia="Times New Roman"/>
        </w:rPr>
        <w:t xml:space="preserve">On chromosome 22 of the 1000 Genomes Phase 3 panel (4,802 haplotypes, 1,070,401 variants) imputed for 801 held-out samples, Selphi 2's default diploid engine attains an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0.4832 against the whole-genome-sequenced truth, compared to 0.4727 for Beagle 5.5, 0.4688 for Minimac4, and 0.4594 for IMPUTE5, all evaluated against the identical 1000 Genomes reference panel and truth (Selphi 2 and Beagle 5.5 run as full phase-and-impute pipelines from the unphased chip; IMPUTE5 and Minimac4, which require pre-phased input, given the identical phased target, as detailed in the Table 1 caption). The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0.9159 (Selphi 2) versus 0.9048 (Beagle 5.5), 0.9030 (Minimac4), and 0.9025 (IMPUTE5). Across the 801 held-out samples this per-sample advantage is consistent and paired-significant: on chromosome 22 Selphi 2 exceeds Beagle 5.5 by a mean +0.0110 (95% CI [+0.0105, +0.0114] from 20,000 paired bootstrap resamples; higher in 769 of 801 samples), IMPUTE5 by +0.0134, and Minimac4 by +0.0129 (all 95% CIs exclude zero; two-sided Wilcoxon</w:t>
      </w:r>
      <w:r>
        <w:rPr>
          <w:rFonts w:ascii="Times New Roman" w:hAnsi="Times New Roman" w:cs="Times New Roman" w:eastAsia="Times New Roman"/>
        </w:rPr>
        <w:t xml:space="preserve"> </w:t>
      </w:r>
      <m:oMath>
        <m:r>
          <m:t>p</m:t>
        </m:r>
        <m:r>
          <m:rPr>
            <m:sty m:val="p"/>
          </m:rPr>
          <m:t>&lt;</m:t>
        </m:r>
        <m:sSup>
          <m:e>
            <m:r>
              <m:t>10</m:t>
            </m:r>
          </m:e>
          <m:sup>
            <m:r>
              <m:rPr>
                <m:sty m:val="p"/>
              </m:rPr>
              <m:t>−</m:t>
            </m:r>
            <m:r>
              <m:t>100</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against each tool). The same comparison on chromosome 1 (5,769,087 variants) gives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0.5739 (Selphi 2) versus 0.5640 (Beagle 5.5), and per-sample mean 0.9564 versus 0.9507, a per-sample gain of +0.0057 (95% CI [+0.0056, +0.0059]) that favours Selphi 2 in all 801 of 801 samples. Selphi 2 attains the highest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the four tools in every MAF bin from 0.1% upward on chromosome 22, and exceeds Beagle 5.5 in every bin from 0.1% upward on chromosome 1; only at the rarest bin (MAF 0.05-0.1%) does Beagle 5.5 narrowly lead (Table 1). Aggregated genome-wide across 20 autosomes (chromosomes 8 and 11 excluded, where Beagle aborted on a duplicate panel marker, so all tools span the identical chromosome set), the same ordering holds. To compare imputation on an equal footing, independent of each tool's phasing, we ran a like-for-like</w:t>
      </w:r>
      <w:r>
        <w:rPr>
          <w:rFonts w:ascii="Times New Roman" w:hAnsi="Times New Roman" w:cs="Times New Roman" w:eastAsia="Times New Roman"/>
        </w:rPr>
        <w:t xml:space="preserve"> </w:t>
      </w:r>
      <w:r>
        <w:rPr>
          <w:rFonts w:ascii="Times New Roman" w:hAnsi="Times New Roman" w:cs="Times New Roman" w:eastAsia="Times New Roman"/>
          <w:b/>
          <w:bCs/>
        </w:rPr>
        <w:t xml:space="preserve">imputation-only</w:t>
      </w:r>
      <w:r>
        <w:rPr>
          <w:rFonts w:ascii="Times New Roman" w:hAnsi="Times New Roman" w:cs="Times New Roman" w:eastAsia="Times New Roman"/>
        </w:rPr>
        <w:t xml:space="preserve"> </w:t>
      </w:r>
      <w:r>
        <w:rPr>
          <w:rFonts w:ascii="Times New Roman" w:hAnsi="Times New Roman" w:cs="Times New Roman" w:eastAsia="Times New Roman"/>
        </w:rPr>
        <w:t xml:space="preserve">benchmark in which all five tools — Selphi 2, the original Selphi 1.5.3, Beagle 5.5, Minimac4 and IMPUTE5 — receive the</w:t>
      </w:r>
      <w:r>
        <w:rPr>
          <w:rFonts w:ascii="Times New Roman" w:hAnsi="Times New Roman" w:cs="Times New Roman" w:eastAsia="Times New Roman"/>
        </w:rPr>
        <w:t xml:space="preserve"> </w:t>
      </w:r>
      <w:r>
        <w:rPr>
          <w:rFonts w:ascii="Times New Roman" w:hAnsi="Times New Roman" w:cs="Times New Roman" w:eastAsia="Times New Roman"/>
          <w:i/>
          <w:iCs/>
        </w:rPr>
        <w:t xml:space="preserve">identical</w:t>
      </w:r>
      <w:r>
        <w:rPr>
          <w:rFonts w:ascii="Times New Roman" w:hAnsi="Times New Roman" w:cs="Times New Roman" w:eastAsia="Times New Roman"/>
        </w:rPr>
        <w:t xml:space="preserve"> </w:t>
      </w:r>
      <w:r>
        <w:rPr>
          <w:rFonts w:ascii="Times New Roman" w:hAnsi="Times New Roman" w:cs="Times New Roman" w:eastAsia="Times New Roman"/>
        </w:rPr>
        <w:t xml:space="preserve">phased target haplotypes and the same 1000 Genomes panel, and impute from that shared phasing (Figure 2a; Supplementary Table S9). Selphi 2 leads at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0.5808, ahead of Selphi 1.5.3 and Beagle 5.5 (both 0.5739), Minimac4 (0.5668) and IMPUTE5 (0.5635). Because the shared target is fully phased and contains no missing genotypes, all five tools are compared purely as imputation methods on identical input haplotypes; under this condition Beagle 5.5 likewise imputes without re-estimating the target phase. Selphi 2 is highest at overall and across the low-frequency bins (0.1-2%); it and Selphi 1.5.3 lie within ≈0.001 (seed-level noise) at the common bins (2-50%), both above the three external tools, and only at the rarest bin (MAF 0.05-0.1%) does Beagle 5.5 narrowly lead. Minimac4 and IMPUTE5, which require pre-phased input, were imputed against that identical phased target and re-scored here with the identical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metric (Table 1 reports their per-MAF detail on chromosome 22). In deployment as a full phase-and-impute pipeline from the unphased chip — the mode in which it is actually run — Selphi 2's own internal phasing lifts its genome-wide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further, to 0.5838 (per-sample mean 0.9548) versus Beagle 5.5's 0.5764 (0.9503), each re-run with the current release. Extended per-MAF detail is in Supplementary Table S1 (chr22 and chr1), Supplementary Table S9 (the genome-wide five-way imputation-only breakdown underlying Figure 2a) and Supplementary Table S12 (Selphi 2 versus Selphi 1.5.3 on chr22 and chr1: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0.4776 versus 0.4703 and 0.5643 versus 0.5581, Selphi 2 higher at every bin from the rarest through low frequency, the two within ≈0.001 at the most common bins). The Rust reimplementation thus preserves, and at rare frequencies improves on, Selphi 1's imputation accuracy, while Selphi 2's integrated phasing carries the full pipeline beyond every external tool.</w:t>
      </w:r>
    </w:p>
    <w:p>
      <w:pPr>
        <w:pStyle w:val="BodyText"/>
        <w:jc w:val="both"/>
      </w:pPr>
      <w:r>
        <w:rPr>
          <w:rFonts w:ascii="Times New Roman" w:hAnsi="Times New Roman" w:cs="Times New Roman" w:eastAsia="Times New Roman"/>
          <w:b/>
          <w:bCs/>
        </w:rPr>
        <w:t xml:space="preserve">Table 1.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on the 1000 Genomes Phase 3 panel, by MAF.</w:t>
      </w:r>
      <w:r>
        <w:rPr>
          <w:rFonts w:ascii="Times New Roman" w:hAnsi="Times New Roman" w:cs="Times New Roman" w:eastAsia="Times New Roman"/>
        </w:rPr>
        <w:t xml:space="preserve"> </w:t>
      </w:r>
      <w:r>
        <w:rPr>
          <w:rFonts w:ascii="Times New Roman" w:hAnsi="Times New Roman" w:cs="Times New Roman" w:eastAsia="Times New Roman"/>
        </w:rPr>
        <w:t xml:space="preserve">Each cell reports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between imputed dosage and whole-genome-sequenced truth, computed at variants in the indicated MAF bin (frequencies in the 1000 Genomes reference panel). n = 801 held-out samples per chromosome; full-pipeline mode (unphased target chip in, imputed dosage out); Selphi 2 uses its default diploid phasing engine. IMPUTE5, Minimac4 and the original Selphi 1.5.3 are impute-only, run on the identical phased target and 1000 Genomes reference panel (Selphi 1.5.3 requires pre-phased input) and evaluated on chromosome 22 (Selphi 1.5.3 also on chromosome 1); Selphi 2 and Beagle 5.5 are the full unphased-to-imputed pipeline, both additionally evaluated on chromosome 1. Bold marks the best full-pipeline result (Selphi 2 or Beagle 5.5) in each chromosome group; at common bins the impute-only tools can marginally exceed it because they are handed a high-quality phasing rather than performing their own, so the like-for-like impute-only comparison of the two Selphi versions is given separately in Supplementary Table S12.</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461"/>
        <w:gridCol w:w="1074"/>
        <w:gridCol w:w="1074"/>
        <w:gridCol w:w="1201"/>
        <w:gridCol w:w="1328"/>
        <w:gridCol w:w="1074"/>
        <w:gridCol w:w="1074"/>
        <w:gridCol w:w="1074"/>
      </w:tblGrid>
      <w:tr>
        <w:trPr>
          <w:tblHeader w:val="on"/>
        </w:trPr>
        <w:tc>
          <w:tcPr>
            <w:shd w:val="clear" w:color="auto" w:fill="595959"/>
            <w:vAlign w:val="center"/>
            <w:tcW w:type="dxa" w:w="1461"/>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074"/>
          </w:tcPr>
          <w:p>
            <w:pPr>
              <w:pStyle w:val="Compact"/>
              <w:jc w:val="center"/>
            </w:pPr>
            <w:r>
              <w:rPr>
                <w:rFonts w:ascii="Times New Roman" w:hAnsi="Times New Roman" w:cs="Times New Roman" w:eastAsia="Times New Roman"/>
                <w:b/>
                <w:color w:val="FFFFFF"/>
                <w:sz w:val="20"/>
              </w:rPr>
              <w:t xml:space="preserve">chr22 Selphi 2</w:t>
            </w:r>
          </w:p>
        </w:tc>
        <w:tc>
          <w:tcPr>
            <w:shd w:val="clear" w:color="auto" w:fill="595959"/>
            <w:vAlign w:val="center"/>
            <w:tcW w:type="dxa" w:w="1074"/>
          </w:tcPr>
          <w:p>
            <w:pPr>
              <w:pStyle w:val="Compact"/>
              <w:jc w:val="center"/>
            </w:pPr>
            <w:r>
              <w:rPr>
                <w:rFonts w:ascii="Times New Roman" w:hAnsi="Times New Roman" w:cs="Times New Roman" w:eastAsia="Times New Roman"/>
                <w:b/>
                <w:color w:val="FFFFFF"/>
                <w:sz w:val="20"/>
              </w:rPr>
              <w:t xml:space="preserve">chr22 Beagle 5.5</w:t>
            </w:r>
          </w:p>
        </w:tc>
        <w:tc>
          <w:tcPr>
            <w:shd w:val="clear" w:color="auto" w:fill="595959"/>
            <w:vAlign w:val="center"/>
            <w:tcW w:type="dxa" w:w="1201"/>
          </w:tcPr>
          <w:p>
            <w:pPr>
              <w:pStyle w:val="Compact"/>
              <w:jc w:val="center"/>
            </w:pPr>
            <w:r>
              <w:rPr>
                <w:rFonts w:ascii="Times New Roman" w:hAnsi="Times New Roman" w:cs="Times New Roman" w:eastAsia="Times New Roman"/>
                <w:b/>
                <w:color w:val="FFFFFF"/>
                <w:sz w:val="20"/>
              </w:rPr>
              <w:t xml:space="preserve">chr22 IMPUTE5</w:t>
            </w:r>
          </w:p>
        </w:tc>
        <w:tc>
          <w:tcPr>
            <w:shd w:val="clear" w:color="auto" w:fill="595959"/>
            <w:vAlign w:val="center"/>
            <w:tcW w:type="dxa" w:w="1328"/>
          </w:tcPr>
          <w:p>
            <w:pPr>
              <w:pStyle w:val="Compact"/>
              <w:jc w:val="center"/>
            </w:pPr>
            <w:r>
              <w:rPr>
                <w:rFonts w:ascii="Times New Roman" w:hAnsi="Times New Roman" w:cs="Times New Roman" w:eastAsia="Times New Roman"/>
                <w:b/>
                <w:color w:val="FFFFFF"/>
                <w:sz w:val="20"/>
              </w:rPr>
              <w:t xml:space="preserve">chr22 Minimac4</w:t>
            </w:r>
          </w:p>
        </w:tc>
        <w:tc>
          <w:tcPr>
            <w:shd w:val="clear" w:color="auto" w:fill="595959"/>
            <w:vAlign w:val="center"/>
            <w:tcW w:type="dxa" w:w="1074"/>
          </w:tcPr>
          <w:p>
            <w:pPr>
              <w:pStyle w:val="Compact"/>
              <w:jc w:val="center"/>
            </w:pPr>
            <w:r>
              <w:rPr>
                <w:rFonts w:ascii="Times New Roman" w:hAnsi="Times New Roman" w:cs="Times New Roman" w:eastAsia="Times New Roman"/>
                <w:b/>
                <w:color w:val="FFFFFF"/>
                <w:sz w:val="20"/>
              </w:rPr>
              <w:t xml:space="preserve">chr22 Selphi 1.5.3</w:t>
            </w:r>
          </w:p>
        </w:tc>
        <w:tc>
          <w:tcPr>
            <w:shd w:val="clear" w:color="auto" w:fill="595959"/>
            <w:vAlign w:val="center"/>
            <w:tcW w:type="dxa" w:w="1074"/>
          </w:tcPr>
          <w:p>
            <w:pPr>
              <w:pStyle w:val="Compact"/>
              <w:jc w:val="center"/>
            </w:pPr>
            <w:r>
              <w:rPr>
                <w:rFonts w:ascii="Times New Roman" w:hAnsi="Times New Roman" w:cs="Times New Roman" w:eastAsia="Times New Roman"/>
                <w:b/>
                <w:color w:val="FFFFFF"/>
                <w:sz w:val="20"/>
              </w:rPr>
              <w:t xml:space="preserve">chr1 Selphi 2</w:t>
            </w:r>
          </w:p>
        </w:tc>
        <w:tc>
          <w:tcPr>
            <w:shd w:val="clear" w:color="auto" w:fill="595959"/>
            <w:vAlign w:val="center"/>
            <w:tcW w:type="dxa" w:w="1074"/>
          </w:tcPr>
          <w:p>
            <w:pPr>
              <w:pStyle w:val="Compact"/>
              <w:jc w:val="center"/>
            </w:pPr>
            <w:r>
              <w:rPr>
                <w:rFonts w:ascii="Times New Roman" w:hAnsi="Times New Roman" w:cs="Times New Roman" w:eastAsia="Times New Roman"/>
                <w:b/>
                <w:color w:val="FFFFFF"/>
                <w:sz w:val="20"/>
              </w:rPr>
              <w:t xml:space="preserve">chr1 Beagle 5.5</w:t>
            </w:r>
          </w:p>
        </w:tc>
      </w:tr>
      <w:tr>
        <w:tc>
          <w:tcPr>
            <w:shd w:val="clear" w:color="auto" w:fill="FFFFFF"/>
            <w:vAlign w:val="center"/>
            <w:tcW w:type="dxa" w:w="1461"/>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0.2768</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0.2800</w:t>
            </w:r>
          </w:p>
        </w:tc>
        <w:tc>
          <w:tcPr>
            <w:shd w:val="clear" w:color="auto" w:fill="FFFFFF"/>
            <w:vAlign w:val="center"/>
            <w:tcW w:type="dxa" w:w="1201"/>
          </w:tcPr>
          <w:p>
            <w:pPr>
              <w:pStyle w:val="Compact"/>
              <w:jc w:val="center"/>
            </w:pPr>
            <w:r>
              <w:rPr>
                <w:rFonts w:ascii="Times New Roman" w:hAnsi="Times New Roman" w:cs="Times New Roman" w:eastAsia="Times New Roman"/>
                <w:sz w:val="20"/>
              </w:rPr>
              <w:t xml:space="preserve">0.2613</w:t>
            </w:r>
          </w:p>
        </w:tc>
        <w:tc>
          <w:tcPr>
            <w:shd w:val="clear" w:color="auto" w:fill="FFFFFF"/>
            <w:vAlign w:val="center"/>
            <w:tcW w:type="dxa" w:w="1328"/>
          </w:tcPr>
          <w:p>
            <w:pPr>
              <w:pStyle w:val="Compact"/>
              <w:jc w:val="center"/>
            </w:pPr>
            <w:r>
              <w:rPr>
                <w:rFonts w:ascii="Times New Roman" w:hAnsi="Times New Roman" w:cs="Times New Roman" w:eastAsia="Times New Roman"/>
                <w:sz w:val="20"/>
              </w:rPr>
              <w:t xml:space="preserve">0.2757</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0.2502</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0.3616</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0.3638</w:t>
            </w:r>
          </w:p>
        </w:tc>
      </w:tr>
      <w:tr>
        <w:tc>
          <w:tcPr>
            <w:shd w:val="clear" w:color="auto" w:fill="E7E6E6"/>
            <w:vAlign w:val="center"/>
            <w:tcW w:type="dxa" w:w="1461"/>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0.3262</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0.3177</w:t>
            </w:r>
          </w:p>
        </w:tc>
        <w:tc>
          <w:tcPr>
            <w:shd w:val="clear" w:color="auto" w:fill="E7E6E6"/>
            <w:vAlign w:val="center"/>
            <w:tcW w:type="dxa" w:w="1201"/>
          </w:tcPr>
          <w:p>
            <w:pPr>
              <w:pStyle w:val="Compact"/>
              <w:jc w:val="center"/>
            </w:pPr>
            <w:r>
              <w:rPr>
                <w:rFonts w:ascii="Times New Roman" w:hAnsi="Times New Roman" w:cs="Times New Roman" w:eastAsia="Times New Roman"/>
                <w:sz w:val="20"/>
              </w:rPr>
              <w:t xml:space="preserve">0.3029</w:t>
            </w:r>
          </w:p>
        </w:tc>
        <w:tc>
          <w:tcPr>
            <w:shd w:val="clear" w:color="auto" w:fill="E7E6E6"/>
            <w:vAlign w:val="center"/>
            <w:tcW w:type="dxa" w:w="1328"/>
          </w:tcPr>
          <w:p>
            <w:pPr>
              <w:pStyle w:val="Compact"/>
              <w:jc w:val="center"/>
            </w:pPr>
            <w:r>
              <w:rPr>
                <w:rFonts w:ascii="Times New Roman" w:hAnsi="Times New Roman" w:cs="Times New Roman" w:eastAsia="Times New Roman"/>
                <w:sz w:val="20"/>
              </w:rPr>
              <w:t xml:space="preserve">0.3155</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0.3051</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0.4175</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0.4065</w:t>
            </w:r>
          </w:p>
        </w:tc>
      </w:tr>
      <w:tr>
        <w:tc>
          <w:tcPr>
            <w:shd w:val="clear" w:color="auto" w:fill="FFFFFF"/>
            <w:vAlign w:val="center"/>
            <w:tcW w:type="dxa" w:w="1461"/>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0.4237</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0.4073</w:t>
            </w:r>
          </w:p>
        </w:tc>
        <w:tc>
          <w:tcPr>
            <w:shd w:val="clear" w:color="auto" w:fill="FFFFFF"/>
            <w:vAlign w:val="center"/>
            <w:tcW w:type="dxa" w:w="1201"/>
          </w:tcPr>
          <w:p>
            <w:pPr>
              <w:pStyle w:val="Compact"/>
              <w:jc w:val="center"/>
            </w:pPr>
            <w:r>
              <w:rPr>
                <w:rFonts w:ascii="Times New Roman" w:hAnsi="Times New Roman" w:cs="Times New Roman" w:eastAsia="Times New Roman"/>
                <w:sz w:val="20"/>
              </w:rPr>
              <w:t xml:space="preserve">0.3936</w:t>
            </w:r>
          </w:p>
        </w:tc>
        <w:tc>
          <w:tcPr>
            <w:shd w:val="clear" w:color="auto" w:fill="FFFFFF"/>
            <w:vAlign w:val="center"/>
            <w:tcW w:type="dxa" w:w="1328"/>
          </w:tcPr>
          <w:p>
            <w:pPr>
              <w:pStyle w:val="Compact"/>
              <w:jc w:val="center"/>
            </w:pPr>
            <w:r>
              <w:rPr>
                <w:rFonts w:ascii="Times New Roman" w:hAnsi="Times New Roman" w:cs="Times New Roman" w:eastAsia="Times New Roman"/>
                <w:sz w:val="20"/>
              </w:rPr>
              <w:t xml:space="preserve">0.4010</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0.4064</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0.5134</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0.4950</w:t>
            </w:r>
          </w:p>
        </w:tc>
      </w:tr>
      <w:tr>
        <w:tc>
          <w:tcPr>
            <w:shd w:val="clear" w:color="auto" w:fill="E7E6E6"/>
            <w:vAlign w:val="center"/>
            <w:tcW w:type="dxa" w:w="1461"/>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0.5074</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0.4866</w:t>
            </w:r>
          </w:p>
        </w:tc>
        <w:tc>
          <w:tcPr>
            <w:shd w:val="clear" w:color="auto" w:fill="E7E6E6"/>
            <w:vAlign w:val="center"/>
            <w:tcW w:type="dxa" w:w="1201"/>
          </w:tcPr>
          <w:p>
            <w:pPr>
              <w:pStyle w:val="Compact"/>
              <w:jc w:val="center"/>
            </w:pPr>
            <w:r>
              <w:rPr>
                <w:rFonts w:ascii="Times New Roman" w:hAnsi="Times New Roman" w:cs="Times New Roman" w:eastAsia="Times New Roman"/>
                <w:sz w:val="20"/>
              </w:rPr>
              <w:t xml:space="preserve">0.4763</w:t>
            </w:r>
          </w:p>
        </w:tc>
        <w:tc>
          <w:tcPr>
            <w:shd w:val="clear" w:color="auto" w:fill="E7E6E6"/>
            <w:vAlign w:val="center"/>
            <w:tcW w:type="dxa" w:w="1328"/>
          </w:tcPr>
          <w:p>
            <w:pPr>
              <w:pStyle w:val="Compact"/>
              <w:jc w:val="center"/>
            </w:pPr>
            <w:r>
              <w:rPr>
                <w:rFonts w:ascii="Times New Roman" w:hAnsi="Times New Roman" w:cs="Times New Roman" w:eastAsia="Times New Roman"/>
                <w:sz w:val="20"/>
              </w:rPr>
              <w:t xml:space="preserve">0.4807</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0.4986</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0.6146</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0.5924</w:t>
            </w:r>
          </w:p>
        </w:tc>
      </w:tr>
      <w:tr>
        <w:tc>
          <w:tcPr>
            <w:shd w:val="clear" w:color="auto" w:fill="FFFFFF"/>
            <w:vAlign w:val="center"/>
            <w:tcW w:type="dxa" w:w="1461"/>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0.5719</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0.5480</w:t>
            </w:r>
          </w:p>
        </w:tc>
        <w:tc>
          <w:tcPr>
            <w:shd w:val="clear" w:color="auto" w:fill="FFFFFF"/>
            <w:vAlign w:val="center"/>
            <w:tcW w:type="dxa" w:w="1201"/>
          </w:tcPr>
          <w:p>
            <w:pPr>
              <w:pStyle w:val="Compact"/>
              <w:jc w:val="center"/>
            </w:pPr>
            <w:r>
              <w:rPr>
                <w:rFonts w:ascii="Times New Roman" w:hAnsi="Times New Roman" w:cs="Times New Roman" w:eastAsia="Times New Roman"/>
                <w:sz w:val="20"/>
              </w:rPr>
              <w:t xml:space="preserve">0.5415</w:t>
            </w:r>
          </w:p>
        </w:tc>
        <w:tc>
          <w:tcPr>
            <w:shd w:val="clear" w:color="auto" w:fill="FFFFFF"/>
            <w:vAlign w:val="center"/>
            <w:tcW w:type="dxa" w:w="1328"/>
          </w:tcPr>
          <w:p>
            <w:pPr>
              <w:pStyle w:val="Compact"/>
              <w:jc w:val="center"/>
            </w:pPr>
            <w:r>
              <w:rPr>
                <w:rFonts w:ascii="Times New Roman" w:hAnsi="Times New Roman" w:cs="Times New Roman" w:eastAsia="Times New Roman"/>
                <w:sz w:val="20"/>
              </w:rPr>
              <w:t xml:space="preserve">0.5442</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0.5696</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0.6805</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0.6578</w:t>
            </w:r>
          </w:p>
        </w:tc>
      </w:tr>
      <w:tr>
        <w:tc>
          <w:tcPr>
            <w:shd w:val="clear" w:color="auto" w:fill="E7E6E6"/>
            <w:vAlign w:val="center"/>
            <w:tcW w:type="dxa" w:w="1461"/>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0.6758</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0.6519</w:t>
            </w:r>
          </w:p>
        </w:tc>
        <w:tc>
          <w:tcPr>
            <w:shd w:val="clear" w:color="auto" w:fill="E7E6E6"/>
            <w:vAlign w:val="center"/>
            <w:tcW w:type="dxa" w:w="1201"/>
          </w:tcPr>
          <w:p>
            <w:pPr>
              <w:pStyle w:val="Compact"/>
              <w:jc w:val="center"/>
            </w:pPr>
            <w:r>
              <w:rPr>
                <w:rFonts w:ascii="Times New Roman" w:hAnsi="Times New Roman" w:cs="Times New Roman" w:eastAsia="Times New Roman"/>
                <w:sz w:val="20"/>
              </w:rPr>
              <w:t xml:space="preserve">0.6486</w:t>
            </w:r>
          </w:p>
        </w:tc>
        <w:tc>
          <w:tcPr>
            <w:shd w:val="clear" w:color="auto" w:fill="E7E6E6"/>
            <w:vAlign w:val="center"/>
            <w:tcW w:type="dxa" w:w="1328"/>
          </w:tcPr>
          <w:p>
            <w:pPr>
              <w:pStyle w:val="Compact"/>
              <w:jc w:val="center"/>
            </w:pPr>
            <w:r>
              <w:rPr>
                <w:rFonts w:ascii="Times New Roman" w:hAnsi="Times New Roman" w:cs="Times New Roman" w:eastAsia="Times New Roman"/>
                <w:sz w:val="20"/>
              </w:rPr>
              <w:t xml:space="preserve">0.6503</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0.6753</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0.7556</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0.7338</w:t>
            </w:r>
          </w:p>
        </w:tc>
      </w:tr>
      <w:tr>
        <w:tc>
          <w:tcPr>
            <w:shd w:val="clear" w:color="auto" w:fill="FFFFFF"/>
            <w:vAlign w:val="center"/>
            <w:tcW w:type="dxa" w:w="1461"/>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0.7591</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0.7385</w:t>
            </w:r>
          </w:p>
        </w:tc>
        <w:tc>
          <w:tcPr>
            <w:shd w:val="clear" w:color="auto" w:fill="FFFFFF"/>
            <w:vAlign w:val="center"/>
            <w:tcW w:type="dxa" w:w="1201"/>
          </w:tcPr>
          <w:p>
            <w:pPr>
              <w:pStyle w:val="Compact"/>
              <w:jc w:val="center"/>
            </w:pPr>
            <w:r>
              <w:rPr>
                <w:rFonts w:ascii="Times New Roman" w:hAnsi="Times New Roman" w:cs="Times New Roman" w:eastAsia="Times New Roman"/>
                <w:sz w:val="20"/>
              </w:rPr>
              <w:t xml:space="preserve">0.7355</w:t>
            </w:r>
          </w:p>
        </w:tc>
        <w:tc>
          <w:tcPr>
            <w:shd w:val="clear" w:color="auto" w:fill="FFFFFF"/>
            <w:vAlign w:val="center"/>
            <w:tcW w:type="dxa" w:w="1328"/>
          </w:tcPr>
          <w:p>
            <w:pPr>
              <w:pStyle w:val="Compact"/>
              <w:jc w:val="center"/>
            </w:pPr>
            <w:r>
              <w:rPr>
                <w:rFonts w:ascii="Times New Roman" w:hAnsi="Times New Roman" w:cs="Times New Roman" w:eastAsia="Times New Roman"/>
                <w:sz w:val="20"/>
              </w:rPr>
              <w:t xml:space="preserve">0.7358</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0.7598</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0.8500</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0.8343</w:t>
            </w:r>
          </w:p>
        </w:tc>
      </w:tr>
      <w:tr>
        <w:tc>
          <w:tcPr>
            <w:shd w:val="clear" w:color="auto" w:fill="E7E6E6"/>
            <w:vAlign w:val="center"/>
            <w:tcW w:type="dxa" w:w="1461"/>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0.7955</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0.7789</w:t>
            </w:r>
          </w:p>
        </w:tc>
        <w:tc>
          <w:tcPr>
            <w:shd w:val="clear" w:color="auto" w:fill="E7E6E6"/>
            <w:vAlign w:val="center"/>
            <w:tcW w:type="dxa" w:w="1201"/>
          </w:tcPr>
          <w:p>
            <w:pPr>
              <w:pStyle w:val="Compact"/>
              <w:jc w:val="center"/>
            </w:pPr>
            <w:r>
              <w:rPr>
                <w:rFonts w:ascii="Times New Roman" w:hAnsi="Times New Roman" w:cs="Times New Roman" w:eastAsia="Times New Roman"/>
                <w:sz w:val="20"/>
              </w:rPr>
              <w:t xml:space="preserve">0.7769</w:t>
            </w:r>
          </w:p>
        </w:tc>
        <w:tc>
          <w:tcPr>
            <w:shd w:val="clear" w:color="auto" w:fill="E7E6E6"/>
            <w:vAlign w:val="center"/>
            <w:tcW w:type="dxa" w:w="1328"/>
          </w:tcPr>
          <w:p>
            <w:pPr>
              <w:pStyle w:val="Compact"/>
              <w:jc w:val="center"/>
            </w:pPr>
            <w:r>
              <w:rPr>
                <w:rFonts w:ascii="Times New Roman" w:hAnsi="Times New Roman" w:cs="Times New Roman" w:eastAsia="Times New Roman"/>
                <w:sz w:val="20"/>
              </w:rPr>
              <w:t xml:space="preserve">0.7731</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0.7972</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0.9010</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0.8901</w:t>
            </w:r>
          </w:p>
        </w:tc>
      </w:tr>
      <w:tr>
        <w:tc>
          <w:tcPr>
            <w:shd w:val="clear" w:color="auto" w:fill="FFFFFF"/>
            <w:vAlign w:val="center"/>
            <w:tcW w:type="dxa" w:w="1461"/>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0.8414</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0.8270</w:t>
            </w:r>
          </w:p>
        </w:tc>
        <w:tc>
          <w:tcPr>
            <w:shd w:val="clear" w:color="auto" w:fill="FFFFFF"/>
            <w:vAlign w:val="center"/>
            <w:tcW w:type="dxa" w:w="1201"/>
          </w:tcPr>
          <w:p>
            <w:pPr>
              <w:pStyle w:val="Compact"/>
              <w:jc w:val="center"/>
            </w:pPr>
            <w:r>
              <w:rPr>
                <w:rFonts w:ascii="Times New Roman" w:hAnsi="Times New Roman" w:cs="Times New Roman" w:eastAsia="Times New Roman"/>
                <w:sz w:val="20"/>
              </w:rPr>
              <w:t xml:space="preserve">0.8255</w:t>
            </w:r>
          </w:p>
        </w:tc>
        <w:tc>
          <w:tcPr>
            <w:shd w:val="clear" w:color="auto" w:fill="FFFFFF"/>
            <w:vAlign w:val="center"/>
            <w:tcW w:type="dxa" w:w="1328"/>
          </w:tcPr>
          <w:p>
            <w:pPr>
              <w:pStyle w:val="Compact"/>
              <w:jc w:val="center"/>
            </w:pPr>
            <w:r>
              <w:rPr>
                <w:rFonts w:ascii="Times New Roman" w:hAnsi="Times New Roman" w:cs="Times New Roman" w:eastAsia="Times New Roman"/>
                <w:sz w:val="20"/>
              </w:rPr>
              <w:t xml:space="preserve">0.8215</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0.8432</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0.9311</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0.9231</w:t>
            </w:r>
          </w:p>
        </w:tc>
      </w:tr>
      <w:tr>
        <w:tc>
          <w:tcPr>
            <w:shd w:val="clear" w:color="auto" w:fill="E7E6E6"/>
            <w:vAlign w:val="center"/>
            <w:tcW w:type="dxa" w:w="1461"/>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0.4832</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W w:type="dxa" w:w="1201"/>
          </w:tcPr>
          <w:p>
            <w:pPr>
              <w:pStyle w:val="Compact"/>
              <w:jc w:val="center"/>
            </w:pPr>
            <w:r>
              <w:rPr>
                <w:rFonts w:ascii="Times New Roman" w:hAnsi="Times New Roman" w:cs="Times New Roman" w:eastAsia="Times New Roman"/>
                <w:sz w:val="20"/>
              </w:rPr>
              <w:t xml:space="preserve">0.4594</w:t>
            </w:r>
          </w:p>
        </w:tc>
        <w:tc>
          <w:tcPr>
            <w:shd w:val="clear" w:color="auto" w:fill="E7E6E6"/>
            <w:vAlign w:val="center"/>
            <w:tcW w:type="dxa" w:w="1328"/>
          </w:tcPr>
          <w:p>
            <w:pPr>
              <w:pStyle w:val="Compact"/>
              <w:jc w:val="center"/>
            </w:pPr>
            <w:r>
              <w:rPr>
                <w:rFonts w:ascii="Times New Roman" w:hAnsi="Times New Roman" w:cs="Times New Roman" w:eastAsia="Times New Roman"/>
                <w:sz w:val="20"/>
              </w:rPr>
              <w:t xml:space="preserve">0.4688</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0.4703</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0.5739</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0.5640</w:t>
            </w:r>
          </w:p>
        </w:tc>
      </w:tr>
    </w:tbl>
    <w:p>
      <w:pPr>
        <w:pStyle w:val="BodyText"/>
        <w:jc w:val="both"/>
      </w:pPr>
      <w:r>
        <w:rPr>
          <w:rFonts w:ascii="Times New Roman" w:hAnsi="Times New Roman" w:cs="Times New Roman" w:eastAsia="Times New Roman"/>
        </w:rPr>
        <w:t xml:space="preserve">At the rarest bin (MAF 0.05-0.1%), Beagle 5.5 narrowly outperforms Selphi 2 on both chromosomes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-0.002 to -0.003), the only frequency at which any tool exceeds Selphi 2; IMPUTE5 and Minimac4 trail Selphi 2 in every bin, including the rarest. At MAF ≥ 0.1% Selphi 2 leads by margins that grow with allele frequency (chr22 20-50% MAF: +0.0144 over Beagle 5.5, +0.0199 over Minimac4, +0.0159 over IMPUTE5). The crossover at the rarest bin reflects the differing trade-offs in candidate selection: at the rarest frequencies, Beagle 5.5's window-local composite-haplotype reconstruction better preserves single-carrier reference haplotypes, while at common frequencies the long-range, large-window PBWT scan of Selphi 2 retains more informative haplotypes per target.</w:t>
      </w:r>
    </w:p>
    <w:p>
      <w:pPr>
        <w:pStyle w:val="Heading2"/>
        <w:jc w:val="both"/>
      </w:pPr>
      <w:r>
        <w:rPr>
          <w:rFonts w:ascii="Times New Roman" w:hAnsi="Times New Roman" w:cs="Times New Roman" w:eastAsia="Times New Roman"/>
          <w:b/>
          <w:bCs/>
        </w:rPr>
        <w:t xml:space="preserve">Imputation accuracy on a biobank-scale admixed cohort</w:t>
      </w:r>
    </w:p>
    <w:p>
      <w:pPr>
        <w:pStyle w:val="FirstParagraph"/>
        <w:jc w:val="both"/>
      </w:pPr>
      <w:r>
        <w:rPr>
          <w:rFonts w:ascii="Times New Roman" w:hAnsi="Times New Roman" w:cs="Times New Roman" w:eastAsia="Times New Roman"/>
        </w:rPr>
        <w:t xml:space="preserve">A fixed per-target candidate-set size retains a panel-relative fraction that shrinks sharply as the panel grows, so a size adequate for a small panel retains only a small fraction of a biobank-scale panel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retains 1.5% of the 171,054-haplotype TOPMed panel), systematically excluding haplotypes that carry rare alleles in minority sub-populations. We tested this hypothesis on the MESA cohort</w:t>
      </w:r>
      <w:hyperlink w:anchor="ref27">
        <w:r>
          <w:rPr>
            <w:rFonts w:ascii="Times New Roman" w:hAnsi="Times New Roman" w:cs="Times New Roman" w:eastAsia="Times New Roman"/>
            <w:color w:val="0563C1"/>
            <w:vertAlign w:val="superscript"/>
          </w:rPr>
          <w:t xml:space="preserve">27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(5,000 multi-ethnic samples, chip-array genotyped) imputed against the TOPMed Freeze 8 panel (chr20, 17.9 million variants). The cohort is admixed (African, Hispanic, Asian, and European sub-populations) and is fully held out from TOPMed.</w:t>
      </w:r>
    </w:p>
    <w:p>
      <w:pPr>
        <w:pStyle w:val="BodyText"/>
        <w:jc w:val="both"/>
      </w:pPr>
      <w:r>
        <w:rPr>
          <w:rFonts w:ascii="Times New Roman" w:hAnsi="Times New Roman" w:cs="Times New Roman" w:eastAsia="Times New Roman"/>
        </w:rPr>
        <w:t xml:space="preserve">Selphi 2's panel-adaptive sizing formula (Methods, Candidate selection and HMM) yields</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for the TOPMed panel (panel-tile-compression diversity CV = 0.845, scaled fraction 0.776). At this candidate-set size, Selphi 2's default diploid engine attains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0.6148 on the MESA cohort, compared to 0.5921 for Beagle 5.5 on the same full-panel set of 17.9 million variants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+0.0227).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0.8978 (Selphi 2) versus 0.8764 (Beagle 5.5),</w:t>
      </w:r>
      <w:r>
        <w:rPr>
          <w:rFonts w:ascii="Times New Roman" w:hAnsi="Times New Roman" w:cs="Times New Roman" w:eastAsia="Times New Roman"/>
        </w:rPr>
        <w:t xml:space="preserve">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+0.0214; broken down by self-reported ancestry, Selphi 2 leads Beagle 5.5 in all four MESA groups (+0.019 to +0.032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largest on the East-Asian group; Figure 2b). Increasing the candidate set further to</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150,000 yields only a marginal additional gain, confirming the diminishing-returns regime captured by the formula (the full candidate-set-size sweep is in Supplementary Table S2). Run at their default settings on the identical 17.9-million-variant, 5,000-sample set, IMPUTE5 and Minimac4 attain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0.4967 and 0.4795 respectively, well below both Beagle 5.5 (0.5921) and Selphi 2 (0.6148): IMPUTE5's fixed</w:t>
      </w:r>
      <w:r>
        <w:rPr>
          <w:rFonts w:ascii="Times New Roman" w:hAnsi="Times New Roman" w:cs="Times New Roman" w:eastAsia="Times New Roman"/>
        </w:rPr>
        <w:t xml:space="preserve"> </w:t>
      </w:r>
      <m:oMath>
        <m:r>
          <m:t>L</m:t>
        </m:r>
      </m:oMath>
      <w:r>
        <w:rPr>
          <w:rFonts w:ascii="Times New Roman" w:hAnsi="Times New Roman" w:cs="Times New Roman" w:eastAsia="Times New Roman"/>
        </w:rPr>
        <w:t xml:space="preserve"> </w:t>
      </w:r>
      <w:r>
        <w:rPr>
          <w:rFonts w:ascii="Times New Roman" w:hAnsi="Times New Roman" w:cs="Times New Roman" w:eastAsia="Times New Roman"/>
        </w:rPr>
        <w:t xml:space="preserve">= 4 conditioning states and Minimac4's block-based state reduction retain too few of the rare-allele carriers present in a 171,054-haplotype panel, the same truncation the candidate-sizing ablation isolates, and Selphi 2 leads both at every MAF bin (Supplementary Table S11).</w:t>
      </w:r>
    </w:p>
    <w:p>
      <w:pPr>
        <w:pStyle w:val="BodyText"/>
        <w:jc w:val="both"/>
      </w:pPr>
      <w:r>
        <w:rPr>
          <w:rFonts w:ascii="Times New Roman" w:hAnsi="Times New Roman" w:cs="Times New Roman" w:eastAsia="Times New Roman"/>
        </w:rPr>
        <w:t xml:space="preserve">To isolate the contribution of the new sizing rule, we ran Selphi 2 on the same admixed cohort with</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fixed at 2,500 (a representative fixed candidate-set size). On a 500-sample MESA subset (chr20, TOPMed panel),</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yielded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0.5771 while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(auto) yielded</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0.6422, a gain of +0.0651 attributable entirely to the candidate-set size (Table 2).</w:t>
      </w:r>
    </w:p>
    <w:p>
      <w:pPr>
        <w:pStyle w:val="BodyText"/>
        <w:jc w:val="both"/>
      </w:pPr>
      <w:r>
        <w:rPr>
          <w:rFonts w:ascii="Times New Roman" w:hAnsi="Times New Roman" w:cs="Times New Roman" w:eastAsia="Times New Roman"/>
          <w:b/>
          <w:bCs/>
        </w:rPr>
        <w:t xml:space="preserve">Table 2. Effect of candidate-set size on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MESA admixed cohort</w:t>
      </w:r>
      <w:r>
        <w:rPr>
          <w:rFonts w:ascii="Times New Roman" w:hAnsi="Times New Roman" w:cs="Times New Roman" w:eastAsia="Times New Roman"/>
          <w:b/>
          <w:bCs/>
        </w:rPr>
        <w:t xml:space="preserve"> </w:t>
      </w:r>
      <m:oMath>
        <m:r>
          <m:rPr>
            <m:sty m:val="p"/>
          </m:rPr>
          <m:t>×</m:t>
        </m:r>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TOPMed panel.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 two candidate-set sizes on a 500-sample subset of MESA, chr20, at representative MAF bins spanning the frequency range (the full nine-bin breakdown, stratified by ancestry, is in Table 2b).</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is a representative fixed candidate-set size;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is the value chosen by the panel-adaptive formula (Methods).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87"/>
        <w:gridCol w:w="2093"/>
        <w:gridCol w:w="2340"/>
        <w:gridCol w:w="2340"/>
      </w:tblGrid>
      <w:tr>
        <w:trPr>
          <w:tblHeader w:val="on"/>
        </w:trPr>
        <w:tc>
          <w:tcPr>
            <w:shd w:val="clear" w:color="auto" w:fill="595959"/>
            <w:vAlign w:val="center"/>
            <w:tcW w:type="dxa" w:w="2587"/>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2093"/>
          </w:tcPr>
          <w:p>
            <w:pPr>
              <w:pStyle w:val="Compact"/>
              <w:jc w:val="center"/>
            </w:pPr>
            <m:oMath>
              <m:sSub>
                <m:e>
                  <m:r>
                    <m:t>m</m:t>
                  </m:r>
                </m:e>
                <m:sub>
                  <m:r>
                    <m:t>c</m:t>
                  </m:r>
                </m:sub>
              </m:sSub>
            </m:oMath>
            <w:r>
              <w:rPr>
                <w:rFonts w:ascii="Times New Roman" w:hAnsi="Times New Roman" w:cs="Times New Roman" w:eastAsia="Times New Roman"/>
                <w:b/>
                <w:color w:val="FFFFFF"/>
                <w:sz w:val="20"/>
              </w:rPr>
              <w:t xml:space="preserve"> </w:t>
            </w:r>
            <w:r>
              <w:rPr>
                <w:rFonts w:ascii="Times New Roman" w:hAnsi="Times New Roman" w:cs="Times New Roman" w:eastAsia="Times New Roman"/>
                <w:b/>
                <w:color w:val="FFFFFF"/>
                <w:sz w:val="20"/>
              </w:rPr>
              <w:t xml:space="preserve">= 2,500</w:t>
            </w:r>
          </w:p>
        </w:tc>
        <w:tc>
          <w:tcPr>
            <w:shd w:val="clear" w:color="auto" w:fill="595959"/>
            <w:vAlign w:val="center"/>
            <w:tcW w:type="dxa" w:w="2340"/>
          </w:tcPr>
          <w:p>
            <w:pPr>
              <w:pStyle w:val="Compact"/>
              <w:jc w:val="center"/>
            </w:pPr>
            <m:oMath>
              <m:sSub>
                <m:e>
                  <m:r>
                    <m:t>m</m:t>
                  </m:r>
                </m:e>
                <m:sub>
                  <m:r>
                    <m:t>c</m:t>
                  </m:r>
                </m:sub>
              </m:sSub>
            </m:oMath>
            <w:r>
              <w:rPr>
                <w:rFonts w:ascii="Times New Roman" w:hAnsi="Times New Roman" w:cs="Times New Roman" w:eastAsia="Times New Roman"/>
                <w:b/>
                <w:color w:val="FFFFFF"/>
                <w:sz w:val="20"/>
              </w:rPr>
              <w:t xml:space="preserve"> </w:t>
            </w:r>
            <w:r>
              <w:rPr>
                <w:rFonts w:ascii="Times New Roman" w:hAnsi="Times New Roman" w:cs="Times New Roman" w:eastAsia="Times New Roman"/>
                <w:b/>
                <w:color w:val="FFFFFF"/>
                <w:sz w:val="20"/>
              </w:rPr>
              <w:t xml:space="preserve">= 132,676 (auto)</w:t>
            </w:r>
          </w:p>
        </w:tc>
        <w:tc>
          <w:tcPr>
            <w:shd w:val="clear" w:color="auto" w:fill="595959"/>
            <w:vAlign w:val="center"/>
            <w:tcW w:type="dxa" w:w="2340"/>
          </w:tcPr>
          <w:p>
            <w:pPr>
              <w:pStyle w:val="Compact"/>
              <w:jc w:val="center"/>
            </w:pPr>
            <m:oMath>
              <m:r>
                <m:rPr>
                  <m:sty m:val="p"/>
                </m:rPr>
                <m:t>Δ</m:t>
              </m:r>
            </m:oMath>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0.1-0.2%</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0.5066</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0.6150</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+0.1084</w:t>
            </w:r>
          </w:p>
        </w:tc>
      </w:tr>
      <w:tr>
        <w:tc>
          <w:tcPr>
            <w:shd w:val="clear" w:color="auto" w:fill="E7E6E6"/>
            <w:vAlign w:val="center"/>
            <w:tcW w:type="dxa" w:w="2587"/>
          </w:tcPr>
          <w:p>
            <w:pPr>
              <w:pStyle w:val="Compact"/>
              <w:jc w:val="center"/>
            </w:pPr>
            <w:r>
              <w:rPr>
                <w:rFonts w:ascii="Times New Roman" w:hAnsi="Times New Roman" w:cs="Times New Roman" w:eastAsia="Times New Roman"/>
                <w:sz w:val="20"/>
              </w:rPr>
              <w:t xml:space="preserve">0.2-0.5%</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0.5373</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0.6101</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+0.0728</w:t>
            </w:r>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0.5-1%</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0.5961</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0.6504</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+0.0543</w:t>
            </w:r>
          </w:p>
        </w:tc>
      </w:tr>
      <w:tr>
        <w:tc>
          <w:tcPr>
            <w:shd w:val="clear" w:color="auto" w:fill="E7E6E6"/>
            <w:vAlign w:val="center"/>
            <w:tcW w:type="dxa" w:w="2587"/>
          </w:tcPr>
          <w:p>
            <w:pPr>
              <w:pStyle w:val="Compact"/>
              <w:jc w:val="center"/>
            </w:pPr>
            <w:r>
              <w:rPr>
                <w:rFonts w:ascii="Times New Roman" w:hAnsi="Times New Roman" w:cs="Times New Roman" w:eastAsia="Times New Roman"/>
                <w:sz w:val="20"/>
              </w:rPr>
              <w:t xml:space="preserve">1-2%</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0.6277</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0.6677</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+0.0400</w:t>
            </w:r>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0.6471</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0.6650</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+0.0179</w:t>
            </w:r>
          </w:p>
        </w:tc>
      </w:tr>
      <w:tr>
        <w:tc>
          <w:tcPr>
            <w:shd w:val="clear" w:color="auto" w:fill="E7E6E6"/>
            <w:vAlign w:val="center"/>
            <w:tcW w:type="dxa" w:w="2587"/>
          </w:tcPr>
          <w:p>
            <w:pPr>
              <w:pStyle w:val="Compact"/>
              <w:jc w:val="center"/>
            </w:pPr>
            <w:r>
              <w:rPr>
                <w:rFonts w:ascii="Times New Roman" w:hAnsi="Times New Roman" w:cs="Times New Roman" w:eastAsia="Times New Roman"/>
                <w:sz w:val="20"/>
              </w:rPr>
              <w:t xml:space="preserve">20-50%</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0.6688</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0.6769</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+0.0081</w:t>
            </w:r>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0.5771</w:t>
            </w:r>
          </w:p>
        </w:tc>
        <w:tc>
          <w:tcPr>
            <w:shd w:val="clear" w:color="auto" w:fill="FFFFFF"/>
            <w:vAlign w:val="center"/>
            <w:tcW w:type="dxa" w:w="2340"/>
          </w:tcPr>
          <w:p>
            <w:pPr>
              <w:pStyle w:val="Compact"/>
              <w:jc w:val="center"/>
            </w:pPr>
            <w:r>
              <w:rPr>
                <w:rFonts w:ascii="Times New Roman" w:hAnsi="Times New Roman" w:cs="Times New Roman" w:eastAsia="Times New Roman"/>
                <w:b/>
                <w:bCs/>
                <w:sz w:val="20"/>
              </w:rPr>
              <w:t xml:space="preserve">0.6422</w:t>
            </w:r>
          </w:p>
        </w:tc>
        <w:tc>
          <w:tcPr>
            <w:shd w:val="clear" w:color="auto" w:fill="FFFFFF"/>
            <w:vAlign w:val="center"/>
            <w:tcW w:type="dxa" w:w="2340"/>
          </w:tcPr>
          <w:p>
            <w:pPr>
              <w:pStyle w:val="Compact"/>
              <w:jc w:val="center"/>
            </w:pPr>
            <w:r>
              <w:rPr>
                <w:rFonts w:ascii="Times New Roman" w:hAnsi="Times New Roman" w:cs="Times New Roman" w:eastAsia="Times New Roman"/>
                <w:b/>
                <w:bCs/>
                <w:sz w:val="20"/>
              </w:rPr>
              <w:t xml:space="preserve">+0.0651</w:t>
            </w:r>
          </w:p>
        </w:tc>
      </w:tr>
    </w:tbl>
    <w:p>
      <w:pPr>
        <w:pStyle w:val="BodyText"/>
        <w:jc w:val="both"/>
      </w:pPr>
      <w:r>
        <w:rPr>
          <w:rFonts w:ascii="Times New Roman" w:hAnsi="Times New Roman" w:cs="Times New Roman" w:eastAsia="Times New Roman"/>
        </w:rPr>
        <w:t xml:space="preserve">The gain is monotonically larger at rarer MAF bins, confirming that the fixed candidate-set size was preferentially truncating rare-variant carriers. The panel-adaptive formula recovers this accuracy without manual tuning.</w:t>
      </w:r>
    </w:p>
    <w:p>
      <w:pPr>
        <w:pStyle w:val="BodyText"/>
        <w:jc w:val="both"/>
      </w:pPr>
      <w:r>
        <w:rPr>
          <w:rFonts w:ascii="Times New Roman" w:hAnsi="Times New Roman" w:cs="Times New Roman" w:eastAsia="Times New Roman"/>
        </w:rPr>
        <w:t xml:space="preserve">To test whether this candidate-set truncation falls preferentially on minority ancestries, as the proposed mechanism predicts, we re-imputed the full 5,000-sample cohort twice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versus panel-adaptive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identical in every other respect) and stratified the recovered accuracy (adaptive minus fixed) by self-reported ancestry and minor-allele frequency (3,948 of 5,000 samples carry an ancestry label; per-variant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binned by within-group MAF). The recovery is concentrated at rare variants and is largest for the most admixed or diverged populations (Table 2b): at the rarest bin (MAF 0.05-0.1%) the panel-adaptive sizing recovers +0.172</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 Hispanic and +0.139 for African-American samples, versus +0.119 for European-ancestry (White) samples, and the gap widens across the low-frequency range (at 0.2-0.5% MAF, +0.127 and +0.089 versus +0.059). Aggregated over all variants the recovery is +0.113 (Hispanic), +0.087 (African-American), and +0.054 (White); the comparatively homogeneous East-Asian (Chinese-American) group, already well served by a small candidate set, gains essentially nothing (overall +0.001, and marginally negative at common variants where the larger candidate set slightly over-conditions this homogeneous group; Table 2b). The monotonic decay from rare to common variants, and the ordering by population admixture and divergence, are the signature of the proposed mechanism: a fixed candidate cap, dominated by the panel's majority-ancestry haplotypes, preferentially excludes the rare-allele-carrying haplotypes of admixed and diverged populations, and the panel-adaptive sizing recovers them.</w:t>
      </w:r>
    </w:p>
    <w:p>
      <w:pPr>
        <w:pStyle w:val="BodyText"/>
        <w:jc w:val="both"/>
      </w:pPr>
      <w:r>
        <w:rPr>
          <w:rFonts w:ascii="Times New Roman" w:hAnsi="Times New Roman" w:cs="Times New Roman" w:eastAsia="Times New Roman"/>
          <w:b/>
          <w:bCs/>
        </w:rPr>
        <w:t xml:space="preserve">Table 2b. Rare-variant accuracy recovered by panel-adaptive candidate sizing, stratified by ancestry.</w:t>
      </w:r>
      <w:r>
        <w:rPr>
          <w:rFonts w:ascii="Times New Roman" w:hAnsi="Times New Roman" w:cs="Times New Roman" w:eastAsia="Times New Roman"/>
        </w:rPr>
        <w:t xml:space="preserve"> </w:t>
      </w:r>
      <w:r>
        <w:rPr>
          <w:rFonts w:ascii="Times New Roman" w:hAnsi="Times New Roman" w:cs="Times New Roman" w:eastAsia="Times New Roman"/>
        </w:rPr>
        <w:t xml:space="preserve">Per-variant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gain (panel-adaptive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minus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on the full 5,000-sample MESA cohort imputed against the TOPMed panel (chr20), binned by within-group minor-allele frequency. Both runs are identical except for the candidate-set size. n = labelled samples per group.</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572"/>
        <w:gridCol w:w="2529"/>
        <w:gridCol w:w="1433"/>
        <w:gridCol w:w="1297"/>
        <w:gridCol w:w="2529"/>
      </w:tblGrid>
      <w:tr>
        <w:trPr>
          <w:tblHeader w:val="on"/>
        </w:trPr>
        <w:tc>
          <w:tcPr>
            <w:shd w:val="clear" w:color="auto" w:fill="595959"/>
            <w:vAlign w:val="center"/>
            <w:tcW w:type="dxa" w:w="1572"/>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2529"/>
          </w:tcPr>
          <w:p>
            <w:pPr>
              <w:pStyle w:val="Compact"/>
              <w:jc w:val="center"/>
            </w:pPr>
            <w:r>
              <w:rPr>
                <w:rFonts w:ascii="Times New Roman" w:hAnsi="Times New Roman" w:cs="Times New Roman" w:eastAsia="Times New Roman"/>
                <w:b/>
                <w:color w:val="FFFFFF"/>
                <w:sz w:val="20"/>
              </w:rPr>
              <w:t xml:space="preserve">African-American (924)</w:t>
            </w:r>
          </w:p>
        </w:tc>
        <w:tc>
          <w:tcPr>
            <w:shd w:val="clear" w:color="auto" w:fill="595959"/>
            <w:vAlign w:val="center"/>
            <w:tcW w:type="dxa" w:w="1433"/>
          </w:tcPr>
          <w:p>
            <w:pPr>
              <w:pStyle w:val="Compact"/>
              <w:jc w:val="center"/>
            </w:pPr>
            <w:r>
              <w:rPr>
                <w:rFonts w:ascii="Times New Roman" w:hAnsi="Times New Roman" w:cs="Times New Roman" w:eastAsia="Times New Roman"/>
                <w:b/>
                <w:color w:val="FFFFFF"/>
                <w:sz w:val="20"/>
              </w:rPr>
              <w:t xml:space="preserve">Hispanic (859)</w:t>
            </w:r>
          </w:p>
        </w:tc>
        <w:tc>
          <w:tcPr>
            <w:shd w:val="clear" w:color="auto" w:fill="595959"/>
            <w:vAlign w:val="center"/>
            <w:tcW w:type="dxa" w:w="1297"/>
          </w:tcPr>
          <w:p>
            <w:pPr>
              <w:pStyle w:val="Compact"/>
              <w:jc w:val="center"/>
            </w:pPr>
            <w:r>
              <w:rPr>
                <w:rFonts w:ascii="Times New Roman" w:hAnsi="Times New Roman" w:cs="Times New Roman" w:eastAsia="Times New Roman"/>
                <w:b/>
                <w:color w:val="FFFFFF"/>
                <w:sz w:val="20"/>
              </w:rPr>
              <w:t xml:space="preserve">White (1,631)</w:t>
            </w:r>
          </w:p>
        </w:tc>
        <w:tc>
          <w:tcPr>
            <w:shd w:val="clear" w:color="auto" w:fill="595959"/>
            <w:vAlign w:val="center"/>
            <w:tcW w:type="dxa" w:w="2529"/>
          </w:tcPr>
          <w:p>
            <w:pPr>
              <w:pStyle w:val="Compact"/>
              <w:jc w:val="center"/>
            </w:pPr>
            <w:r>
              <w:rPr>
                <w:rFonts w:ascii="Times New Roman" w:hAnsi="Times New Roman" w:cs="Times New Roman" w:eastAsia="Times New Roman"/>
                <w:b/>
                <w:color w:val="FFFFFF"/>
                <w:sz w:val="20"/>
              </w:rPr>
              <w:t xml:space="preserve">Chinese-American (534)</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+0.1391</w:t>
            </w:r>
          </w:p>
        </w:tc>
        <w:tc>
          <w:tcPr>
            <w:shd w:val="clear" w:color="auto" w:fill="FFFFFF"/>
            <w:vAlign w:val="center"/>
            <w:tcW w:type="dxa" w:w="1433"/>
          </w:tcPr>
          <w:p>
            <w:pPr>
              <w:pStyle w:val="Compact"/>
              <w:jc w:val="center"/>
            </w:pPr>
            <w:r>
              <w:rPr>
                <w:rFonts w:ascii="Times New Roman" w:hAnsi="Times New Roman" w:cs="Times New Roman" w:eastAsia="Times New Roman"/>
                <w:b/>
                <w:bCs/>
                <w:sz w:val="20"/>
              </w:rPr>
              <w:t xml:space="preserve">+0.1715</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+0.1195</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+0.0170</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+0.1211</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+0.1554</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+0.0858</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+0.0123</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+0.0885</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+0.1268</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+0.0587</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+0.0055</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+0.0642</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+0.0968</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+0.0381</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+0.0008</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+0.0528</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+0.0692</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+0.0242</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-0.0034</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+0.0436</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+0.0436</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+0.0141</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-0.0055</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+0.0343</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+0.0255</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+0.0128</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-0.0060</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+0.0266</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+0.0199</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+0.0114</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-0.0059</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+0.0173</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+0.0125</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+0.0063</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-0.0038</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+0.0874</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+0.1133</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+0.0539</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+0.0011</w:t>
            </w:r>
          </w:p>
        </w:tc>
      </w:tr>
    </w:tbl>
    <w:p>
      <w:pPr>
        <w:pStyle w:val="Heading2"/>
        <w:jc w:val="both"/>
      </w:pPr>
      <w:r>
        <w:rPr>
          <w:rFonts w:ascii="Times New Roman" w:hAnsi="Times New Roman" w:cs="Times New Roman" w:eastAsia="Times New Roman"/>
          <w:b/>
          <w:bCs/>
        </w:rPr>
        <w:t xml:space="preserve">Out-of-panel generalization to ancestries absent from the reference panel</w:t>
      </w:r>
    </w:p>
    <w:p>
      <w:pPr>
        <w:pStyle w:val="FirstParagraph"/>
        <w:jc w:val="both"/>
      </w:pPr>
      <w:r>
        <w:rPr>
          <w:rFonts w:ascii="Times New Roman" w:hAnsi="Times New Roman" w:cs="Times New Roman" w:eastAsia="Times New Roman"/>
        </w:rPr>
        <w:t xml:space="preserve">The MESA experiment holds the reference panel fixed and varies the candidate-set size. A complementary and more stringent question is whether Selphi 2's accuracy advantage holds for target ancestries that are entirely absent from the reference panel, the hardest case for any panel-based method. We built an out-of-panel benchmark from the gnomAD Human Genome Diversity Project and 1000 Genomes harmonized callset (all 22 autosomes, GRCh38, phased)</w:t>
      </w:r>
      <w:hyperlink w:anchor="ref28">
        <w:r>
          <w:rPr>
            <w:rFonts w:ascii="Times New Roman" w:hAnsi="Times New Roman" w:cs="Times New Roman" w:eastAsia="Times New Roman"/>
            <w:color w:val="0563C1"/>
            <w:vertAlign w:val="superscript"/>
          </w:rPr>
          <w:t xml:space="preserve">28</w:t>
        </w:r>
      </w:hyperlink>
      <w:r>
        <w:rPr>
          <w:rFonts w:ascii="Times New Roman" w:hAnsi="Times New Roman" w:cs="Times New Roman" w:eastAsia="Times New Roman"/>
        </w:rPr>
        <w:t xml:space="preserve">: the 3,166 1000 Genomes samples (6,332 haplotypes, spanning African, admixed-American, East-Asian, European and Central/South-Asian ancestries) served as the reference panel, and the 925 HGDP individuals as held-out targets, masked to a common-SNP array (common variants thinned to approximately one per 5 kb genome-wide) and imputed back to full sequence density, scored against their full-sequence genotypes. The HGDP cohort includes two continental groups with no representation in the 1000 Genomes panel, Oceanian (n = 30) and Middle-Eastern (n = 157), giving a strict out-of-panel test, alongside groups whose continent is represented but whose specific populations are not (for example Central/South-Asian, n = 183).</w:t>
      </w:r>
    </w:p>
    <w:p>
      <w:pPr>
        <w:pStyle w:val="BodyText"/>
        <w:jc w:val="both"/>
      </w:pPr>
      <w:r>
        <w:rPr>
          <w:rFonts w:ascii="Times New Roman" w:hAnsi="Times New Roman" w:cs="Times New Roman" w:eastAsia="Times New Roman"/>
        </w:rPr>
        <w:t xml:space="preserve">Across all 22 autosomes, Selphi 2 (default diploid engine) exceeds Beagle 5.5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all seven continental regions, including the two absent from the panel (Oceanian +0.0104, Middle-Eastern +0.0060; African +0.0126, East-Asian +0.0075; Table 2c). The advantage is unanimous across individuals: Selphi 2's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exceeds Beagle 5.5's in all 925 targets (mean</w:t>
      </w:r>
      <w:r>
        <w:rPr>
          <w:rFonts w:ascii="Times New Roman" w:hAnsi="Times New Roman" w:cs="Times New Roman" w:eastAsia="Times New Roman"/>
        </w:rPr>
        <w:t xml:space="preserve"> </w:t>
      </w:r>
      <m:oMath>
        <m:r>
          <m:rPr>
            <m:sty m:val="p"/>
          </m:rPr>
          <m:t>Δ</m:t>
        </m:r>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 +0.0066, 95% CI [+0.0064, +0.0069] from 20,000 paired bootstrap resamples; two-sided Wilcoxon</w:t>
      </w:r>
      <w:r>
        <w:rPr>
          <w:rFonts w:ascii="Times New Roman" w:hAnsi="Times New Roman" w:cs="Times New Roman" w:eastAsia="Times New Roman"/>
        </w:rPr>
        <w:t xml:space="preserve"> </w:t>
      </w:r>
      <m:oMath>
        <m:r>
          <m:t>p</m:t>
        </m:r>
        <m:r>
          <m:rPr>
            <m:sty m:val="p"/>
          </m:rPr>
          <m:t>&lt;</m:t>
        </m:r>
        <m:sSup>
          <m:e>
            <m:r>
              <m:t>10</m:t>
            </m:r>
          </m:e>
          <m:sup>
            <m:r>
              <m:rPr>
                <m:sty m:val="p"/>
              </m:rPr>
              <m:t>−</m:t>
            </m:r>
            <m:r>
              <m:t>100</m:t>
            </m:r>
          </m:sup>
        </m:sSup>
      </m:oMath>
      <w:r>
        <w:rPr>
          <w:rFonts w:ascii="Times New Roman" w:hAnsi="Times New Roman" w:cs="Times New Roman" w:eastAsia="Times New Roman"/>
        </w:rPr>
        <w:t xml:space="preserve">), and in every one of the seven regions taken separately (every per-region 95% CI excludes zero; every sample favours Selphi 2). On the per-variant metric Selphi 2 also leads overall (0.5323 versus 0.5252) and at every MAF bin above 0.1%, with Beagle retaining its usual edge only at the rarest bin (MAF 0.05-0.1%,</w:t>
      </w:r>
      <w:r>
        <w:rPr>
          <w:rFonts w:ascii="Times New Roman" w:hAnsi="Times New Roman" w:cs="Times New Roman" w:eastAsia="Times New Roman"/>
        </w:rPr>
        <w:t xml:space="preserve">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-0.0075), exactly the crossover seen on the in-panel 1000 Genomes benchmark (Table 1). The consistency of this crossover across panel-present and panel-absent ancestries indicates that the Selphi 2 accuracy profile is a property of the method rather than of a particular cohort, and that the advantage generalizes to ancestries unseen in the panel. This benchmark also motivated the small-panel conditioning rule (Methods): with the panel-size-and-diversity formula left to subset this 6,332-haplotype panel to 2,500 haplotypes, the rare-allele carriers of the out-of-panel targets were dropped and the per-variant ranking inverted; retaining the full panel as the conditioning set restored the result reported here.</w:t>
      </w:r>
    </w:p>
    <w:p>
      <w:pPr>
        <w:pStyle w:val="BodyText"/>
        <w:jc w:val="both"/>
      </w:pPr>
      <w:r>
        <w:rPr>
          <w:rFonts w:ascii="Times New Roman" w:hAnsi="Times New Roman" w:cs="Times New Roman" w:eastAsia="Times New Roman"/>
          <w:b/>
          <w:bCs/>
        </w:rPr>
        <w:t xml:space="preserve">Table 2c. Out-of-panel generalization: HGDP targets imputed against a 1000 Genomes panel, genome-wide.</w:t>
      </w:r>
      <w:r>
        <w:rPr>
          <w:rFonts w:ascii="Times New Roman" w:hAnsi="Times New Roman" w:cs="Times New Roman" w:eastAsia="Times New Roman"/>
        </w:rPr>
        <w:t xml:space="preserve"> </w:t>
      </w:r>
      <w:r>
        <w:rPr>
          <w:rFonts w:ascii="Times New Roman" w:hAnsi="Times New Roman" w:cs="Times New Roman" w:eastAsia="Times New Roman"/>
        </w:rPr>
        <w:t xml:space="preserve">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(Selphi 2 default diploid engine versus Beagle 5.5) for 925 HGDP individuals imputed from a 3,166-sample 1000 Genomes reference panel (all 22 autosomes, GRCh38, common-SNP array input), by continental region. Oceanian and Middle-Eastern groups have no representation in the panel. n = targets per region.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6585"/>
        <w:gridCol w:w="890"/>
        <w:gridCol w:w="890"/>
        <w:gridCol w:w="995"/>
      </w:tblGrid>
      <w:tr>
        <w:trPr>
          <w:tblHeader w:val="on"/>
        </w:trPr>
        <w:tc>
          <w:tcPr>
            <w:shd w:val="clear" w:color="auto" w:fill="595959"/>
            <w:vAlign w:val="center"/>
            <w:tcW w:type="dxa" w:w="6585"/>
          </w:tcPr>
          <w:p>
            <w:pPr>
              <w:pStyle w:val="Compact"/>
              <w:jc w:val="center"/>
            </w:pPr>
            <w:r>
              <w:rPr>
                <w:rFonts w:ascii="Times New Roman" w:hAnsi="Times New Roman" w:cs="Times New Roman" w:eastAsia="Times New Roman"/>
                <w:b/>
                <w:color w:val="FFFFFF"/>
                <w:sz w:val="20"/>
              </w:rPr>
              <w:t xml:space="preserve">Region (n)</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995"/>
          </w:tcPr>
          <w:p>
            <w:pPr>
              <w:pStyle w:val="Compact"/>
              <w:jc w:val="center"/>
            </w:pPr>
            <m:oMath>
              <m:r>
                <m:rPr>
                  <m:sty m:val="p"/>
                </m:rPr>
                <m:t>Δ</m:t>
              </m:r>
            </m:oMath>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Oceanian, not in panel (30)</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0.8984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0.8880</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+0.0104</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Middle-Eastern, not in panel (157)</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0.9386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0.9326</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+0.0060</w:t>
            </w:r>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African (107)</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0.8778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0.8652</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+0.0126</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East-Asian (233)</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0.9506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0.9431</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+0.0075</w:t>
            </w:r>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Central/South-Asian (183)</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0.9465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0.9418</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+0.0047</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European (153)</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0.9572</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0.9532</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+0.0040</w:t>
            </w:r>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Admixed-American (62)</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0.9626</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0.9569</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+0.0057</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All (925)</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0.9395</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0.9329</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+0.0066</w:t>
            </w:r>
          </w:p>
        </w:tc>
      </w:tr>
    </w:tbl>
    <w:p>
      <w:pPr>
        <w:pStyle w:val="BodyText"/>
        <w:jc w:val="center"/>
      </w:pPr>
      <w:r>
        <w:rPr>
          <w:rFonts w:ascii="Times New Roman" w:hAnsi="Times New Roman" w:cs="Times New Roman" w:eastAsia="Times New Roman"/>
        </w:rPr>
        <w:drawing>
          <wp:inline>
            <wp:extent cx="5334000" cy="4045307"/>
            <wp:effectExtent b="0" l="0" r="0" t="0"/>
            <wp:docPr descr="Figure 2" title="" id="32" name="Picture"/>
            <a:graphic>
              <a:graphicData uri="http://schemas.openxmlformats.org/drawingml/2006/picture">
                <pic:pic>
                  <pic:nvPicPr>
                    <pic:cNvPr descr="figures/figure2_accuracy.png" id="33" name="Picture"/>
                    <pic:cNvPicPr>
                      <a:picLocks noChangeArrowheads="1" noChangeAspect="1"/>
                    </pic:cNvPicPr>
                  </pic:nvPicPr>
                  <pic:blipFill>
                    <a:blip r:embed="rId31"/>
                    <a:stretch>
                      <a:fillRect/>
                    </a:stretch>
                  </pic:blipFill>
                  <pic:spPr bwMode="auto">
                    <a:xfrm>
                      <a:off x="0" y="0"/>
                      <a:ext cx="5334000" cy="4045307"/>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2. Imputation accuracy across the allele-frequency spectrum.</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 1000 Genomes genome-wide (20 autosomes; chr8 and chr11 excluded because Beagle aborted on a duplicate panel marker, so all tools use the identical chromosome set), imputation-only: n-weighted per-MAF</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for Selphi 2, the original Selphi 1.5.3, Beagle 5.5, Minimac4 and IMPUTE5, all imputing from the identical phased target haplotypes and the same reference panel (the target is fully phased and complete, so Beagle 5.5 likewise imputes without re-estimating phase). Selphi 2 leads at overall</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(0.5808) and across the low-frequency bins; it and Selphi 1.5.3 lie within ≈0.001 at the common bins, both above the three external tools, and Beagle 5.5 leads only the rarest 0.05-0.1% bin (Supplementary Table S9). (b) Per-sample imputation</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by self-reported ancestry on the MESA cohort (chromosome 20, full phase-and-impute pipeline against the TOPMed reference panel): Selphi 2 (default diploid engine) versus Beagle 5.5. Selphi 2 leads in all four ancestry groups (per-group</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gain annotated), with the largest margin on the East-Asian group; the candidate-set-sizing ablation behind the rare-variant gains in the admixed and diverged groups is in Table 2b. (c) Out-of-panel generalization, genome-wide: per-sample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for 925 HGDP individuals imputed against a 1000 Genomes panel, by continental region (Table 2c); Selphi 2 exceeds Beagle 5.5 in every region, including Oceanian and Middle-Eastern ancestries absent from the panel (asterisk). (d) Low-coverage sequencing coverage sweep: overall per-sample dosage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versus coverage for Selphi 2, GLIMPSE2 and QUILT2 (GIAB HG002/HG003/HG004, chromosome 22:20-30 Mb, leak-free 6,332-haplotype 1000 Genomes panel, reference-homozygous sites scored as dosage zero, scored on the sites imputed by all three tools; Table 6b). Selphi 2 (native in-process pileup, band-mode recombination by default) exceeds both GLIMPSE2 and QUILT2 in overall per-sample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at every coverage. On the ultra-rare bin (MAF 0-0.5%; Table 6b) Selphi 2 leads at 2</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and 4</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and ties GLIMPSE2 at 1</w:t>
      </w:r>
      <m:oMath>
        <m:r>
          <m:rPr>
            <m:sty m:val="p"/>
          </m:rPr>
          <m:t>×</m:t>
        </m:r>
      </m:oMath>
      <w:r>
        <w:rPr>
          <w:rFonts w:ascii="Times New Roman" w:hAnsi="Times New Roman" w:cs="Times New Roman" w:eastAsia="Times New Roman"/>
          <w:sz w:val="20"/>
        </w:rPr>
        <w:t xml:space="preserve">, with GLIMPSE2 marginally ahead only at the read-starved 0.5</w:t>
      </w:r>
      <m:oMath>
        <m:r>
          <m:rPr>
            <m:sty m:val="p"/>
          </m:rPr>
          <m:t>×</m:t>
        </m:r>
      </m:oMath>
      <w:r>
        <w:rPr>
          <w:rFonts w:ascii="Times New Roman" w:hAnsi="Times New Roman" w:cs="Times New Roman" w:eastAsia="Times New Roman"/>
          <w:sz w:val="20"/>
        </w:rPr>
        <w:t xml:space="preserve">.</w:t>
      </w:r>
    </w:p>
    <w:p>
      <w:pPr>
        <w:pStyle w:val="Heading2"/>
        <w:jc w:val="both"/>
      </w:pPr>
      <w:r>
        <w:rPr>
          <w:rFonts w:ascii="Times New Roman" w:hAnsi="Times New Roman" w:cs="Times New Roman" w:eastAsia="Times New Roman"/>
          <w:b/>
          <w:bCs/>
        </w:rPr>
        <w:t xml:space="preserve">Independent validation against leak-free GIAB truth</w:t>
      </w:r>
    </w:p>
    <w:p>
      <w:pPr>
        <w:pStyle w:val="FirstParagraph"/>
        <w:jc w:val="both"/>
      </w:pPr>
      <w:r>
        <w:rPr>
          <w:rFonts w:ascii="Times New Roman" w:hAnsi="Times New Roman" w:cs="Times New Roman" w:eastAsia="Times New Roman"/>
        </w:rPr>
        <w:t xml:space="preserve">The 1000 Genomes panel benchmarks share haplotypes with the held-out targets via descent, which can inflate measured accuracy. As an independent validation we used the Genome in a Bottle (GIAB) reference samples HG002-HG007, none of which are in the 1000 Genomes Project, as held-out targets against a 75,552-haplotype reference panel that contains the full 1000 Genomes cohort. Truth genotypes were taken from the GIAB v4.2.1 high-confidence regions restricted to common variants (MAF 5-50%, n = 73,710 sites on chr21 after restriction; n = 409,392 on chr1).</w:t>
      </w:r>
    </w:p>
    <w:p>
      <w:pPr>
        <w:pStyle w:val="BodyText"/>
        <w:jc w:val="both"/>
      </w:pPr>
      <w:r>
        <w:rPr>
          <w:rFonts w:ascii="Times New Roman" w:hAnsi="Times New Roman" w:cs="Times New Roman" w:eastAsia="Times New Roman"/>
        </w:rPr>
        <w:t xml:space="preserve">On chr21, Selphi 2 attains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0.9704 (concordance 0.9777) versus Beagle 5.5 (build 03 Oct 2025) 0.9676 (concordance 0.9762) and Selphi 1.5.3 0.9702 (concordance 0.9776). Selphi 2 and Selphi 1.5.3 are effectively tied on this leak-free truth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+0.0002, within run-to-run variation); both exceed Beagle 5.5 by 0.0028. On chr1, Selphi 2 attains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0.9815 versus Beagle 0.9825 and Selphi 1.5.3 0.9815, a three-way effective tie on a well-saturated panel. This leak-free truth is restricted to common variants (MAF 5-50%), where modern imputers are expected to converge; the complementary leak-free assessment of rare-variant accuracy is the out-of-panel HGDP benchmark above (all MAF bins, genome-wide), where Selphi 2 leads Beagle 5.5 at every frequency above the rarest.</w:t>
      </w:r>
    </w:p>
    <w:p>
      <w:pPr>
        <w:pStyle w:val="BodyText"/>
        <w:jc w:val="both"/>
      </w:pPr>
      <w:r>
        <w:rPr>
          <w:rFonts w:ascii="Times New Roman" w:hAnsi="Times New Roman" w:cs="Times New Roman" w:eastAsia="Times New Roman"/>
        </w:rPr>
        <w:t xml:space="preserve">The wall-time and memory differences on this benchmark are large: Selphi 2 imputes chr21 in 7.2 s with peak memory 6.2 GB; Selphi 1.5.3 takes 112.8 s with peak 7.1 GB; Beagle 5.5 takes 12.5 s with peak 14.5 GB. On the larger chr1, the speed-up over Selphi 1.5.3 grows to 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(38.8 s for Selphi 2 versus 1923 s for Selphi 1.5.3), with Selphi 2 using less than half the memory of Beagle 5.5 (16.3 GB versus 39.2 GB). Selphi 2 thus matches the accuracy of the established imputation tools on leak-free truth while reducing runtime by an order of magnitude relative to Selphi 1.5.3 and by up to 1.7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relative to Beagle 5.5 (Supplementary Table S3).</w:t>
      </w:r>
    </w:p>
    <w:p>
      <w:pPr>
        <w:pStyle w:val="Heading2"/>
        <w:jc w:val="both"/>
      </w:pPr>
      <w:r>
        <w:rPr>
          <w:rFonts w:ascii="Times New Roman" w:hAnsi="Times New Roman" w:cs="Times New Roman" w:eastAsia="Times New Roman"/>
          <w:b/>
          <w:bCs/>
        </w:rPr>
        <w:t xml:space="preserve">Imputation accuracy on consumer arrays against high-coverage WGS truth</w:t>
      </w:r>
    </w:p>
    <w:p>
      <w:pPr>
        <w:pStyle w:val="FirstParagraph"/>
        <w:jc w:val="both"/>
      </w:pPr>
      <w:r>
        <w:rPr>
          <w:rFonts w:ascii="Times New Roman" w:hAnsi="Times New Roman" w:cs="Times New Roman" w:eastAsia="Times New Roman"/>
        </w:rPr>
        <w:t xml:space="preserve">To evaluate the deployment scenario directly, a consumer genotyping array imputed against the reference panel and validated against the individual's own high-coverage genome, we assembled a held-out set of six individuals, each having both a SelfDecode genotyping array (Illumina Global Screening Array, ≈620,000 autosomal SNPs after restriction to panel sites) and an independent high-coverage Illumina DRAGEN whole-genome sequence (≈30-60</w:t>
      </w:r>
      <m:oMath>
        <m:r>
          <m:rPr>
            <m:sty m:val="p"/>
          </m:rPr>
          <m:t>×</m:t>
        </m:r>
      </m:oMath>
      <w:r>
        <w:rPr>
          <w:rFonts w:ascii="Times New Roman" w:hAnsi="Times New Roman" w:cs="Times New Roman" w:eastAsia="Times New Roman"/>
        </w:rPr>
        <w:t xml:space="preserve">). The array genotypes were imputed against the 75,552-haplotype (37,776-sample) reference panel, and the imputed dosages compared, genome-wide (chromosomes 1-22), against each individual's WGS truth restricted to high-confidence genotypes (DRAGEN PASS, GQ ≥ 20, DP ≥ 10). All six individuals were confirmed absent from the reference panel (leak-free).</w:t>
      </w:r>
    </w:p>
    <w:p>
      <w:pPr>
        <w:pStyle w:val="BodyText"/>
        <w:jc w:val="both"/>
      </w:pPr>
      <w:r>
        <w:rPr>
          <w:rFonts w:ascii="Times New Roman" w:hAnsi="Times New Roman" w:cs="Times New Roman" w:eastAsia="Times New Roman"/>
        </w:rPr>
        <w:t xml:space="preserve">Given both tools the same Beagle-derived phasing, Selphi 2's imputation exceeds Beagle 5.5 on both variant classes, averaged across all 22 autosomes and the six samples: mean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0.9601 versus 0.9584 and mean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0.7911 versus 0.7840 (Table 3). Selphi 1.5.3 and Selphi 2 are effectively tied (SNP 0.9599 versus 0.9601; indel 0.7932 versus 0.7911), confirming that the Rust reimplementation preserves the imputation core. Run with its own internal phasing, Selphi 2 matches or exceeds Beagle's full pipeline on both variant classes with either engine, and its default diploid engine attains the highest point estimate of any configuration tested (mean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0.9605,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0.7935), above Beagle 5.5 (0.9584 / 0.7840) and the haploid engine (0.9587 / 0.7909) and on par with the Beagle-phased configurations (0.9601 / 0.7911; the 0.0004 SNP difference is within the n = 6 sampling variation). Because imputation is linear in the per-haplotype copying weights, averaging several of Selphi's own phasings yields the posterior-mean dosage over phase realizations rather than conditioning on a single committed phasing. Two changes drive this. First, earlier versions trailed Beagle on common SNPs because array no-call genotypes (≈1.7% of typed sites on this array) were folded to homozygous reference before phasing rather than imputed, biasing both the phasing scaffold and the imputer's reference-haplotype selection toward the reference allele at precisely the sites being imputed; imputing the no-calls instead, a local copying consensus over the nearest PBWT neighbours, applied in both engines, closed that gap (Methods; Discussion). Second, the diploid engine averages its imputation over a small intra-run phase ensemble: the post-burn-in MCMC samples the phasing chain already computes (and would otherwise discard) are reused as independent phase draws, and because interpolation is linear in the per-haplotype copying weights, averaging their dosages marginalises phase uncertainty for one extra imputation pass and no extra phasing (the phasing chain is shared; Methods). Together these lift the diploid engine from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0.9553 (an earlier single-phase version) to 0.9605. Selphi 2 therefore no longer requires an external phaser to reach Beagle-quality accuracy on real arrays; with its default engine it exceeds Beagle's full pipeline. Because this is a held-out set of only six individuals, we report paired statistics over the six samples (95% confidence intervals from 20,000 paired bootstrap resamples; two-sided exact Wilcoxon signed-rank, for which n = 6 gives a minimum attainable p of 0.031). With its own diploid phasing, Selphi 2 exceeds Beagle 5.5 on both variant classes (SNP</w:t>
      </w:r>
      <w:r>
        <w:rPr>
          <w:rFonts w:ascii="Times New Roman" w:hAnsi="Times New Roman" w:cs="Times New Roman" w:eastAsia="Times New Roman"/>
        </w:rPr>
        <w:t xml:space="preserve"> </w:t>
      </w:r>
      <m:oMath>
        <m:r>
          <m:rPr>
            <m:sty m:val="p"/>
          </m:rPr>
          <m:t>Δ</m:t>
        </m:r>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+0.0021, 95% CI [+0.0009, +0.0034]; indel +0.0095, [+0.0077, +0.0116]; both p = 0.031, all 6 of 6 samples) and exceeds the haploid engine (SNP +0.0018, [+0.0016, +0.0020]; indel +0.0026, [+0.0024, +0.0029]; both p = 0.031). Relative to Selphi 2 given Beagle's own phasing, the diploid engine is statistically indistinguishable on SNPs (+0.0004, [-0.0002, +0.0011], p = 0.44) and higher on indels (+0.0024, [+0.0018, +0.0031], p = 0.031). At equal (Beagle-derived) phasing, Selphi 2's imputer exceeds Beagle 5.5 (SNP +0.0017, [+0.0009, +0.0024]; indel +0.0071, [+0.0058, +0.0086]; both p = 0.031) and is indistinguishable from Selphi 1.5.3 (SNP +0.0002, [-0.0004, +0.0007], p = 0.81), confirming that the Rust reimplementation preserves the imputation core. The ranking is consistent across all six individuals and concordant with the leak-free GIAB result above.</w:t>
      </w:r>
    </w:p>
    <w:p>
      <w:pPr>
        <w:pStyle w:val="BodyText"/>
        <w:jc w:val="both"/>
      </w:pPr>
      <w:r>
        <w:rPr>
          <w:rFonts w:ascii="Times New Roman" w:hAnsi="Times New Roman" w:cs="Times New Roman" w:eastAsia="Times New Roman"/>
          <w:b/>
          <w:bCs/>
        </w:rPr>
        <w:t xml:space="preserve">Table 3. Genome-wide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on real consumer arrays against high-coverage WGS truth.</w:t>
      </w:r>
      <w:r>
        <w:rPr>
          <w:rFonts w:ascii="Times New Roman" w:hAnsi="Times New Roman" w:cs="Times New Roman" w:eastAsia="Times New Roman"/>
        </w:rPr>
        <w:t xml:space="preserve"> </w:t>
      </w:r>
      <w:r>
        <w:rPr>
          <w:rFonts w:ascii="Times New Roman" w:hAnsi="Times New Roman" w:cs="Times New Roman" w:eastAsia="Times New Roman"/>
        </w:rPr>
        <w:t xml:space="preserve">Six individuals, each with a SelfDecode Illumina GSA array imputed against the 75,552-haplotype reference panel and evaluated against their own high-coverage DRAGEN whole-genome sequence (PASS, GQ ≥ 20, DP ≥ 10), genome-wide (chr1-22). Each value is the mean over the six samples of the per-sample squared correlation (</w:t>
      </w:r>
      <m:oMath>
        <m:sSup>
          <m:e>
            <m:r>
              <m:t>R</m:t>
            </m:r>
          </m:e>
          <m:sup>
            <m:r>
              <m:t>2</m:t>
            </m:r>
          </m:sup>
        </m:sSup>
      </m:oMath>
      <w:r>
        <w:rPr>
          <w:rFonts w:ascii="Times New Roman" w:hAnsi="Times New Roman" w:cs="Times New Roman" w:eastAsia="Times New Roman"/>
        </w:rPr>
        <w:t xml:space="preserve">) between imputed dosage and truth genotype. "Beagle-phased" rows feed both imputers the identical Beagle phase-only output (isolating the imputation step); "haploid/diploid" rows use Selphi's internal phasing. All rows cover the full 22 autosomes. The internal-phasing rows impute array no-call genotypes during phasing rather than treating them as homozygous reference (Methods); Beagle-phased input contains no no-calls, so those rows are unaffected.</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580"/>
        <w:gridCol w:w="890"/>
        <w:gridCol w:w="890"/>
      </w:tblGrid>
      <w:tr>
        <w:trPr>
          <w:tblHeader w:val="on"/>
        </w:trPr>
        <w:tc>
          <w:tcPr>
            <w:shd w:val="clear" w:color="auto" w:fill="595959"/>
            <w:vAlign w:val="center"/>
            <w:tcW w:type="dxa" w:w="7580"/>
          </w:tcPr>
          <w:p>
            <w:pPr>
              <w:pStyle w:val="Compact"/>
              <w:jc w:val="center"/>
            </w:pPr>
            <w:r>
              <w:rPr>
                <w:rFonts w:ascii="Times New Roman" w:hAnsi="Times New Roman" w:cs="Times New Roman" w:eastAsia="Times New Roman"/>
                <w:b/>
                <w:color w:val="FFFFFF"/>
                <w:sz w:val="20"/>
              </w:rPr>
              <w:t xml:space="preserve">Pipeline (phasing to imputation)</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SNP</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Indel</w:t>
            </w:r>
            <w:r>
              <w:rPr>
                <w:rFonts w:ascii="Times New Roman" w:hAnsi="Times New Roman" w:cs="Times New Roman" w:eastAsia="Times New Roman"/>
                <w:b/>
                <w:color w:val="FFFFFF"/>
                <w:sz w:val="20"/>
              </w:rPr>
              <w:t xml:space="preserve"> </w:t>
            </w:r>
            <m:oMath>
              <m:sSup>
                <m:e>
                  <m:r>
                    <m:t>R</m:t>
                  </m:r>
                </m:e>
                <m:sup>
                  <m:r>
                    <m:t>2</m:t>
                  </m:r>
                </m:sup>
              </m:sSup>
            </m:oMath>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Selphi 2 (Beagle-phased)</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0.9601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0.7911</w:t>
            </w:r>
          </w:p>
        </w:tc>
      </w:tr>
      <w:tr>
        <w:tc>
          <w:tcPr>
            <w:shd w:val="clear" w:color="auto" w:fill="E7E6E6"/>
            <w:vAlign w:val="center"/>
            <w:tcW w:type="dxa" w:w="7580"/>
          </w:tcPr>
          <w:p>
            <w:pPr>
              <w:pStyle w:val="Compact"/>
              <w:jc w:val="left"/>
            </w:pPr>
            <w:r>
              <w:rPr>
                <w:rFonts w:ascii="Times New Roman" w:hAnsi="Times New Roman" w:cs="Times New Roman" w:eastAsia="Times New Roman"/>
                <w:sz w:val="20"/>
              </w:rPr>
              <w:t xml:space="preserve">Selphi 1.5.3 (Beagle-phased)</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0.9599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0.7932</w:t>
            </w:r>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Beagle 5.5 (phase + impute)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0.9584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0.7840</w:t>
            </w:r>
          </w:p>
        </w:tc>
      </w:tr>
      <w:tr>
        <w:tc>
          <w:tcPr>
            <w:shd w:val="clear" w:color="auto" w:fill="E7E6E6"/>
            <w:vAlign w:val="center"/>
            <w:tcW w:type="dxa" w:w="7580"/>
          </w:tcPr>
          <w:p>
            <w:pPr>
              <w:pStyle w:val="Compact"/>
              <w:jc w:val="left"/>
            </w:pPr>
            <w:r>
              <w:rPr>
                <w:rFonts w:ascii="Times New Roman" w:hAnsi="Times New Roman" w:cs="Times New Roman" w:eastAsia="Times New Roman"/>
                <w:sz w:val="20"/>
              </w:rPr>
              <w:t xml:space="preserve">Selphi 2 (haploid engine, internal phasing)</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0.9587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0.7909</w:t>
            </w:r>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Selphi 2 (diploid engine, internal phasing)</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0.9605</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0.7935</w:t>
            </w:r>
          </w:p>
        </w:tc>
      </w:tr>
    </w:tbl>
    <w:p>
      <w:pPr>
        <w:pStyle w:val="BodyText"/>
        <w:jc w:val="both"/>
      </w:pPr>
      <w:r>
        <w:rPr>
          <w:rFonts w:ascii="Times New Roman" w:hAnsi="Times New Roman" w:cs="Times New Roman" w:eastAsia="Times New Roman"/>
        </w:rPr>
        <w:t xml:space="preserve">Beyond accuracy, Selphi 2's default diploid engine is faster and leaner than Beagle 5.5 on this benchmark. Imputing the six-sample cohort against the 75,552-haplotype panel on a single 16-thread node (one chromosome at a time), Selphi 2 completes all 22 autosomes in 27.7 minutes versus Beagle's 36.4 minutes (1.3</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end-to-end), at a peak resident memory of about 25 GB versus Beagle's roughly 40 GB (about 1.6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leaner), even though the default intra-run ensemble (Methods) runs two imputation passes; disabling the ensemble is faster still (Table 3b). Per-chromosome wall times on this shared node fluctuate with system load, so the whole-genome total is the stable measure.</w:t>
      </w:r>
    </w:p>
    <w:p>
      <w:pPr>
        <w:pStyle w:val="BodyText"/>
        <w:jc w:val="both"/>
      </w:pPr>
      <w:r>
        <w:rPr>
          <w:rFonts w:ascii="Times New Roman" w:hAnsi="Times New Roman" w:cs="Times New Roman" w:eastAsia="Times New Roman"/>
          <w:b/>
          <w:bCs/>
        </w:rPr>
        <w:t xml:space="preserve">Table 3b. Whole-genome wall time and peak memory on the consumer-array benchmark.</w:t>
      </w:r>
      <w:r>
        <w:rPr>
          <w:rFonts w:ascii="Times New Roman" w:hAnsi="Times New Roman" w:cs="Times New Roman" w:eastAsia="Times New Roman"/>
        </w:rPr>
        <w:t xml:space="preserve"> </w:t>
      </w:r>
      <w:r>
        <w:rPr>
          <w:rFonts w:ascii="Times New Roman" w:hAnsi="Times New Roman" w:cs="Times New Roman" w:eastAsia="Times New Roman"/>
        </w:rPr>
        <w:t xml:space="preserve">Six-sample cohort imputed against the 75,552-haplotype reference panel across all 22 autosomes, 16 threads, one chromosome at a time on the same node. Wall time is summed over the 22 autosomes; peak memory is the maximum resident set during the run, reached on the largest chromosome. Selphi 2 uses its default diploid engine (intra-run phase ensemble on; disabling it is faster still). Beagle 5.5 is the full phase-plus-impute pipeline. Per-chromosome wall times on this shared node fluctuate with system load (Selphi's memory-bandwidth-bound interpolation varies roughly 15% run to run), so the whole-genome total is the stable comparison; Beagle's peak memory is JVM-garbage-collector-dependent (31-51 GB across repeats, median ≈ 40 GB).</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6845"/>
        <w:gridCol w:w="1520"/>
        <w:gridCol w:w="995"/>
      </w:tblGrid>
      <w:tr>
        <w:trPr>
          <w:tblHeader w:val="on"/>
        </w:trPr>
        <w:tc>
          <w:tcPr>
            <w:shd w:val="clear" w:color="auto" w:fill="595959"/>
            <w:vAlign w:val="center"/>
            <w:tcW w:type="dxa" w:w="6845"/>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1520"/>
          </w:tcPr>
          <w:p>
            <w:pPr>
              <w:pStyle w:val="Compact"/>
              <w:jc w:val="center"/>
            </w:pPr>
            <w:r>
              <w:rPr>
                <w:rFonts w:ascii="Times New Roman" w:hAnsi="Times New Roman" w:cs="Times New Roman" w:eastAsia="Times New Roman"/>
                <w:b/>
                <w:color w:val="FFFFFF"/>
                <w:sz w:val="20"/>
              </w:rPr>
              <w:t xml:space="preserve">Whole-genome wall time</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Peak memory</w:t>
            </w:r>
          </w:p>
        </w:tc>
      </w:tr>
      <w:tr>
        <w:tc>
          <w:tcPr>
            <w:shd w:val="clear" w:color="auto" w:fill="FFFFFF"/>
            <w:vAlign w:val="center"/>
            <w:tcW w:type="dxa" w:w="6845"/>
          </w:tcPr>
          <w:p>
            <w:pPr>
              <w:pStyle w:val="Compact"/>
              <w:jc w:val="left"/>
            </w:pPr>
            <w:r>
              <w:rPr>
                <w:rFonts w:ascii="Times New Roman" w:hAnsi="Times New Roman" w:cs="Times New Roman" w:eastAsia="Times New Roman"/>
                <w:sz w:val="20"/>
              </w:rPr>
              <w:t xml:space="preserve">Selphi 2 (default diploid)</w:t>
            </w:r>
          </w:p>
        </w:tc>
        <w:tc>
          <w:tcPr>
            <w:shd w:val="clear" w:color="auto" w:fill="FFFFFF"/>
            <w:vAlign w:val="center"/>
            <w:tcW w:type="dxa" w:w="1520"/>
          </w:tcPr>
          <w:p>
            <w:pPr>
              <w:pStyle w:val="Compact"/>
              <w:jc w:val="center"/>
            </w:pPr>
            <w:r>
              <w:rPr>
                <w:rFonts w:ascii="Times New Roman" w:hAnsi="Times New Roman" w:cs="Times New Roman" w:eastAsia="Times New Roman"/>
                <w:sz w:val="20"/>
              </w:rPr>
              <w:t xml:space="preserve">27.7 min</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 25 GB</w:t>
            </w:r>
          </w:p>
        </w:tc>
      </w:tr>
      <w:tr>
        <w:tc>
          <w:tcPr>
            <w:shd w:val="clear" w:color="auto" w:fill="E7E6E6"/>
            <w:vAlign w:val="center"/>
            <w:tcW w:type="dxa" w:w="6845"/>
          </w:tcPr>
          <w:p>
            <w:pPr>
              <w:pStyle w:val="Compact"/>
              <w:jc w:val="left"/>
            </w:pPr>
            <w:r>
              <w:rPr>
                <w:rFonts w:ascii="Times New Roman" w:hAnsi="Times New Roman" w:cs="Times New Roman" w:eastAsia="Times New Roman"/>
                <w:sz w:val="20"/>
              </w:rPr>
              <w:t xml:space="preserve">Beagle 5.5 (phase + impute)</w:t>
            </w:r>
          </w:p>
        </w:tc>
        <w:tc>
          <w:tcPr>
            <w:shd w:val="clear" w:color="auto" w:fill="E7E6E6"/>
            <w:vAlign w:val="center"/>
            <w:tcW w:type="dxa" w:w="1520"/>
          </w:tcPr>
          <w:p>
            <w:pPr>
              <w:pStyle w:val="Compact"/>
              <w:jc w:val="center"/>
            </w:pPr>
            <w:r>
              <w:rPr>
                <w:rFonts w:ascii="Times New Roman" w:hAnsi="Times New Roman" w:cs="Times New Roman" w:eastAsia="Times New Roman"/>
                <w:sz w:val="20"/>
              </w:rPr>
              <w:t xml:space="preserve">36.4 min</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 40 GB</w:t>
            </w:r>
          </w:p>
        </w:tc>
      </w:tr>
    </w:tbl>
    <w:p>
      <w:pPr>
        <w:pStyle w:val="Heading2"/>
        <w:jc w:val="both"/>
      </w:pPr>
      <w:r>
        <w:rPr>
          <w:rFonts w:ascii="Times New Roman" w:hAnsi="Times New Roman" w:cs="Times New Roman" w:eastAsia="Times New Roman"/>
          <w:b/>
          <w:bCs/>
        </w:rPr>
        <w:t xml:space="preserve">Phasing accuracy on the 1000 Genomes trio dataset</w:t>
      </w:r>
    </w:p>
    <w:p>
      <w:pPr>
        <w:pStyle w:val="FirstParagraph"/>
        <w:jc w:val="both"/>
      </w:pPr>
      <w:r>
        <w:rPr>
          <w:rFonts w:ascii="Times New Roman" w:hAnsi="Times New Roman" w:cs="Times New Roman" w:eastAsia="Times New Roman"/>
        </w:rPr>
        <w:t xml:space="preserve">We evaluated phasing accuracy on the 1000 Genomes trio dataset using 54 trio children for whom both parents are independently sequenced and therefore the parent-of-origin truth phase at each heterozygous site can be established by Mendelian inheritance. All 54 children's whole-genome sequencing genotypes for chromosomes 1 and 22 were phased against the 2,239-sample 1000 Genomes reference panel from which the trio members had been removed ("no-trios" panel). For SHAPEIT5 v5.1.1, the full pipeline was run (phase_common at MAF ≥ 0.001, then phase_rare on the common-variant scaffold). For Beagle 5.5, the default phasing pass was used. Switch error rate (SER) was computed against the parent-of-origin truth using</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The set of testable heterozygous sites was determined by the trio genotypes and was therefore the same for every tool (1,992,617 sites on chr22; 10,632,243 sites on chr1, summed across the 54 trios).</w:t>
      </w:r>
    </w:p>
    <w:p>
      <w:pPr>
        <w:pStyle w:val="BodyText"/>
        <w:jc w:val="both"/>
      </w:pPr>
      <w:r>
        <w:rPr>
          <w:rFonts w:ascii="Times New Roman" w:hAnsi="Times New Roman" w:cs="Times New Roman" w:eastAsia="Times New Roman"/>
        </w:rPr>
        <w:t xml:space="preserve">On chromosome 22, Selphi 2's diploid engine attains the lowest mean SER (2.521%), followed by Beagle 5.5 (2.548%), Selphi 2's haploid engine (2.569%), and SHAPEIT5 full pipeline (2.611%). On chromosome 1, the ranking is Beagle 5.5 (1.865%), Selphi 2 diploid (1.876%) and Selphi 2 haploid (1.876%) (tied to 4 decimal places), and SHAPEIT5 (1.935%). Selphi 2's diploid engine is effectively tied with Beagle 5.5 across both chromosomes (|</w:t>
      </w:r>
      <m:oMath>
        <m:r>
          <m:rPr>
            <m:sty m:val="p"/>
          </m:rPr>
          <m:t>Δ</m:t>
        </m:r>
      </m:oMath>
      <w:r>
        <w:rPr>
          <w:rFonts w:ascii="Times New Roman" w:hAnsi="Times New Roman" w:cs="Times New Roman" w:eastAsia="Times New Roman"/>
        </w:rPr>
        <w:t xml:space="preserve">| ≤ 0.027 percentage points, within seed-to-seed variation) and consistently better than SHAPEIT5 (by 0.060-0.090 percentage points). Selphi 2 diploid is also the fastest phaser of the four on both chromosomes, completing chr22 in 0.66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Beagle's wall time and chr1 in 0.67</w:t>
      </w:r>
      <m:oMath>
        <m:r>
          <m:rPr>
            <m:sty m:val="p"/>
          </m:rPr>
          <m:t>×</m:t>
        </m:r>
      </m:oMath>
      <w:r>
        <w:rPr>
          <w:rFonts w:ascii="Times New Roman" w:hAnsi="Times New Roman" w:cs="Times New Roman" w:eastAsia="Times New Roman"/>
        </w:rPr>
        <w:t xml:space="preserve">, with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lower peak memory than Beagle 5.5 (Table 4; Supplementary Table S5).</w:t>
      </w:r>
    </w:p>
    <w:p>
      <w:pPr>
        <w:pStyle w:val="BodyText"/>
        <w:jc w:val="both"/>
      </w:pPr>
      <w:r>
        <w:rPr>
          <w:rFonts w:ascii="Times New Roman" w:hAnsi="Times New Roman" w:cs="Times New Roman" w:eastAsia="Times New Roman"/>
          <w:b/>
          <w:bCs/>
        </w:rPr>
        <w:t xml:space="preserve">Table 4. Phasing accuracy, wall time, and peak memory on the 1000 Genomes trio dataset.</w:t>
      </w:r>
      <w:r>
        <w:rPr>
          <w:rFonts w:ascii="Times New Roman" w:hAnsi="Times New Roman" w:cs="Times New Roman" w:eastAsia="Times New Roman"/>
        </w:rPr>
        <w:t xml:space="preserve"> </w:t>
      </w:r>
      <w:r>
        <w:rPr>
          <w:rFonts w:ascii="Times New Roman" w:hAnsi="Times New Roman" w:cs="Times New Roman" w:eastAsia="Times New Roman"/>
        </w:rPr>
        <w:t xml:space="preserve">All tools phased the same 54 trio children (whole-genome sequencing density) against the 2,239-sample no-trios reference panel, on the same machine with 16 threads. SER computed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w:t>
      </w:r>
      <w:r>
        <w:rPr>
          <w:rFonts w:ascii="Times New Roman" w:hAnsi="Times New Roman" w:cs="Times New Roman" w:eastAsia="Times New Roman"/>
        </w:rPr>
        <w:t xml:space="preserve">over the same heterozygous site set for every tool (n = 1,992,617 sites on chr22, 10,632,243 sites on chr1, summed across the 54 trios).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020"/>
        <w:gridCol w:w="785"/>
        <w:gridCol w:w="785"/>
        <w:gridCol w:w="995"/>
        <w:gridCol w:w="785"/>
        <w:gridCol w:w="995"/>
        <w:gridCol w:w="995"/>
      </w:tblGrid>
      <w:tr>
        <w:trPr>
          <w:tblHeader w:val="on"/>
        </w:trPr>
        <w:tc>
          <w:tcPr>
            <w:shd w:val="clear" w:color="auto" w:fill="595959"/>
            <w:vAlign w:val="center"/>
            <w:tcW w:type="dxa" w:w="4020"/>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785"/>
          </w:tcPr>
          <w:p>
            <w:pPr>
              <w:pStyle w:val="Compact"/>
              <w:jc w:val="center"/>
            </w:pPr>
            <w:r>
              <w:rPr>
                <w:rFonts w:ascii="Times New Roman" w:hAnsi="Times New Roman" w:cs="Times New Roman" w:eastAsia="Times New Roman"/>
                <w:b/>
                <w:color w:val="FFFFFF"/>
                <w:sz w:val="20"/>
              </w:rPr>
              <w:t xml:space="preserve">chr22 SER (%)</w:t>
            </w:r>
          </w:p>
        </w:tc>
        <w:tc>
          <w:tcPr>
            <w:shd w:val="clear" w:color="auto" w:fill="595959"/>
            <w:vAlign w:val="center"/>
            <w:tcW w:type="dxa" w:w="785"/>
          </w:tcPr>
          <w:p>
            <w:pPr>
              <w:pStyle w:val="Compact"/>
              <w:jc w:val="center"/>
            </w:pPr>
            <w:r>
              <w:rPr>
                <w:rFonts w:ascii="Times New Roman" w:hAnsi="Times New Roman" w:cs="Times New Roman" w:eastAsia="Times New Roman"/>
                <w:b/>
                <w:color w:val="FFFFFF"/>
                <w:sz w:val="20"/>
              </w:rPr>
              <w:t xml:space="preserve">chr22 wall</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chr22 peak RAM</w:t>
            </w:r>
          </w:p>
        </w:tc>
        <w:tc>
          <w:tcPr>
            <w:shd w:val="clear" w:color="auto" w:fill="595959"/>
            <w:vAlign w:val="center"/>
            <w:tcW w:type="dxa" w:w="785"/>
          </w:tcPr>
          <w:p>
            <w:pPr>
              <w:pStyle w:val="Compact"/>
              <w:jc w:val="center"/>
            </w:pPr>
            <w:r>
              <w:rPr>
                <w:rFonts w:ascii="Times New Roman" w:hAnsi="Times New Roman" w:cs="Times New Roman" w:eastAsia="Times New Roman"/>
                <w:b/>
                <w:color w:val="FFFFFF"/>
                <w:sz w:val="20"/>
              </w:rPr>
              <w:t xml:space="preserve">chr1 SER (%)</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chr1 wall</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chr1 peak RAM</w:t>
            </w:r>
          </w:p>
        </w:tc>
      </w:tr>
      <w:tr>
        <w:tc>
          <w:tcPr>
            <w:shd w:val="clear" w:color="auto" w:fill="FFFFFF"/>
            <w:vAlign w:val="center"/>
            <w:tcW w:type="dxa" w:w="4020"/>
          </w:tcPr>
          <w:p>
            <w:pPr>
              <w:pStyle w:val="Compact"/>
              <w:jc w:val="left"/>
            </w:pPr>
            <w:r>
              <w:rPr>
                <w:rFonts w:ascii="Times New Roman" w:hAnsi="Times New Roman" w:cs="Times New Roman" w:eastAsia="Times New Roman"/>
                <w:b/>
                <w:bCs/>
                <w:sz w:val="20"/>
              </w:rPr>
              <w:t xml:space="preserve">Selphi 2 diploid</w:t>
            </w:r>
          </w:p>
        </w:tc>
        <w:tc>
          <w:tcPr>
            <w:shd w:val="clear" w:color="auto" w:fill="FFFFFF"/>
            <w:vAlign w:val="center"/>
            <w:tcW w:type="dxa" w:w="785"/>
          </w:tcPr>
          <w:p>
            <w:pPr>
              <w:pStyle w:val="Compact"/>
              <w:jc w:val="center"/>
            </w:pPr>
            <w:r>
              <w:rPr>
                <w:rFonts w:ascii="Times New Roman" w:hAnsi="Times New Roman" w:cs="Times New Roman" w:eastAsia="Times New Roman"/>
                <w:b/>
                <w:bCs/>
                <w:sz w:val="20"/>
              </w:rPr>
              <w:t xml:space="preserve">2.521</w:t>
            </w:r>
          </w:p>
        </w:tc>
        <w:tc>
          <w:tcPr>
            <w:shd w:val="clear" w:color="auto" w:fill="FFFFFF"/>
            <w:vAlign w:val="center"/>
            <w:tcW w:type="dxa" w:w="785"/>
          </w:tcPr>
          <w:p>
            <w:pPr>
              <w:pStyle w:val="Compact"/>
              <w:jc w:val="center"/>
            </w:pPr>
            <w:r>
              <w:rPr>
                <w:rFonts w:ascii="Times New Roman" w:hAnsi="Times New Roman" w:cs="Times New Roman" w:eastAsia="Times New Roman"/>
                <w:b/>
                <w:bCs/>
                <w:sz w:val="20"/>
              </w:rPr>
              <w:t xml:space="preserve">131 s</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4.1 GB</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570 s</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11.0 GB</w:t>
            </w:r>
          </w:p>
        </w:tc>
      </w:tr>
      <w:tr>
        <w:tc>
          <w:tcPr>
            <w:shd w:val="clear" w:color="auto" w:fill="E7E6E6"/>
            <w:vAlign w:val="center"/>
            <w:tcW w:type="dxa" w:w="4020"/>
          </w:tcPr>
          <w:p>
            <w:pPr>
              <w:pStyle w:val="Compact"/>
              <w:jc w:val="left"/>
            </w:pPr>
            <w:r>
              <w:rPr>
                <w:rFonts w:ascii="Times New Roman" w:hAnsi="Times New Roman" w:cs="Times New Roman" w:eastAsia="Times New Roman"/>
                <w:sz w:val="20"/>
              </w:rPr>
              <w:t xml:space="preserve">Beagle 5.5</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2.548</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197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17.6 GB</w:t>
            </w:r>
          </w:p>
        </w:tc>
        <w:tc>
          <w:tcPr>
            <w:shd w:val="clear" w:color="auto" w:fill="E7E6E6"/>
            <w:vAlign w:val="center"/>
            <w:tcW w:type="dxa" w:w="785"/>
          </w:tcPr>
          <w:p>
            <w:pPr>
              <w:pStyle w:val="Compact"/>
              <w:jc w:val="center"/>
            </w:pPr>
            <w:r>
              <w:rPr>
                <w:rFonts w:ascii="Times New Roman" w:hAnsi="Times New Roman" w:cs="Times New Roman" w:eastAsia="Times New Roman"/>
                <w:b/>
                <w:bCs/>
                <w:sz w:val="20"/>
              </w:rPr>
              <w:t xml:space="preserve">1.865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846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44.9 GB</w:t>
            </w:r>
          </w:p>
        </w:tc>
      </w:tr>
      <w:tr>
        <w:tc>
          <w:tcPr>
            <w:shd w:val="clear" w:color="auto" w:fill="FFFFFF"/>
            <w:vAlign w:val="center"/>
            <w:tcW w:type="dxa" w:w="4020"/>
          </w:tcPr>
          <w:p>
            <w:pPr>
              <w:pStyle w:val="Compact"/>
              <w:jc w:val="left"/>
            </w:pPr>
            <w:r>
              <w:rPr>
                <w:rFonts w:ascii="Times New Roman" w:hAnsi="Times New Roman" w:cs="Times New Roman" w:eastAsia="Times New Roman"/>
                <w:sz w:val="20"/>
              </w:rPr>
              <w:t xml:space="preserve">Selphi 2 haploid</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2.569</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591 s</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37.4 GB</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1,651 s</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78.9 GB</w:t>
            </w:r>
          </w:p>
        </w:tc>
      </w:tr>
      <w:tr>
        <w:tc>
          <w:tcPr>
            <w:shd w:val="clear" w:color="auto" w:fill="E7E6E6"/>
            <w:vAlign w:val="center"/>
            <w:tcW w:type="dxa" w:w="4020"/>
          </w:tcPr>
          <w:p>
            <w:pPr>
              <w:pStyle w:val="Compact"/>
              <w:jc w:val="left"/>
            </w:pPr>
            <w:r>
              <w:rPr>
                <w:rFonts w:ascii="Times New Roman" w:hAnsi="Times New Roman" w:cs="Times New Roman" w:eastAsia="Times New Roman"/>
                <w:sz w:val="20"/>
              </w:rPr>
              <w:t xml:space="preserve">SHAPEIT5 v5.1.1 (full)</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2.611</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277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5.9 GB</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1.935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622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31.0 GB</w:t>
            </w:r>
          </w:p>
        </w:tc>
      </w:tr>
    </w:tbl>
    <w:p>
      <w:pPr>
        <w:pStyle w:val="BodyText"/>
        <w:jc w:val="both"/>
      </w:pPr>
      <w:r>
        <w:rPr>
          <w:rFonts w:ascii="Times New Roman" w:hAnsi="Times New Roman" w:cs="Times New Roman" w:eastAsia="Times New Roman"/>
        </w:rPr>
        <w:t xml:space="preserve">The two Selphi 2 engines tie on chr1 (1.876% each) and are within 0.05 percentage points on chr22 (diploid 2.521% versus haploid 2.569%). On admixed biobank-scale data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the two engines remain close: the haploid engine attains overall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0.6156 versus the diploid engine's 0.6148, a gap of +0.0008, effectively tied on this cohort. We discuss the interpretation of this engine-by-cohort behaviour in the Discussion.</w:t>
      </w:r>
    </w:p>
    <w:p>
      <w:pPr>
        <w:pStyle w:val="BodyText"/>
        <w:jc w:val="both"/>
      </w:pPr>
      <w:r>
        <w:rPr>
          <w:rFonts w:ascii="Times New Roman" w:hAnsi="Times New Roman" w:cs="Times New Roman" w:eastAsia="Times New Roman"/>
          <w:b/>
          <w:bCs/>
        </w:rPr>
        <w:t xml:space="preserve">Pedigree-aware phasing.</w:t>
      </w:r>
      <w:r>
        <w:rPr>
          <w:rFonts w:ascii="Times New Roman" w:hAnsi="Times New Roman" w:cs="Times New Roman" w:eastAsia="Times New Roman"/>
        </w:rPr>
        <w:t xml:space="preserve"> </w:t>
      </w:r>
      <w:r>
        <w:rPr>
          <w:rFonts w:ascii="Times New Roman" w:hAnsi="Times New Roman" w:cs="Times New Roman" w:eastAsia="Times New Roman"/>
        </w:rPr>
        <w:t xml:space="preserve">When trios or duos are available, Selphi 2 applies the Mendelian constraints implied by the pedigree before the HMM (Methods,</w:t>
      </w:r>
      <w:r>
        <w:rPr>
          <w:rFonts w:ascii="Times New Roman" w:hAnsi="Times New Roman" w:cs="Times New Roman" w:eastAsia="Times New Roman"/>
        </w:rPr>
        <w:t xml:space="preserve"> </w:t>
      </w:r>
      <w:r>
        <w:rPr>
          <w:rFonts w:ascii="Times New Roman" w:hAnsi="Times New Roman" w:cs="Times New Roman" w:eastAsia="Times New Roman"/>
          <w:i/>
          <w:iCs/>
        </w:rPr>
        <w:t xml:space="preserve">Pedigree scaffolding</w:t>
      </w:r>
      <w:r>
        <w:rPr>
          <w:rFonts w:ascii="Times New Roman" w:hAnsi="Times New Roman" w:cs="Times New Roman" w:eastAsia="Times New Roman"/>
        </w:rPr>
        <w:t xml:space="preserve">). To quantify the benefit, we re-phased the same 54 children together with their parents (162 individuals) against the no-trios panel with the pedigree supplied (</w:t>
      </w:r>
      <w:r>
        <w:rPr>
          <w:rFonts w:ascii="Times New Roman" w:hAnsi="Times New Roman" w:cs="Times New Roman" w:eastAsia="Times New Roman"/>
          <w:rStyle w:val="VerbatimChar"/>
        </w:rPr>
        <w:t xml:space="preserve">--ped</w:t>
      </w:r>
      <w:r>
        <w:rPr>
          <w:rFonts w:ascii="Times New Roman" w:hAnsi="Times New Roman" w:cs="Times New Roman" w:eastAsia="Times New Roman"/>
        </w:rPr>
        <w:t xml:space="preserve">), and compared against the parent-free phasing above. On chromosome 22 the pedigree scaffold lowered Selphi 2's mean switch-error rate from 2.521% to 0.849% (a 66% reduction), while the same pedigree lowered Beagle 5.5's SER from 2.548% to 1.050% and SHAPEIT5's (full pipeline,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from 2.599% to 0.000% (Table 4b). Crucially, this pedigree benefit is consistent at the level of individual trios: Selphi 2's pedigree-aware phasing achieved a lower switch-error rate than Beagle's in 52 of 54 trios on chromosome 22 (paired Δ = -0.20 pp, 95% CI [-0.23, -0.17]) and in all 54 of 54 trios on chromosome 1 (where the pedigree lowered Selphi 2 from 1.876% to 0.335% and Beagle from 1.865% to 0.429%; Δ = -0.09 pp, [-0.10, -0.08]), so among the two probabilistic scaffolders Selphi 2 makes the more effective use of the pedigree.</w:t>
      </w:r>
    </w:p>
    <w:p>
      <w:pPr>
        <w:pStyle w:val="BodyText"/>
        <w:jc w:val="both"/>
      </w:pPr>
      <w:r>
        <w:rPr>
          <w:rFonts w:ascii="Times New Roman" w:hAnsi="Times New Roman" w:cs="Times New Roman" w:eastAsia="Times New Roman"/>
        </w:rPr>
        <w:t xml:space="preserve">Switch-error rates measured</w:t>
      </w:r>
      <w:r>
        <w:rPr>
          <w:rFonts w:ascii="Times New Roman" w:hAnsi="Times New Roman" w:cs="Times New Roman" w:eastAsia="Times New Roman"/>
        </w:rPr>
        <w:t xml:space="preserve"> </w:t>
      </w:r>
      <w:r>
        <w:rPr>
          <w:rFonts w:ascii="Times New Roman" w:hAnsi="Times New Roman" w:cs="Times New Roman" w:eastAsia="Times New Roman"/>
          <w:i/>
          <w:iCs/>
        </w:rPr>
        <w:t xml:space="preserve">with</w:t>
      </w:r>
      <w:r>
        <w:rPr>
          <w:rFonts w:ascii="Times New Roman" w:hAnsi="Times New Roman" w:cs="Times New Roman" w:eastAsia="Times New Roman"/>
        </w:rPr>
        <w:t xml:space="preserve"> </w:t>
      </w:r>
      <w:r>
        <w:rPr>
          <w:rFonts w:ascii="Times New Roman" w:hAnsi="Times New Roman" w:cs="Times New Roman" w:eastAsia="Times New Roman"/>
        </w:rPr>
        <w:t xml:space="preserve">pedigree information are only partially independent of the phasing, because the parent-of-origin truth phase is itself derived from the parental genotypes that pedigree-aware phasing also uses: a method that commits the child's phase rigidly to the Mendelian-implied configuration at every informative site reports a switch-error rate approaching zero by construction, as SHAPEIT5's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--pedigree</w:t>
      </w:r>
      <w:r>
        <w:rPr>
          <w:rFonts w:ascii="Times New Roman" w:hAnsi="Times New Roman" w:cs="Times New Roman" w:eastAsia="Times New Roman"/>
        </w:rPr>
        <w:t xml:space="preserve"> </w:t>
      </w:r>
      <w:r>
        <w:rPr>
          <w:rFonts w:ascii="Times New Roman" w:hAnsi="Times New Roman" w:cs="Times New Roman" w:eastAsia="Times New Roman"/>
        </w:rPr>
        <w:t xml:space="preserve">mode does here (0.000%). Selphi 2 and Beagle 5.5 instead treat the pedigree as a soft scaffold that still admits HMM-driven phasing where the trio is uninformative (both parents heterozygous), so their residual switch-error rates remain meaningful. The parent-free comparison (Table 4) is therefore the unconfounded measure of phasing quality. There the three tools are close: on chromosome 22 Selphi 2's diploid engine is statistically indistinguishable from Beagle 5.5 (paired Δ = -0.027 pp, 95% CI [-0.056, +0.002], lower in 30 of 54 trios) and significantly lower than SHAPEIT5 (Δ = -0.078 pp on the SHAPEIT5 run reported in Table 4b, within the ≤0.012 pp run-to-run range of Table 4's headline value; 95% CI [-0.104, -0.053], 44 of 54 trios), while on chromosome 1 Beagle 5.5 is marginally lowest but again not significantly different from Selphi 2 (Δ = +0.011 pp, [-0.000, +0.027]).</w:t>
      </w:r>
    </w:p>
    <w:p>
      <w:pPr>
        <w:pStyle w:val="BodyText"/>
        <w:jc w:val="both"/>
      </w:pPr>
      <w:r>
        <w:rPr>
          <w:rFonts w:ascii="Times New Roman" w:hAnsi="Times New Roman" w:cs="Times New Roman" w:eastAsia="Times New Roman"/>
        </w:rPr>
        <w:t xml:space="preserve">To confirm that the pedigree improves phasing in a way that is real rather than an artifact of this circularity, we measured downstream imputation accuracy against a fully independent truth: each child's own high-coverage WGS, which does not enter the phasing. We masked the 54 children to a consumer-array site set (Illumina GSA), phased the masked target with and without the pedigree, imputed the result against the no-trios panel with a single fixed imputer (Selphi 2), and scored imputed-only sites against the child's WGS. Pedigree-aware phasing raised imputation accuracy for every phaser on both chromosomes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+0.016 to +0.022 on chromosome 22 and +0.013 to +0.018 on chromosome 1; Table 4c). The paired per-sample gains are significant for all three phasers: on chromosome 22 +0.0048 for Selphi 2 (95% CI [+0.0032, +0.0063], 46 of 54 samples), +0.0079 for Beagle and +0.0079 for SHAPEIT5, and on chromosome 1 +0.0035, +0.0046 and +0.0036 respectively (all 54 of 54 samples; every CI excludes zero). Because the truth is the child's own genome rather than the parents, this is an out-of-sample confirmation that the pedigree yields genuinely better haplotypes for downstream imputation; without it the three phasers are practically interchangeable as imputation input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within 0.002), so the gain reflects the pedigree information itself rather than the choice of phasing tool.</w:t>
      </w:r>
    </w:p>
    <w:p>
      <w:pPr>
        <w:pStyle w:val="BodyText"/>
        <w:jc w:val="both"/>
      </w:pPr>
      <w:r>
        <w:rPr>
          <w:rFonts w:ascii="Times New Roman" w:hAnsi="Times New Roman" w:cs="Times New Roman" w:eastAsia="Times New Roman"/>
          <w:b/>
          <w:bCs/>
        </w:rPr>
        <w:t xml:space="preserve">Table 4b. Pedigree-aware phasing: switch-error rate with and without trio pedigree.</w:t>
      </w:r>
      <w:r>
        <w:rPr>
          <w:rFonts w:ascii="Times New Roman" w:hAnsi="Times New Roman" w:cs="Times New Roman" w:eastAsia="Times New Roman"/>
        </w:rPr>
        <w:t xml:space="preserve"> </w:t>
      </w:r>
      <w:r>
        <w:rPr>
          <w:rFonts w:ascii="Times New Roman" w:hAnsi="Times New Roman" w:cs="Times New Roman" w:eastAsia="Times New Roman"/>
        </w:rPr>
        <w:t xml:space="preserve">The same 54 trio children were phased against the 2,239-sample no-trios reference panel either alone (no pedigree) or jointly with their parents (162 individuals) with the trio pedigree supplied. SER computed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w:t>
      </w:r>
      <w:r>
        <w:rPr>
          <w:rFonts w:ascii="Times New Roman" w:hAnsi="Times New Roman" w:cs="Times New Roman" w:eastAsia="Times New Roman"/>
        </w:rPr>
        <w:t xml:space="preserve">(column nSwitch %) against the parent-of-origin truth, reported as the mean of per-trio switch-error rates (equal weight per trio, n = 54) over an identical 1,992,617-site testable set for every tool. SHAPEIT5 is the full pipeline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at MAF ≥ 0.001 then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The no-pedigree columns reproduce the experiment of Table 4 (Selphi 2 and Beagle 5.5 identical; SHAPEIT5 within 0.012 pp of Table 4's independent run); paired significance is given in the text. Pedigree-aware SER is partially circular (see text); the no-pedigree columns are the unconfounded comparison and Table 4c is the independent confirmation.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960"/>
        <w:gridCol w:w="1100"/>
        <w:gridCol w:w="1100"/>
        <w:gridCol w:w="1100"/>
        <w:gridCol w:w="1100"/>
      </w:tblGrid>
      <w:tr>
        <w:trPr>
          <w:tblHeader w:val="on"/>
        </w:trPr>
        <w:tc>
          <w:tcPr>
            <w:shd w:val="clear" w:color="auto" w:fill="595959"/>
            <w:vAlign w:val="center"/>
            <w:tcW w:type="dxa" w:w="4960"/>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chr22 SER, no pedigree (%)</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chr22 SER, + pedigree (%)</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chr1 SER, no pedigree (%)</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chr1 SER, + pedigree (%)</w:t>
            </w:r>
          </w:p>
        </w:tc>
      </w:tr>
      <w:tr>
        <w:tc>
          <w:tcPr>
            <w:shd w:val="clear" w:color="auto" w:fill="FFFFFF"/>
            <w:vAlign w:val="center"/>
            <w:tcW w:type="dxa" w:w="4960"/>
          </w:tcPr>
          <w:p>
            <w:pPr>
              <w:pStyle w:val="Compact"/>
              <w:jc w:val="left"/>
            </w:pPr>
            <w:r>
              <w:rPr>
                <w:rFonts w:ascii="Times New Roman" w:hAnsi="Times New Roman" w:cs="Times New Roman" w:eastAsia="Times New Roman"/>
                <w:sz w:val="20"/>
              </w:rPr>
              <w:t xml:space="preserve">Selphi 2 (diploid)</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2.521</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0.849</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0.335</w:t>
            </w:r>
          </w:p>
        </w:tc>
      </w:tr>
      <w:tr>
        <w:tc>
          <w:tcPr>
            <w:shd w:val="clear" w:color="auto" w:fill="E7E6E6"/>
            <w:vAlign w:val="center"/>
            <w:tcW w:type="dxa" w:w="4960"/>
          </w:tcPr>
          <w:p>
            <w:pPr>
              <w:pStyle w:val="Compact"/>
              <w:jc w:val="left"/>
            </w:pPr>
            <w:r>
              <w:rPr>
                <w:rFonts w:ascii="Times New Roman" w:hAnsi="Times New Roman" w:cs="Times New Roman" w:eastAsia="Times New Roman"/>
                <w:sz w:val="20"/>
              </w:rPr>
              <w:t xml:space="preserve">Beagle 5.5</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2.548</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1.050</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1.865</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0.429</w:t>
            </w:r>
          </w:p>
        </w:tc>
      </w:tr>
      <w:tr>
        <w:tc>
          <w:tcPr>
            <w:shd w:val="clear" w:color="auto" w:fill="FFFFFF"/>
            <w:vAlign w:val="center"/>
            <w:tcW w:type="dxa" w:w="4960"/>
          </w:tcPr>
          <w:p>
            <w:pPr>
              <w:pStyle w:val="Compact"/>
              <w:jc w:val="left"/>
            </w:pPr>
            <w:r>
              <w:rPr>
                <w:rFonts w:ascii="Times New Roman" w:hAnsi="Times New Roman" w:cs="Times New Roman" w:eastAsia="Times New Roman"/>
                <w:sz w:val="20"/>
              </w:rPr>
              <w:t xml:space="preserve">SHAPEIT5 v5.1.1 (full)</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2.599</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0.000*</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1.935</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0.000*</w:t>
            </w:r>
          </w:p>
        </w:tc>
      </w:tr>
    </w:tbl>
    <w:p>
      <w:pPr>
        <w:pStyle w:val="BodyText"/>
        <w:jc w:val="both"/>
      </w:pPr>
      <w:r>
        <w:rPr>
          <w:rFonts w:ascii="Times New Roman" w:hAnsi="Times New Roman" w:cs="Times New Roman" w:eastAsia="Times New Roman"/>
        </w:rPr>
        <w:t xml:space="preserve">*0.000% reflects rigid commitment of the child's phase to the Mendelian configuration, not error-free phasing (see text).</w:t>
      </w:r>
    </w:p>
    <w:p>
      <w:pPr>
        <w:pStyle w:val="BodyText"/>
        <w:jc w:val="both"/>
      </w:pPr>
      <w:r>
        <w:rPr>
          <w:rFonts w:ascii="Times New Roman" w:hAnsi="Times New Roman" w:cs="Times New Roman" w:eastAsia="Times New Roman"/>
          <w:b/>
          <w:bCs/>
        </w:rPr>
        <w:t xml:space="preserve">Table 4c. Pedigree benefit measured by downstream imputation against an independent truth.</w:t>
      </w:r>
      <w:r>
        <w:rPr>
          <w:rFonts w:ascii="Times New Roman" w:hAnsi="Times New Roman" w:cs="Times New Roman" w:eastAsia="Times New Roman"/>
        </w:rPr>
        <w:t xml:space="preserve"> </w:t>
      </w:r>
      <w:r>
        <w:rPr>
          <w:rFonts w:ascii="Times New Roman" w:hAnsi="Times New Roman" w:cs="Times New Roman" w:eastAsia="Times New Roman"/>
        </w:rPr>
        <w:t xml:space="preserve">The 54 trio children were masked to a consumer-array site set (Illumina GSA; 9,283 sites on chromosome 22, 49,977 on chromosome 1), phased with and without the trio pedigree, imputed against the 2,239-sample no-trios panel with a single fixed imputer (Selphi 2), and scored on imputed-only sites against each child's own high-coverage WGS, which is independent of the parents. Values are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only the phasing input varies between rows. The paired per-sample gains from the pedigree are significant for every phaser (chromosome 22 +0.0048 to +0.0079; chromosome 1 +0.0035 to +0.0046; all 95% CIs exclude zero; 46-54 of 54 samples).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3528"/>
        <w:gridCol w:w="1458"/>
        <w:gridCol w:w="1458"/>
        <w:gridCol w:w="1458"/>
        <w:gridCol w:w="1458"/>
      </w:tblGrid>
      <w:tr>
        <w:trPr>
          <w:tblHeader w:val="on"/>
        </w:trPr>
        <w:tc>
          <w:tcPr>
            <w:shd w:val="clear" w:color="auto" w:fill="595959"/>
            <w:vAlign w:val="center"/>
            <w:tcW w:type="dxa" w:w="3528"/>
          </w:tcPr>
          <w:p>
            <w:pPr>
              <w:pStyle w:val="Compact"/>
              <w:jc w:val="center"/>
            </w:pPr>
            <w:r>
              <w:rPr>
                <w:rFonts w:ascii="Times New Roman" w:hAnsi="Times New Roman" w:cs="Times New Roman" w:eastAsia="Times New Roman"/>
                <w:b/>
                <w:color w:val="FFFFFF"/>
                <w:sz w:val="20"/>
              </w:rPr>
              <w:t xml:space="preserve">Phasing</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chr22</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no ped</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chr22</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 ped</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chr1</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no ped</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chr1</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 ped</w:t>
            </w:r>
          </w:p>
        </w:tc>
      </w:tr>
      <w:tr>
        <w:tc>
          <w:tcPr>
            <w:shd w:val="clear" w:color="auto" w:fill="FFFFFF"/>
            <w:vAlign w:val="center"/>
            <w:tcW w:type="dxa" w:w="3528"/>
          </w:tcPr>
          <w:p>
            <w:pPr>
              <w:pStyle w:val="Compact"/>
              <w:jc w:val="center"/>
            </w:pPr>
            <w:r>
              <w:rPr>
                <w:rFonts w:ascii="Times New Roman" w:hAnsi="Times New Roman" w:cs="Times New Roman" w:eastAsia="Times New Roman"/>
                <w:sz w:val="20"/>
              </w:rPr>
              <w:t xml:space="preserve">Selphi 2 (diploid)</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0.7495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0.7659</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0.8425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0.8570</w:t>
            </w:r>
          </w:p>
        </w:tc>
      </w:tr>
      <w:tr>
        <w:tc>
          <w:tcPr>
            <w:shd w:val="clear" w:color="auto" w:fill="E7E6E6"/>
            <w:vAlign w:val="center"/>
            <w:tcW w:type="dxa" w:w="3528"/>
          </w:tcPr>
          <w:p>
            <w:pPr>
              <w:pStyle w:val="Compact"/>
              <w:jc w:val="center"/>
            </w:pPr>
            <w:r>
              <w:rPr>
                <w:rFonts w:ascii="Times New Roman" w:hAnsi="Times New Roman" w:cs="Times New Roman" w:eastAsia="Times New Roman"/>
                <w:sz w:val="20"/>
              </w:rPr>
              <w:t xml:space="preserve">Beagle 5.5</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0.7508</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0.7729</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0.8414</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0.8592</w:t>
            </w:r>
          </w:p>
        </w:tc>
      </w:tr>
      <w:tr>
        <w:tc>
          <w:tcPr>
            <w:shd w:val="clear" w:color="auto" w:fill="FFFFFF"/>
            <w:vAlign w:val="center"/>
            <w:tcW w:type="dxa" w:w="3528"/>
          </w:tcPr>
          <w:p>
            <w:pPr>
              <w:pStyle w:val="Compact"/>
              <w:jc w:val="center"/>
            </w:pPr>
            <w:r>
              <w:rPr>
                <w:rFonts w:ascii="Times New Roman" w:hAnsi="Times New Roman" w:cs="Times New Roman" w:eastAsia="Times New Roman"/>
                <w:sz w:val="20"/>
              </w:rPr>
              <w:t xml:space="preserve">SHAPEIT5 v5.1.1</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0.7515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0.7680</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0.8425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0.8551</w:t>
            </w:r>
          </w:p>
        </w:tc>
      </w:tr>
    </w:tbl>
    <w:p>
      <w:pPr>
        <w:pStyle w:val="Heading2"/>
        <w:jc w:val="both"/>
      </w:pPr>
      <w:r>
        <w:rPr>
          <w:rFonts w:ascii="Times New Roman" w:hAnsi="Times New Roman" w:cs="Times New Roman" w:eastAsia="Times New Roman"/>
          <w:b/>
          <w:bCs/>
        </w:rPr>
        <w:t xml:space="preserve">Computational efficiency</w:t>
      </w:r>
    </w:p>
    <w:p>
      <w:pPr>
        <w:pStyle w:val="FirstParagraph"/>
        <w:jc w:val="both"/>
      </w:pPr>
      <w:r>
        <w:rPr>
          <w:rFonts w:ascii="Times New Roman" w:hAnsi="Times New Roman" w:cs="Times New Roman" w:eastAsia="Times New Roman"/>
        </w:rPr>
        <w:t xml:space="preserve">Table 5 summarizes wall time and peak resident memory for Selphi 2, Selphi 1.5.3, and Beagle on the three reference panels evaluated above, on the same machine (16 threads) and on identical inputs; a fuller per-benchmark breakdown, including the lcWGS runs, is in Supplementary Table S6.</w:t>
      </w:r>
    </w:p>
    <w:p>
      <w:pPr>
        <w:pStyle w:val="BodyText"/>
        <w:jc w:val="both"/>
      </w:pPr>
      <w:r>
        <w:rPr>
          <w:rFonts w:ascii="Times New Roman" w:hAnsi="Times New Roman" w:cs="Times New Roman" w:eastAsia="Times New Roman"/>
          <w:b/>
          <w:bCs/>
        </w:rPr>
        <w:t xml:space="preserve">Table 5. Wall time and peak memory.</w:t>
      </w:r>
      <w:r>
        <w:rPr>
          <w:rFonts w:ascii="Times New Roman" w:hAnsi="Times New Roman" w:cs="Times New Roman" w:eastAsia="Times New Roman"/>
        </w:rPr>
        <w:t xml:space="preserve"> </w:t>
      </w:r>
      <w:r>
        <w:rPr>
          <w:rFonts w:ascii="Times New Roman" w:hAnsi="Times New Roman" w:cs="Times New Roman" w:eastAsia="Times New Roman"/>
        </w:rPr>
        <w:t xml:space="preserve">All numbers measured on a single workstation (16-thread CPU) with /usr/bin/time -v; Selphi 1.5.3 memory measured via docker stats. The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row reflects Selphi 2 at its panel-adaptive default</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(132,676) and Beagle 5.5 at its default settings, both consuming an unphased chip target and producing imputed dosages. On the 1000 Genomes 801-sample impute-only benchmark Selphi 1.5.3 (run with its published chunked-reference setting) completed both chromosomes but 22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(chr22) to 41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(chr1) slower than Selphi 2 at comparable peak memory. Selphi 1.5.3 requires a pre-phased target and does not perform phasing, so on the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benchmark it runs impute-only (given a phased target), completing in ~4 h 18 min at ~98 GB; the Selphi 2 and Beagle figures in that row are the full phase-plus-impute pipeline. The Beagle column is Beagle 5.5 (build 03 Oct 2025) throughout.</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3051"/>
        <w:gridCol w:w="2045"/>
        <w:gridCol w:w="2324"/>
        <w:gridCol w:w="1940"/>
      </w:tblGrid>
      <w:tr>
        <w:trPr>
          <w:tblHeader w:val="on"/>
        </w:trPr>
        <w:tc>
          <w:tcPr>
            <w:shd w:val="clear" w:color="auto" w:fill="595959"/>
            <w:vAlign w:val="center"/>
            <w:tcW w:type="dxa" w:w="3051"/>
          </w:tcPr>
          <w:p>
            <w:pPr>
              <w:pStyle w:val="Compact"/>
              <w:jc w:val="center"/>
            </w:pPr>
            <w:r>
              <w:rPr>
                <w:rFonts w:ascii="Times New Roman" w:hAnsi="Times New Roman" w:cs="Times New Roman" w:eastAsia="Times New Roman"/>
                <w:b/>
                <w:color w:val="FFFFFF"/>
                <w:sz w:val="20"/>
              </w:rPr>
              <w:t xml:space="preserve">Benchmark</w:t>
            </w:r>
          </w:p>
        </w:tc>
        <w:tc>
          <w:tcPr>
            <w:shd w:val="clear" w:color="auto" w:fill="595959"/>
            <w:vAlign w:val="center"/>
            <w:tcW w:type="dxa" w:w="204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324"/>
          </w:tcPr>
          <w:p>
            <w:pPr>
              <w:pStyle w:val="Compact"/>
              <w:jc w:val="center"/>
            </w:pPr>
            <w:r>
              <w:rPr>
                <w:rFonts w:ascii="Times New Roman" w:hAnsi="Times New Roman" w:cs="Times New Roman" w:eastAsia="Times New Roman"/>
                <w:b/>
                <w:color w:val="FFFFFF"/>
                <w:sz w:val="20"/>
              </w:rPr>
              <w:t xml:space="preserve">Selphi 1.5.3</w:t>
            </w:r>
          </w:p>
        </w:tc>
        <w:tc>
          <w:tcPr>
            <w:shd w:val="clear" w:color="auto" w:fill="595959"/>
            <w:vAlign w:val="center"/>
            <w:tcW w:type="dxa" w:w="1940"/>
          </w:tcPr>
          <w:p>
            <w:pPr>
              <w:pStyle w:val="Compact"/>
              <w:jc w:val="center"/>
            </w:pPr>
            <w:r>
              <w:rPr>
                <w:rFonts w:ascii="Times New Roman" w:hAnsi="Times New Roman" w:cs="Times New Roman" w:eastAsia="Times New Roman"/>
                <w:b/>
                <w:color w:val="FFFFFF"/>
                <w:sz w:val="20"/>
              </w:rPr>
              <w:t xml:space="preserve">Beagle</w:t>
            </w:r>
          </w:p>
        </w:tc>
      </w:tr>
      <w:tr>
        <w:tc>
          <w:tcPr>
            <w:shd w:val="clear" w:color="auto" w:fill="FFFFFF"/>
            <w:vAlign w:val="center"/>
            <w:tcW w:type="dxa" w:w="3051"/>
          </w:tcPr>
          <w:p>
            <w:pPr>
              <w:pStyle w:val="Compact"/>
              <w:jc w:val="left"/>
            </w:pPr>
            <w:r>
              <w:rPr>
                <w:rFonts w:ascii="Times New Roman" w:hAnsi="Times New Roman" w:cs="Times New Roman" w:eastAsia="Times New Roman"/>
                <w:sz w:val="20"/>
              </w:rPr>
              <w:t xml:space="preserve">chr22 1KG 801s (impute-only, phased input)</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69 s / 13.2 GB</w:t>
            </w:r>
          </w:p>
        </w:tc>
        <w:tc>
          <w:tcPr>
            <w:shd w:val="clear" w:color="auto" w:fill="FFFFFF"/>
            <w:vAlign w:val="center"/>
            <w:tcW w:type="dxa" w:w="2324"/>
          </w:tcPr>
          <w:p>
            <w:pPr>
              <w:pStyle w:val="Compact"/>
              <w:jc w:val="left"/>
            </w:pPr>
            <w:r>
              <w:rPr>
                <w:rFonts w:ascii="Times New Roman" w:hAnsi="Times New Roman" w:cs="Times New Roman" w:eastAsia="Times New Roman"/>
                <w:sz w:val="20"/>
              </w:rPr>
              <w:t xml:space="preserve">1,532 s / 15.6 GB</w:t>
            </w:r>
          </w:p>
        </w:tc>
        <w:tc>
          <w:tcPr>
            <w:shd w:val="clear" w:color="auto" w:fill="FFFFFF"/>
            <w:vAlign w:val="center"/>
            <w:tcW w:type="dxa" w:w="1940"/>
          </w:tcPr>
          <w:p>
            <w:pPr>
              <w:pStyle w:val="Compact"/>
              <w:jc w:val="center"/>
            </w:pPr>
            <w:r>
              <w:rPr>
                <w:rFonts w:ascii="Times New Roman" w:hAnsi="Times New Roman" w:cs="Times New Roman" w:eastAsia="Times New Roman"/>
                <w:sz w:val="20"/>
              </w:rPr>
              <w:t xml:space="preserve">58 s / 21.7 GB</w:t>
            </w:r>
          </w:p>
        </w:tc>
      </w:tr>
      <w:tr>
        <w:tc>
          <w:tcPr>
            <w:shd w:val="clear" w:color="auto" w:fill="E7E6E6"/>
            <w:vAlign w:val="center"/>
            <w:tcW w:type="dxa" w:w="3051"/>
          </w:tcPr>
          <w:p>
            <w:pPr>
              <w:pStyle w:val="Compact"/>
              <w:jc w:val="left"/>
            </w:pPr>
            <w:r>
              <w:rPr>
                <w:rFonts w:ascii="Times New Roman" w:hAnsi="Times New Roman" w:cs="Times New Roman" w:eastAsia="Times New Roman"/>
                <w:sz w:val="20"/>
              </w:rPr>
              <w:t xml:space="preserve">chr1 1KG 801s (impute-only, phased input)</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373 s / 21.9 GB</w:t>
            </w:r>
          </w:p>
        </w:tc>
        <w:tc>
          <w:tcPr>
            <w:shd w:val="clear" w:color="auto" w:fill="E7E6E6"/>
            <w:vAlign w:val="center"/>
            <w:tcW w:type="dxa" w:w="2324"/>
          </w:tcPr>
          <w:p>
            <w:pPr>
              <w:pStyle w:val="Compact"/>
              <w:jc w:val="left"/>
            </w:pPr>
            <w:r>
              <w:rPr>
                <w:rFonts w:ascii="Times New Roman" w:hAnsi="Times New Roman" w:cs="Times New Roman" w:eastAsia="Times New Roman"/>
                <w:sz w:val="20"/>
              </w:rPr>
              <w:t xml:space="preserve">15,338 s / 32.6 GB</w:t>
            </w:r>
          </w:p>
        </w:tc>
        <w:tc>
          <w:tcPr>
            <w:shd w:val="clear" w:color="auto" w:fill="E7E6E6"/>
            <w:vAlign w:val="center"/>
            <w:tcW w:type="dxa" w:w="1940"/>
          </w:tcPr>
          <w:p>
            <w:pPr>
              <w:pStyle w:val="Compact"/>
              <w:jc w:val="center"/>
            </w:pPr>
            <w:r>
              <w:rPr>
                <w:rFonts w:ascii="Times New Roman" w:hAnsi="Times New Roman" w:cs="Times New Roman" w:eastAsia="Times New Roman"/>
                <w:sz w:val="20"/>
              </w:rPr>
              <w:t xml:space="preserve">207 s / 20.2 GB</w:t>
            </w:r>
          </w:p>
        </w:tc>
      </w:tr>
      <w:tr>
        <w:tc>
          <w:tcPr>
            <w:shd w:val="clear" w:color="auto" w:fill="FFFFFF"/>
            <w:vAlign w:val="center"/>
            <w:tcW w:type="dxa" w:w="3051"/>
          </w:tcPr>
          <w:p>
            <w:pPr>
              <w:pStyle w:val="Compact"/>
              <w:jc w:val="left"/>
            </w:pPr>
            <w:r>
              <w:rPr>
                <w:rFonts w:ascii="Times New Roman" w:hAnsi="Times New Roman" w:cs="Times New Roman" w:eastAsia="Times New Roman"/>
                <w:sz w:val="20"/>
              </w:rPr>
              <w:t xml:space="preserve">chr21 GIAB 6 samples (impute-only)</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7.2 s / 6.2 GB</w:t>
            </w:r>
          </w:p>
        </w:tc>
        <w:tc>
          <w:tcPr>
            <w:shd w:val="clear" w:color="auto" w:fill="FFFFFF"/>
            <w:vAlign w:val="center"/>
            <w:tcW w:type="dxa" w:w="2324"/>
          </w:tcPr>
          <w:p>
            <w:pPr>
              <w:pStyle w:val="Compact"/>
              <w:jc w:val="left"/>
            </w:pPr>
            <w:r>
              <w:rPr>
                <w:rFonts w:ascii="Times New Roman" w:hAnsi="Times New Roman" w:cs="Times New Roman" w:eastAsia="Times New Roman"/>
                <w:sz w:val="20"/>
              </w:rPr>
              <w:t xml:space="preserve">112.8 s / 7.1 GB</w:t>
            </w:r>
          </w:p>
        </w:tc>
        <w:tc>
          <w:tcPr>
            <w:shd w:val="clear" w:color="auto" w:fill="FFFFFF"/>
            <w:vAlign w:val="center"/>
            <w:tcW w:type="dxa" w:w="1940"/>
          </w:tcPr>
          <w:p>
            <w:pPr>
              <w:pStyle w:val="Compact"/>
              <w:jc w:val="center"/>
            </w:pPr>
            <w:r>
              <w:rPr>
                <w:rFonts w:ascii="Times New Roman" w:hAnsi="Times New Roman" w:cs="Times New Roman" w:eastAsia="Times New Roman"/>
                <w:sz w:val="20"/>
              </w:rPr>
              <w:t xml:space="preserve">12.5 s / 14.5 GB</w:t>
            </w:r>
          </w:p>
        </w:tc>
      </w:tr>
      <w:tr>
        <w:tc>
          <w:tcPr>
            <w:shd w:val="clear" w:color="auto" w:fill="E7E6E6"/>
            <w:vAlign w:val="center"/>
            <w:tcW w:type="dxa" w:w="3051"/>
          </w:tcPr>
          <w:p>
            <w:pPr>
              <w:pStyle w:val="Compact"/>
              <w:jc w:val="left"/>
            </w:pPr>
            <w:r>
              <w:rPr>
                <w:rFonts w:ascii="Times New Roman" w:hAnsi="Times New Roman" w:cs="Times New Roman" w:eastAsia="Times New Roman"/>
                <w:sz w:val="20"/>
              </w:rPr>
              <w:t xml:space="preserve">chr1 GIAB 6 samples (impute-only)</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38.8 s / 16.3 GB</w:t>
            </w:r>
          </w:p>
        </w:tc>
        <w:tc>
          <w:tcPr>
            <w:shd w:val="clear" w:color="auto" w:fill="E7E6E6"/>
            <w:vAlign w:val="center"/>
            <w:tcW w:type="dxa" w:w="2324"/>
          </w:tcPr>
          <w:p>
            <w:pPr>
              <w:pStyle w:val="Compact"/>
              <w:jc w:val="left"/>
            </w:pPr>
            <w:r>
              <w:rPr>
                <w:rFonts w:ascii="Times New Roman" w:hAnsi="Times New Roman" w:cs="Times New Roman" w:eastAsia="Times New Roman"/>
                <w:sz w:val="20"/>
              </w:rPr>
              <w:t xml:space="preserve">1923 s / 22.1 GB</w:t>
            </w:r>
          </w:p>
        </w:tc>
        <w:tc>
          <w:tcPr>
            <w:shd w:val="clear" w:color="auto" w:fill="E7E6E6"/>
            <w:vAlign w:val="center"/>
            <w:tcW w:type="dxa" w:w="1940"/>
          </w:tcPr>
          <w:p>
            <w:pPr>
              <w:pStyle w:val="Compact"/>
              <w:jc w:val="center"/>
            </w:pPr>
            <w:r>
              <w:rPr>
                <w:rFonts w:ascii="Times New Roman" w:hAnsi="Times New Roman" w:cs="Times New Roman" w:eastAsia="Times New Roman"/>
                <w:sz w:val="20"/>
              </w:rPr>
              <w:t xml:space="preserve">43.2 s / 39.2 GB</w:t>
            </w:r>
          </w:p>
        </w:tc>
      </w:tr>
      <w:tr>
        <w:tc>
          <w:tcPr>
            <w:shd w:val="clear" w:color="auto" w:fill="FFFFFF"/>
            <w:vAlign w:val="center"/>
            <w:tcW w:type="dxa" w:w="3051"/>
          </w:tcPr>
          <w:p>
            <w:pPr>
              <w:pStyle w:val="Compact"/>
              <w:jc w:val="left"/>
            </w:pPr>
            <w:r>
              <w:rPr>
                <w:rFonts w:ascii="Times New Roman" w:hAnsi="Times New Roman" w:cs="Times New Roman" w:eastAsia="Times New Roman"/>
                <w:sz w:val="20"/>
              </w:rPr>
              <w:t xml:space="preserve">MESA 5K</w:t>
            </w:r>
            <w:r>
              <w:rPr>
                <w:rFonts w:ascii="Times New Roman" w:hAnsi="Times New Roman" w:cs="Times New Roman" w:eastAsia="Times New Roman"/>
                <w:sz w:val="20"/>
              </w:rPr>
              <w:t xml:space="preserve"> </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TOPMed chr20 (full pipeline)</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11289 s / 65.5 GB</w:t>
            </w:r>
          </w:p>
        </w:tc>
        <w:tc>
          <w:tcPr>
            <w:shd w:val="clear" w:color="auto" w:fill="FFFFFF"/>
            <w:vAlign w:val="center"/>
            <w:tcW w:type="dxa" w:w="2324"/>
          </w:tcPr>
          <w:p>
            <w:pPr>
              <w:pStyle w:val="Compact"/>
              <w:jc w:val="left"/>
            </w:pPr>
            <w:r>
              <w:rPr>
                <w:rFonts w:ascii="Times New Roman" w:hAnsi="Times New Roman" w:cs="Times New Roman" w:eastAsia="Times New Roman"/>
                <w:sz w:val="20"/>
              </w:rPr>
              <w:t xml:space="preserve">~15,480 s / ~98 GB (impute-only)</w:t>
            </w:r>
          </w:p>
        </w:tc>
        <w:tc>
          <w:tcPr>
            <w:shd w:val="clear" w:color="auto" w:fill="FFFFFF"/>
            <w:vAlign w:val="center"/>
            <w:tcW w:type="dxa" w:w="1940"/>
          </w:tcPr>
          <w:p>
            <w:pPr>
              <w:pStyle w:val="Compact"/>
              <w:jc w:val="center"/>
            </w:pPr>
            <w:r>
              <w:rPr>
                <w:rFonts w:ascii="Times New Roman" w:hAnsi="Times New Roman" w:cs="Times New Roman" w:eastAsia="Times New Roman"/>
                <w:sz w:val="20"/>
              </w:rPr>
              <w:t xml:space="preserve">4148 s / 96.5 GB</w:t>
            </w:r>
          </w:p>
        </w:tc>
      </w:tr>
    </w:tbl>
    <w:p>
      <w:pPr>
        <w:pStyle w:val="BodyText"/>
        <w:jc w:val="center"/>
      </w:pPr>
      <w:r>
        <w:rPr>
          <w:rFonts w:ascii="Times New Roman" w:hAnsi="Times New Roman" w:cs="Times New Roman" w:eastAsia="Times New Roman"/>
        </w:rPr>
        <w:drawing>
          <wp:inline>
            <wp:extent cx="5334000" cy="1640274"/>
            <wp:effectExtent b="0" l="0" r="0" t="0"/>
            <wp:docPr descr="Figure 3" title="" id="39" name="Picture"/>
            <a:graphic>
              <a:graphicData uri="http://schemas.openxmlformats.org/drawingml/2006/picture">
                <pic:pic>
                  <pic:nvPicPr>
                    <pic:cNvPr descr="figures/figure3_efficiency.png" id="40" name="Picture"/>
                    <pic:cNvPicPr>
                      <a:picLocks noChangeArrowheads="1" noChangeAspect="1"/>
                    </pic:cNvPicPr>
                  </pic:nvPicPr>
                  <pic:blipFill>
                    <a:blip r:embed="rId38"/>
                    <a:stretch>
                      <a:fillRect/>
                    </a:stretch>
                  </pic:blipFill>
                  <pic:spPr bwMode="auto">
                    <a:xfrm>
                      <a:off x="0" y="0"/>
                      <a:ext cx="5334000" cy="1640274"/>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3. Computational efficiency.</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 Whole-genome wall time and (b) peak memory on the consumer-array benchmark (six samples against the 75,552-haplotype panel, all 22 autosomes, 16 threads, one chromosome at a time): Selphi 2's default diploid engine completes the genome in 27.7 min versus Beagle 5.5's 36.4 min (1.3</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faster) at about 25 GB versus 40 GB peak memory (~1.6</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leaner; Table 3b). (c) Per-sample low-coverage wall time for chromosome 22, all three tools measured on the entire chromosome (1</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coverage, 16 threads, same machine; log scale): 115 s for Selphi 2 versus 287 s for GLIMPSE2 (its 15 native chunks plus ligation) and 1,729 s for QUILT2 (tiled across the chromosome), so Selphi 2 is roughly 2.5</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faster than GLIMPSE2 and 15</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faster than QUILT2 (Table 6b).</w:t>
      </w:r>
    </w:p>
    <w:p>
      <w:pPr>
        <w:pStyle w:val="BodyText"/>
        <w:jc w:val="both"/>
      </w:pPr>
      <w:r>
        <w:rPr>
          <w:rFonts w:ascii="Times New Roman" w:hAnsi="Times New Roman" w:cs="Times New Roman" w:eastAsia="Times New Roman"/>
        </w:rPr>
        <w:t xml:space="preserve">Selphi 2's wall time is 16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 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lower than Selphi 1.5.3 on the imputation-only GIAB workloads, and the same gap holds at genome scale: on the multi-sample 1000 Genomes benchmark underlying Figure 2a (801 held-out samples, 20 autosomes, imputation-only, 16 threads), Selphi 2 imputes the full set in ≈1.3 h versus ≈36 h for Selphi 1.5.3 (≈27</w:t>
      </w:r>
      <m:oMath>
        <m:r>
          <m:rPr>
            <m:sty m:val="p"/>
          </m:rPr>
          <m:t>×</m:t>
        </m:r>
      </m:oMath>
      <w:r>
        <w:rPr>
          <w:rFonts w:ascii="Times New Roman" w:hAnsi="Times New Roman" w:cs="Times New Roman" w:eastAsia="Times New Roman"/>
        </w:rPr>
        <w:t xml:space="preserve">), with Selphi 1.5.3 peaking near 34 GB. Its peak memory is 39-58% lower than Beagle's on the 1000 Genomes chromosome 22 and both GIAB benchmarks, and comparable to Beagle on 1000 Genomes chromosome 1 (21.9 GB versus 20.2 GB). On the TOPMed biobank-scale run, Selphi 2 is slower than Beagle 5.5 (2.7</w:t>
      </w:r>
      <m:oMath>
        <m:r>
          <m:rPr>
            <m:sty m:val="p"/>
          </m:rPr>
          <m:t>×</m:t>
        </m:r>
      </m:oMath>
      <w:r>
        <w:rPr>
          <w:rFonts w:ascii="Times New Roman" w:hAnsi="Times New Roman" w:cs="Times New Roman" w:eastAsia="Times New Roman"/>
        </w:rPr>
        <w:t xml:space="preserve">) but its peak memory is 32% lower (65.5 GB versus 96.5 GB). The runtime cost on the biobank-scale panel is the price paid for the larger candidate-set retained per target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versus Beagle's window-local composite haplotypes); the corresponding accuracy gain is +0.0227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with Selphi 2 leading Beagle across the MAF spectrum.</w:t>
      </w:r>
    </w:p>
    <w:p>
      <w:pPr>
        <w:pStyle w:val="BodyText"/>
        <w:jc w:val="both"/>
      </w:pPr>
      <w:r>
        <w:rPr>
          <w:rFonts w:ascii="Times New Roman" w:hAnsi="Times New Roman" w:cs="Times New Roman" w:eastAsia="Times New Roman"/>
        </w:rPr>
        <w:t xml:space="preserve">To demonstrate the single-command whole-genome workflow on a fully public benchmark, we merged the 22 per-chromosome 1000 Genomes panels into one multi-chromosome SRP file (4.3 GB) and imputed 50 held-out 1000 Genomes samples across all 22 autosomes in a single invocation against that one file, with the next chromosome's reference data prefetched during the current chromosome's HMM computation. The run produced one indexed VCF spanning all 22 contigs (70.8 million imputed variants) in 7 min 45 s at 23.7 GB peak memory on the 16-thread node, with no per-chromosome file splitting, reference-format conversion, or output concatenation, and no intermediate files between phasing and imputation.</w:t>
      </w:r>
    </w:p>
    <w:p>
      <w:pPr>
        <w:pStyle w:val="Heading2"/>
        <w:jc w:val="both"/>
      </w:pPr>
      <w:r>
        <w:rPr>
          <w:rFonts w:ascii="Times New Roman" w:hAnsi="Times New Roman" w:cs="Times New Roman" w:eastAsia="Times New Roman"/>
          <w:b/>
          <w:bCs/>
        </w:rPr>
        <w:t xml:space="preserve">Output-format equivalence and reproducibility</w:t>
      </w:r>
    </w:p>
    <w:p>
      <w:pPr>
        <w:pStyle w:val="FirstParagraph"/>
        <w:jc w:val="both"/>
      </w:pPr>
      <w:r>
        <w:rPr>
          <w:rFonts w:ascii="Times New Roman" w:hAnsi="Times New Roman" w:cs="Times New Roman" w:eastAsia="Times New Roman"/>
        </w:rPr>
        <w:t xml:space="preserve">Selphi 2 emits every output format from a single interpolation pass (Methods), so the format choice does not change the imputed values. We verified this on the 1000 Genomes chromosome-22 benchmark (801 samples, 1,070,401 variants). Across</w:t>
      </w:r>
      <w:r>
        <w:rPr>
          <w:rFonts w:ascii="Times New Roman" w:hAnsi="Times New Roman" w:cs="Times New Roman" w:eastAsia="Times New Roman"/>
        </w:rPr>
        <w:t xml:space="preserve"> </w:t>
      </w:r>
      <m:oMath>
        <m:r>
          <m:t>2.7</m:t>
        </m:r>
        <m:r>
          <m:rPr>
            <m:sty m:val="p"/>
          </m:rPr>
          <m:t>×</m:t>
        </m:r>
        <m:sSup>
          <m:e>
            <m:r>
              <m:t>10</m:t>
            </m:r>
          </m:e>
          <m:sup>
            <m:r>
              <m:t>7</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per-sample dosage values (all 801 samples over a chromosome-22 megabase), the imputed dosage is identical across VCF, BCF, Apache Parquet, and PLINK2 PGEN up to each format's storage precision: the binary BCF, Parquet, and SelfDecode formats carry the full 32-bit dosage (Parquet versus PGEN maximum</w:t>
      </w:r>
      <w:r>
        <w:rPr>
          <w:rFonts w:ascii="Times New Roman" w:hAnsi="Times New Roman" w:cs="Times New Roman" w:eastAsia="Times New Roman"/>
        </w:rPr>
        <w:t xml:space="preserve"> </w:t>
      </w:r>
      <m:oMath>
        <m:r>
          <m:rPr>
            <m:sty m:val="p"/>
          </m:rPr>
          <m:t>|</m:t>
        </m:r>
        <m:r>
          <m:rPr>
            <m:sty m:val="p"/>
          </m:rPr>
          <m:t>Δ</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t>6.1</m:t>
        </m:r>
        <m:r>
          <m:rPr>
            <m:sty m:val="p"/>
          </m:rPr>
          <m:t>×</m:t>
        </m:r>
        <m:sSup>
          <m:e>
            <m:r>
              <m:t>10</m:t>
            </m:r>
          </m:e>
          <m:sup>
            <m:r>
              <m:rPr>
                <m:sty m:val="p"/>
              </m:rPr>
              <m:t>−</m:t>
            </m:r>
            <m:r>
              <m:t>5</m:t>
            </m:r>
          </m:sup>
        </m:sSup>
      </m:oMath>
      <w:r>
        <w:rPr>
          <w:rFonts w:ascii="Times New Roman" w:hAnsi="Times New Roman" w:cs="Times New Roman" w:eastAsia="Times New Roman"/>
        </w:rPr>
        <w:t xml:space="preserve">, exactly PGEN's 16-bit dosage step), while VCF text-rounds to three decimals (maximum</w:t>
      </w:r>
      <w:r>
        <w:rPr>
          <w:rFonts w:ascii="Times New Roman" w:hAnsi="Times New Roman" w:cs="Times New Roman" w:eastAsia="Times New Roman"/>
        </w:rPr>
        <w:t xml:space="preserve"> </w:t>
      </w:r>
      <m:oMath>
        <m:r>
          <m:rPr>
            <m:sty m:val="p"/>
          </m:rPr>
          <m:t>|</m:t>
        </m:r>
        <m:r>
          <m:rPr>
            <m:sty m:val="p"/>
          </m:rPr>
          <m:t>Δ</m:t>
        </m:r>
        <m:r>
          <m:rPr>
            <m:sty m:val="p"/>
          </m:rPr>
          <m:t>|</m:t>
        </m:r>
        <m:r>
          <m:rPr>
            <m:sty m:val="p"/>
          </m:rPr>
          <m:t>≤</m:t>
        </m:r>
        <m:r>
          <m:t>1.0</m:t>
        </m:r>
        <m:r>
          <m:rPr>
            <m:sty m:val="p"/>
          </m:rPr>
          <m:t>×</m:t>
        </m:r>
        <m:sSup>
          <m:e>
            <m:r>
              <m:t>10</m:t>
            </m:r>
          </m:e>
          <m:sup>
            <m:r>
              <m:rPr>
                <m:sty m:val="p"/>
              </m:rPr>
              <m:t>−</m:t>
            </m:r>
            <m:r>
              <m:t>3</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against the binary formats). Hard-genotype calls follow each format's documented convention (Methods). The output is bit-reproducible: two independent imputation runs of the full chromosome on the same hardware produced byte-identical VCF.gz (identical MD5), consistent with the fixed-seed iteration orders (Methods). The native panel codec is lossless: decoding the SRP panel to BCF, re-encoding it to SRP, and decoding again reproduced the panel genotypes byte-for-byte (identical genotype-matrix MD5 over all 1,070,401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2,239 samples), so the in-binary converters replace the external bref3/xcf/msav round-trips without information loss.</w:t>
      </w:r>
    </w:p>
    <w:p>
      <w:pPr>
        <w:pStyle w:val="Heading2"/>
        <w:jc w:val="both"/>
      </w:pPr>
      <w:r>
        <w:rPr>
          <w:rFonts w:ascii="Times New Roman" w:hAnsi="Times New Roman" w:cs="Times New Roman" w:eastAsia="Times New Roman"/>
          <w:b/>
          <w:bCs/>
        </w:rPr>
        <w:t xml:space="preserve">Low-coverage sequencing imputation</w:t>
      </w:r>
    </w:p>
    <w:p>
      <w:pPr>
        <w:pStyle w:val="FirstParagraph"/>
        <w:jc w:val="both"/>
      </w:pPr>
      <w:r>
        <w:rPr>
          <w:rFonts w:ascii="Times New Roman" w:hAnsi="Times New Roman" w:cs="Times New Roman" w:eastAsia="Times New Roman"/>
        </w:rPr>
        <w:t xml:space="preserve">We assessed the lcWGS engine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on real low-coverage sequencing of the Genome in a Bottle (GIAB) reference samples HG002-HG007 (the Ashkenazi and Han Chinese trios), none of which are in the 1000 Genomes Project. The public NovaSeq PCR-free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whole-genome alignments (brain-genomics-public, GRCh38) were downsampled to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over chromosome 22; each sample's genotype likelihoods were computed from the aligned reads at the reference-panel sites and imputed against the 4,478-haplotype (2,239-sample) no-trios 1000 Genomes panel, the same leak-free panel used for the trio phasing benchmark above, from which these trio individuals were removed.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was computed against the GIAB v4.2.1 high-confidence truth over the high-confidence variant sites, on the identical set of sites imputed by both tools, and compared to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Selphi 2's lcWGS engine imputes each target sample independently against the reference panel with a genotype-likelihood-aware Li-Stephens forward-backward: sparse-PBWT conditioning-set selection, a faithful eight-founder phasing HMM re-committed at each Gibbs iteration, and a band-mode recombination rate (default): at common sites the rate is independent of the conditioning-set size, giving a sticky copying model that carries a reference haplotype across read-depleted sites, while at rare sites the rate is raised to the reference per-haplotype value (</w:t>
      </w:r>
      <m:oMath>
        <m:r>
          <m:t>0.04</m:t>
        </m:r>
        <m:r>
          <m:t> </m:t>
        </m:r>
        <m:sSub>
          <m:e>
            <m:r>
              <m:t>N</m:t>
            </m:r>
          </m:e>
          <m:sub>
            <m:r>
              <m:t>e</m:t>
            </m:r>
          </m:sub>
        </m:sSub>
        <m:r>
          <m:rPr>
            <m:sty m:val="p"/>
          </m:rPr>
          <m:t>/</m:t>
        </m:r>
        <m:sSub>
          <m:e>
            <m:r>
              <m:t>n</m:t>
            </m:r>
          </m:e>
          <m:sub>
            <m:r>
              <m:rPr>
                <m:nor/>
                <m:sty m:val="p"/>
              </m:rPr>
              <m:t>ref</m:t>
            </m:r>
          </m:sub>
        </m:sSub>
      </m:oMath>
      <w:r>
        <w:rPr>
          <w:rFonts w:ascii="Times New Roman" w:hAnsi="Times New Roman" w:cs="Times New Roman" w:eastAsia="Times New Roman"/>
        </w:rPr>
        <w:t xml:space="preserve">) so a copied haplotype can recombine onto a true rare-allele carrier instead of remaining locked to a flanking non-carrier, the single change that lifts the ultra-rare bin to parity with or above GLIMPSE2 (Results, Table 6b), reducible to the prior uniform rate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LCWGS_RECOMB_DENOM=max</w:t>
      </w:r>
      <w:r>
        <w:rPr>
          <w:rFonts w:ascii="Times New Roman" w:hAnsi="Times New Roman" w:cs="Times New Roman" w:eastAsia="Times New Roman"/>
        </w:rPr>
        <w:t xml:space="preserve">. A rare-carrier-aware augmentation is applied at every Gibbs iteration: at each rare site, a target haplotype currently sampled as carrying the minor allele has that site's panel carriers appended to its own conditioning set, so a true carrier becomes copyable once the sampler has tentatively placed the rare allele on that haplotype. The augmentation is per haplotype rather than global, and when the conditioning set is capped the appended carriers are ranked behind the haplotype's similarity-selected states, so the common-site copying model is left intact. The chromosome is processed in overlapping cM windows whose reference bitmatrix is extracted from the SRP and discarded per window, and the forward matrix is stored only at</w:t>
      </w:r>
      <w:r>
        <w:rPr>
          <w:rFonts w:ascii="Times New Roman" w:hAnsi="Times New Roman" w:cs="Times New Roman" w:eastAsia="Times New Roman"/>
        </w:rPr>
        <w:t xml:space="preserve"> </w:t>
      </w:r>
      <m:oMath>
        <m:rad>
          <m:radPr>
            <m:degHide m:val="on"/>
          </m:radPr>
          <m:deg/>
          <m:e>
            <m:r>
              <m:t>n</m:t>
            </m:r>
          </m:e>
        </m:rad>
      </m:oMath>
      <w:r>
        <w:rPr>
          <w:rFonts w:ascii="Times New Roman" w:hAnsi="Times New Roman" w:cs="Times New Roman" w:eastAsia="Times New Roman"/>
        </w:rPr>
        <w:t xml:space="preserve"> </w:t>
      </w:r>
      <w:r>
        <w:rPr>
          <w:rFonts w:ascii="Times New Roman" w:hAnsi="Times New Roman" w:cs="Times New Roman" w:eastAsia="Times New Roman"/>
        </w:rPr>
        <w:t xml:space="preserve">checkpoint columns and recomputed per block during the backward pass, so the full-chromosome reference panel is never materialized in memory.</w:t>
      </w:r>
    </w:p>
    <w:p>
      <w:pPr>
        <w:pStyle w:val="BodyText"/>
        <w:jc w:val="both"/>
      </w:pPr>
      <w:r>
        <w:rPr>
          <w:rFonts w:ascii="Times New Roman" w:hAnsi="Times New Roman" w:cs="Times New Roman" w:eastAsia="Times New Roman"/>
        </w:rPr>
        <w:t xml:space="preserve">On the GIAB samples Selphi 2 exceeds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the high-confidence variant sites on five of the six samples and ties on the sixth: 0.9457 versus 0.9421 (HG002), 0.9515 versus 0.9459 (HG003), 0.9479 versus 0.9435 (HG004), 0.9455 versus 0.9416 (HG005), 0.9547 versus 0.9496 (HG006), and 0.9502 versus 0.9504 (HG007), mean 0.9493 versus 0.9455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+0.0037, on the identical site set for both tools; Table 6). The advantage is consistent across the six samples (95% CI [+0.0021, +0.0050] from 20,000 paired bootstrap resamples of the per-sample differences; Selphi 2 higher in five of six), though with n = 6 the two-sided exact Wilcoxon signed-rank test does not reach significance (p = 0.0625), the single exception (HG007) differing by 0.0002. At the rarest frequencies (MAF 0-0.5%) the two tools are within ≈0.005</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this single low coverage (GLIMPSE2 marginally ahead); the engine's default now applies band-mode recombination (Methods), which raises the Li-Stephens recombination rate to GLIMPSE2's reference value at rare sites only and places Selphi 2 level with or ahead of GLIMPSE2 on the ultra-rare bin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across the matched coverage sweep (Table 6b, Figure 2d). Because each sample is imputed independently against the panel, the engine's natural mode is one sample at a time: a single chromosome-22 sample completes in approximately 2.0 minutes on 16 cores at a few GB of peak memory, versus approximately 5.4 minutes for GLIMPSE2's per-sample phasing, about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with the full reference panel never resident (GLIMPSE2's one-time reference-splitting step, analogous to building Selphi 2's SRP, is excluded from both). The Gibbs iteration count and the cM window size are explicit accuracy/speed controls. A coverage sweep from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a three-way comparison that adds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as a second low-coverage baseline are reported below (Table 6b; per-sample and coverage-swept detail in Supplementary Table S4).</w:t>
      </w:r>
    </w:p>
    <w:p>
      <w:pPr>
        <w:pStyle w:val="BodyText"/>
        <w:jc w:val="both"/>
      </w:pPr>
      <w:r>
        <w:rPr>
          <w:rFonts w:ascii="Times New Roman" w:hAnsi="Times New Roman" w:cs="Times New Roman" w:eastAsia="Times New Roman"/>
          <w:b/>
          <w:bCs/>
        </w:rPr>
        <w:t xml:space="preserve">Table 6. Low-coverage sequencing imputation accuracy and efficiency versus GLIMPSE2.</w:t>
      </w:r>
      <w:r>
        <w:rPr>
          <w:rFonts w:ascii="Times New Roman" w:hAnsi="Times New Roman" w:cs="Times New Roman" w:eastAsia="Times New Roman"/>
        </w:rPr>
        <w:t xml:space="preserve"> </w:t>
      </w:r>
      <w:r>
        <w:rPr>
          <w:rFonts w:ascii="Times New Roman" w:hAnsi="Times New Roman" w:cs="Times New Roman" w:eastAsia="Times New Roman"/>
        </w:rPr>
        <w:t xml:space="preserve">GIAB reference samples HG002-HG007 (six samples, the Ashkenazi and Han Chinese trios; none in the 1000 Genomes Project): the public NovaSeq PCR-free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WGS alignments (brain-genomics-public, GRCh38) were downsampled to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and each imputed independently against the 4,478-haplotype (2,239-sample) no-trios 1000 Genomes panel (biallelic SNPs, polymorphic in the subset), with Selphi 2's band-mode recombination (default; Methods). Both tools compute their own genotype likelihoods from the BAM and emit the identical set of panel sites;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the squared correlation between imputed dosage and the GIAB v4.2.1 high-confidence truth, over the high-confidence sites carrying a non-reference allele in the sample (the informative variant sites, ≈37-40k per sample), evaluated on the identical site set for both tools. Wall time and peak memory are for a single chromosome-22 sample on 16 cores; GLIMPSE2's one-time reference-splitting step (analogous to building Selphi 2's SRP) is excluded from both tools.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149"/>
        <w:gridCol w:w="2149"/>
        <w:gridCol w:w="2657"/>
        <w:gridCol w:w="2405"/>
      </w:tblGrid>
      <w:tr>
        <w:trPr>
          <w:tblHeader w:val="on"/>
        </w:trPr>
        <w:tc>
          <w:tcPr>
            <w:shd w:val="clear" w:color="auto" w:fill="595959"/>
            <w:vAlign w:val="center"/>
            <w:tcW w:type="dxa" w:w="2149"/>
          </w:tcPr>
          <w:p>
            <w:pPr>
              <w:pStyle w:val="Compact"/>
              <w:jc w:val="center"/>
            </w:pPr>
            <w:r>
              <w:rPr>
                <w:rFonts w:ascii="Times New Roman" w:hAnsi="Times New Roman" w:cs="Times New Roman" w:eastAsia="Times New Roman"/>
                <w:b/>
                <w:color w:val="FFFFFF"/>
                <w:sz w:val="20"/>
              </w:rPr>
              <w:t xml:space="preserve">Sample</w:t>
            </w:r>
          </w:p>
        </w:tc>
        <w:tc>
          <w:tcPr>
            <w:shd w:val="clear" w:color="auto" w:fill="595959"/>
            <w:vAlign w:val="center"/>
            <w:tcW w:type="dxa" w:w="2149"/>
          </w:tcPr>
          <w:p>
            <w:pPr>
              <w:pStyle w:val="Compact"/>
              <w:jc w:val="center"/>
            </w:pPr>
            <w:r>
              <w:rPr>
                <w:rFonts w:ascii="Times New Roman" w:hAnsi="Times New Roman" w:cs="Times New Roman" w:eastAsia="Times New Roman"/>
                <w:b/>
                <w:color w:val="FFFFFF"/>
                <w:sz w:val="20"/>
              </w:rPr>
              <w:t xml:space="preserve">Selphi 2</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2657"/>
          </w:tcPr>
          <w:p>
            <w:pPr>
              <w:pStyle w:val="Compact"/>
              <w:jc w:val="center"/>
            </w:pPr>
            <w:r>
              <w:rPr>
                <w:rFonts w:ascii="Times New Roman" w:hAnsi="Times New Roman" w:cs="Times New Roman" w:eastAsia="Times New Roman"/>
                <w:b/>
                <w:color w:val="FFFFFF"/>
                <w:sz w:val="20"/>
              </w:rPr>
              <w:t xml:space="preserve">GLIMPSE2</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2405"/>
          </w:tcPr>
          <w:p>
            <w:pPr>
              <w:pStyle w:val="Compact"/>
              <w:jc w:val="center"/>
            </w:pPr>
            <m:oMath>
              <m:r>
                <m:rPr>
                  <m:sty m:val="p"/>
                </m:rPr>
                <m:t>Δ</m:t>
              </m:r>
            </m:oMath>
          </w:p>
        </w:tc>
      </w:tr>
      <w:tr>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HG002</w:t>
            </w:r>
          </w:p>
        </w:tc>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0.9457</w:t>
            </w:r>
          </w:p>
        </w:tc>
        <w:tc>
          <w:tcPr>
            <w:shd w:val="clear" w:color="auto" w:fill="FFFFFF"/>
            <w:vAlign w:val="center"/>
            <w:tcW w:type="dxa" w:w="2657"/>
          </w:tcPr>
          <w:p>
            <w:pPr>
              <w:pStyle w:val="Compact"/>
              <w:jc w:val="center"/>
            </w:pPr>
            <w:r>
              <w:rPr>
                <w:rFonts w:ascii="Times New Roman" w:hAnsi="Times New Roman" w:cs="Times New Roman" w:eastAsia="Times New Roman"/>
                <w:sz w:val="20"/>
              </w:rPr>
              <w:t xml:space="preserve">0.9421</w:t>
            </w:r>
          </w:p>
        </w:tc>
        <w:tc>
          <w:tcPr>
            <w:shd w:val="clear" w:color="auto" w:fill="FFFFFF"/>
            <w:vAlign w:val="center"/>
            <w:tcW w:type="dxa" w:w="2405"/>
          </w:tcPr>
          <w:p>
            <w:pPr>
              <w:pStyle w:val="Compact"/>
              <w:jc w:val="center"/>
            </w:pPr>
            <w:r>
              <w:rPr>
                <w:rFonts w:ascii="Times New Roman" w:hAnsi="Times New Roman" w:cs="Times New Roman" w:eastAsia="Times New Roman"/>
                <w:sz w:val="20"/>
              </w:rPr>
              <w:t xml:space="preserve">+0.0036</w:t>
            </w:r>
          </w:p>
        </w:tc>
      </w:tr>
      <w:tr>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HG003</w:t>
            </w:r>
          </w:p>
        </w:tc>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0.9515</w:t>
            </w:r>
          </w:p>
        </w:tc>
        <w:tc>
          <w:tcPr>
            <w:shd w:val="clear" w:color="auto" w:fill="E7E6E6"/>
            <w:vAlign w:val="center"/>
            <w:tcW w:type="dxa" w:w="2657"/>
          </w:tcPr>
          <w:p>
            <w:pPr>
              <w:pStyle w:val="Compact"/>
              <w:jc w:val="center"/>
            </w:pPr>
            <w:r>
              <w:rPr>
                <w:rFonts w:ascii="Times New Roman" w:hAnsi="Times New Roman" w:cs="Times New Roman" w:eastAsia="Times New Roman"/>
                <w:sz w:val="20"/>
              </w:rPr>
              <w:t xml:space="preserve">0.9459</w:t>
            </w:r>
          </w:p>
        </w:tc>
        <w:tc>
          <w:tcPr>
            <w:shd w:val="clear" w:color="auto" w:fill="E7E6E6"/>
            <w:vAlign w:val="center"/>
            <w:tcW w:type="dxa" w:w="2405"/>
          </w:tcPr>
          <w:p>
            <w:pPr>
              <w:pStyle w:val="Compact"/>
              <w:jc w:val="center"/>
            </w:pPr>
            <w:r>
              <w:rPr>
                <w:rFonts w:ascii="Times New Roman" w:hAnsi="Times New Roman" w:cs="Times New Roman" w:eastAsia="Times New Roman"/>
                <w:sz w:val="20"/>
              </w:rPr>
              <w:t xml:space="preserve">+0.0056</w:t>
            </w:r>
          </w:p>
        </w:tc>
      </w:tr>
      <w:tr>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HG004</w:t>
            </w:r>
          </w:p>
        </w:tc>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0.9479</w:t>
            </w:r>
          </w:p>
        </w:tc>
        <w:tc>
          <w:tcPr>
            <w:shd w:val="clear" w:color="auto" w:fill="FFFFFF"/>
            <w:vAlign w:val="center"/>
            <w:tcW w:type="dxa" w:w="2657"/>
          </w:tcPr>
          <w:p>
            <w:pPr>
              <w:pStyle w:val="Compact"/>
              <w:jc w:val="center"/>
            </w:pPr>
            <w:r>
              <w:rPr>
                <w:rFonts w:ascii="Times New Roman" w:hAnsi="Times New Roman" w:cs="Times New Roman" w:eastAsia="Times New Roman"/>
                <w:sz w:val="20"/>
              </w:rPr>
              <w:t xml:space="preserve">0.9435</w:t>
            </w:r>
          </w:p>
        </w:tc>
        <w:tc>
          <w:tcPr>
            <w:shd w:val="clear" w:color="auto" w:fill="FFFFFF"/>
            <w:vAlign w:val="center"/>
            <w:tcW w:type="dxa" w:w="2405"/>
          </w:tcPr>
          <w:p>
            <w:pPr>
              <w:pStyle w:val="Compact"/>
              <w:jc w:val="center"/>
            </w:pPr>
            <w:r>
              <w:rPr>
                <w:rFonts w:ascii="Times New Roman" w:hAnsi="Times New Roman" w:cs="Times New Roman" w:eastAsia="Times New Roman"/>
                <w:sz w:val="20"/>
              </w:rPr>
              <w:t xml:space="preserve">+0.0044</w:t>
            </w:r>
          </w:p>
        </w:tc>
      </w:tr>
      <w:tr>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HG005</w:t>
            </w:r>
          </w:p>
        </w:tc>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0.9455</w:t>
            </w:r>
          </w:p>
        </w:tc>
        <w:tc>
          <w:tcPr>
            <w:shd w:val="clear" w:color="auto" w:fill="E7E6E6"/>
            <w:vAlign w:val="center"/>
            <w:tcW w:type="dxa" w:w="2657"/>
          </w:tcPr>
          <w:p>
            <w:pPr>
              <w:pStyle w:val="Compact"/>
              <w:jc w:val="center"/>
            </w:pPr>
            <w:r>
              <w:rPr>
                <w:rFonts w:ascii="Times New Roman" w:hAnsi="Times New Roman" w:cs="Times New Roman" w:eastAsia="Times New Roman"/>
                <w:sz w:val="20"/>
              </w:rPr>
              <w:t xml:space="preserve">0.9416</w:t>
            </w:r>
          </w:p>
        </w:tc>
        <w:tc>
          <w:tcPr>
            <w:shd w:val="clear" w:color="auto" w:fill="E7E6E6"/>
            <w:vAlign w:val="center"/>
            <w:tcW w:type="dxa" w:w="2405"/>
          </w:tcPr>
          <w:p>
            <w:pPr>
              <w:pStyle w:val="Compact"/>
              <w:jc w:val="center"/>
            </w:pPr>
            <w:r>
              <w:rPr>
                <w:rFonts w:ascii="Times New Roman" w:hAnsi="Times New Roman" w:cs="Times New Roman" w:eastAsia="Times New Roman"/>
                <w:sz w:val="20"/>
              </w:rPr>
              <w:t xml:space="preserve">+0.0039</w:t>
            </w:r>
          </w:p>
        </w:tc>
      </w:tr>
      <w:tr>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HG006</w:t>
            </w:r>
          </w:p>
        </w:tc>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0.9547</w:t>
            </w:r>
          </w:p>
        </w:tc>
        <w:tc>
          <w:tcPr>
            <w:shd w:val="clear" w:color="auto" w:fill="FFFFFF"/>
            <w:vAlign w:val="center"/>
            <w:tcW w:type="dxa" w:w="2657"/>
          </w:tcPr>
          <w:p>
            <w:pPr>
              <w:pStyle w:val="Compact"/>
              <w:jc w:val="center"/>
            </w:pPr>
            <w:r>
              <w:rPr>
                <w:rFonts w:ascii="Times New Roman" w:hAnsi="Times New Roman" w:cs="Times New Roman" w:eastAsia="Times New Roman"/>
                <w:sz w:val="20"/>
              </w:rPr>
              <w:t xml:space="preserve">0.9496</w:t>
            </w:r>
          </w:p>
        </w:tc>
        <w:tc>
          <w:tcPr>
            <w:shd w:val="clear" w:color="auto" w:fill="FFFFFF"/>
            <w:vAlign w:val="center"/>
            <w:tcW w:type="dxa" w:w="2405"/>
          </w:tcPr>
          <w:p>
            <w:pPr>
              <w:pStyle w:val="Compact"/>
              <w:jc w:val="center"/>
            </w:pPr>
            <w:r>
              <w:rPr>
                <w:rFonts w:ascii="Times New Roman" w:hAnsi="Times New Roman" w:cs="Times New Roman" w:eastAsia="Times New Roman"/>
                <w:sz w:val="20"/>
              </w:rPr>
              <w:t xml:space="preserve">+0.0051</w:t>
            </w:r>
          </w:p>
        </w:tc>
      </w:tr>
      <w:tr>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HG007</w:t>
            </w:r>
          </w:p>
        </w:tc>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0.9502</w:t>
            </w:r>
          </w:p>
        </w:tc>
        <w:tc>
          <w:tcPr>
            <w:shd w:val="clear" w:color="auto" w:fill="E7E6E6"/>
            <w:vAlign w:val="center"/>
            <w:tcW w:type="dxa" w:w="2657"/>
          </w:tcPr>
          <w:p>
            <w:pPr>
              <w:pStyle w:val="Compact"/>
              <w:jc w:val="center"/>
            </w:pPr>
            <w:r>
              <w:rPr>
                <w:rFonts w:ascii="Times New Roman" w:hAnsi="Times New Roman" w:cs="Times New Roman" w:eastAsia="Times New Roman"/>
                <w:sz w:val="20"/>
              </w:rPr>
              <w:t xml:space="preserve">0.9504</w:t>
            </w:r>
          </w:p>
        </w:tc>
        <w:tc>
          <w:tcPr>
            <w:shd w:val="clear" w:color="auto" w:fill="E7E6E6"/>
            <w:vAlign w:val="center"/>
            <w:tcW w:type="dxa" w:w="2405"/>
          </w:tcPr>
          <w:p>
            <w:pPr>
              <w:pStyle w:val="Compact"/>
              <w:jc w:val="center"/>
            </w:pPr>
            <w:r>
              <w:rPr>
                <w:rFonts w:ascii="Times New Roman" w:hAnsi="Times New Roman" w:cs="Times New Roman" w:eastAsia="Times New Roman"/>
                <w:sz w:val="20"/>
              </w:rPr>
              <w:t xml:space="preserve">-0.0002</w:t>
            </w:r>
          </w:p>
        </w:tc>
      </w:tr>
      <w:tr>
        <w:tc>
          <w:tcPr>
            <w:shd w:val="clear" w:color="auto" w:fill="FFFFFF"/>
            <w:vAlign w:val="center"/>
            <w:tcW w:type="dxa" w:w="2149"/>
          </w:tcPr>
          <w:p>
            <w:pPr>
              <w:pStyle w:val="Compact"/>
              <w:jc w:val="center"/>
            </w:pPr>
            <w:r>
              <w:rPr>
                <w:rFonts w:ascii="Times New Roman" w:hAnsi="Times New Roman" w:cs="Times New Roman" w:eastAsia="Times New Roman"/>
                <w:b/>
                <w:bCs/>
                <w:sz w:val="20"/>
              </w:rPr>
              <w:t xml:space="preserve">Mean</w:t>
            </w:r>
          </w:p>
        </w:tc>
        <w:tc>
          <w:tcPr>
            <w:shd w:val="clear" w:color="auto" w:fill="FFFFFF"/>
            <w:vAlign w:val="center"/>
            <w:tcW w:type="dxa" w:w="2149"/>
          </w:tcPr>
          <w:p>
            <w:pPr>
              <w:pStyle w:val="Compact"/>
              <w:jc w:val="center"/>
            </w:pPr>
            <w:r>
              <w:rPr>
                <w:rFonts w:ascii="Times New Roman" w:hAnsi="Times New Roman" w:cs="Times New Roman" w:eastAsia="Times New Roman"/>
                <w:b/>
                <w:bCs/>
                <w:sz w:val="20"/>
              </w:rPr>
              <w:t xml:space="preserve">0.9493</w:t>
            </w:r>
          </w:p>
        </w:tc>
        <w:tc>
          <w:tcPr>
            <w:shd w:val="clear" w:color="auto" w:fill="FFFFFF"/>
            <w:vAlign w:val="center"/>
            <w:tcW w:type="dxa" w:w="2657"/>
          </w:tcPr>
          <w:p>
            <w:pPr>
              <w:pStyle w:val="Compact"/>
              <w:jc w:val="center"/>
            </w:pPr>
            <w:r>
              <w:rPr>
                <w:rFonts w:ascii="Times New Roman" w:hAnsi="Times New Roman" w:cs="Times New Roman" w:eastAsia="Times New Roman"/>
                <w:b/>
                <w:bCs/>
                <w:sz w:val="20"/>
              </w:rPr>
              <w:t xml:space="preserve">0.9455</w:t>
            </w:r>
          </w:p>
        </w:tc>
        <w:tc>
          <w:tcPr>
            <w:shd w:val="clear" w:color="auto" w:fill="FFFFFF"/>
            <w:vAlign w:val="center"/>
            <w:tcW w:type="dxa" w:w="2405"/>
          </w:tcPr>
          <w:p>
            <w:pPr>
              <w:pStyle w:val="Compact"/>
              <w:jc w:val="center"/>
            </w:pPr>
            <w:r>
              <w:rPr>
                <w:rFonts w:ascii="Times New Roman" w:hAnsi="Times New Roman" w:cs="Times New Roman" w:eastAsia="Times New Roman"/>
                <w:b/>
                <w:bCs/>
                <w:sz w:val="20"/>
              </w:rPr>
              <w:t xml:space="preserve">+0.0037</w:t>
            </w:r>
          </w:p>
        </w:tc>
      </w:tr>
    </w:tbl>
    <w:p>
      <w:pPr>
        <w:pStyle w:val="BodyText"/>
        <w:jc w:val="both"/>
      </w:pPr>
      <w:r>
        <w:rPr>
          <w:rFonts w:ascii="Times New Roman" w:hAnsi="Times New Roman" w:cs="Times New Roman" w:eastAsia="Times New Roman"/>
        </w:rPr>
        <w:t xml:space="preserve">At the rarest frequencies (MAF 0-0.5%) Selphi 2's band-mode recombination (default; Methods) places it level with or ahead of GLIMPSE2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(quantified across the coverage sweep in Table 6b). Single-sample efficiency on chromosome 22: Selphi 2 completes in ≈2.0 minutes at ≈3.3 GB peak memory, never materializing the full-chromosome reference panel, versus ≈5.4 minutes for GLIMPSE2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GLIMPSE2's lower per-sample footprint (≈2.1 GB) reflects its separate one-time panel-splitting step, excluded here from both tools.</w:t>
      </w:r>
    </w:p>
    <w:p>
      <w:pPr>
        <w:pStyle w:val="BodyText"/>
        <w:jc w:val="both"/>
      </w:pPr>
      <w:r>
        <w:rPr>
          <w:rFonts w:ascii="Times New Roman" w:hAnsi="Times New Roman" w:cs="Times New Roman" w:eastAsia="Times New Roman"/>
        </w:rPr>
        <w:t xml:space="preserve">To position the engine against both established low-coverage tools across a range of depths, we ran a three-way comparison, Selphi 2 versus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on the same GIAB samples downsampled to 0.5</w:t>
      </w:r>
      <m:oMath>
        <m:r>
          <m:rPr>
            <m:sty m:val="p"/>
          </m:rPr>
          <m:t>×</m:t>
        </m:r>
      </m:oMath>
      <w:r>
        <w:rPr>
          <w:rFonts w:ascii="Times New Roman" w:hAnsi="Times New Roman" w:cs="Times New Roman" w:eastAsia="Times New Roman"/>
        </w:rPr>
        <w:t xml:space="preserve">, 1</w:t>
      </w:r>
      <m:oMath>
        <m:r>
          <m:rPr>
            <m:sty m:val="p"/>
          </m:rPr>
          <m:t>×</m:t>
        </m:r>
      </m:oMath>
      <w:r>
        <w:rPr>
          <w:rFonts w:ascii="Times New Roman" w:hAnsi="Times New Roman" w:cs="Times New Roman" w:eastAsia="Times New Roman"/>
        </w:rPr>
        <w:t xml:space="preserve">,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over a 10 Mb region of chromosome 22 (positions 20-30 Mb), each computing genotype likelihoods with its own in-process pileup (no external caller), imputing against a leak-free 1000 Genomes panel, and scored against the GIAB high-confidence truth (reference-homozygous sites as dosage zero) on the set of sites imputed by all three tools. Selphi 2 exceeds both GLIMPSE2 and QUILT2 in overall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coverage (0.9924, 0.9950, 0.9971 and 0.9979 versus GLIMPSE2's 0.9916, 0.9945, 0.9967 and 0.9975 and QUILT2's 0.9919, 0.9944, 0.9968 and 0.9973 at 0.5</w:t>
      </w:r>
      <m:oMath>
        <m:r>
          <m:rPr>
            <m:sty m:val="p"/>
          </m:rPr>
          <m:t>×</m:t>
        </m:r>
      </m:oMath>
      <w:r>
        <w:rPr>
          <w:rFonts w:ascii="Times New Roman" w:hAnsi="Times New Roman" w:cs="Times New Roman" w:eastAsia="Times New Roman"/>
        </w:rPr>
        <w:t xml:space="preserve">, 1</w:t>
      </w:r>
      <m:oMath>
        <m:r>
          <m:rPr>
            <m:sty m:val="p"/>
          </m:rPr>
          <m:t>×</m:t>
        </m:r>
      </m:oMath>
      <w:r>
        <w:rPr>
          <w:rFonts w:ascii="Times New Roman" w:hAnsi="Times New Roman" w:cs="Times New Roman" w:eastAsia="Times New Roman"/>
        </w:rPr>
        <w:t xml:space="preserve">,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4</w:t>
      </w:r>
      <m:oMath>
        <m:r>
          <m:rPr>
            <m:sty m:val="p"/>
          </m:rPr>
          <m:t>×</m:t>
        </m:r>
      </m:oMath>
      <w:r>
        <w:rPr>
          <w:rFonts w:ascii="Times New Roman" w:hAnsi="Times New Roman" w:cs="Times New Roman" w:eastAsia="Times New Roman"/>
        </w:rPr>
        <w:t xml:space="preserve">; Table 6b). On the ultra-rare bin (MAF 0-0.5%), where GLIMPSE2's dedicated sparse rare-allele path previously held the only edge, Selphi 2's band-mode recombination (Methods), which raises the Li-Stephens recombination rate to GLIMPSE2's reference value at rare sites only, letting a copied haplotype recombine onto a true rare-allele carrier, now matches or exceeds GLIMPSE2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ahead by 0.0027</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(0.9522 versus 0.9495) and 0.0066 at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(0.9704 versus 0.9638), tied at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(0.9243 versus 0.9252), with GLIMPSE2 marginally ahead only at the read-starved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(0.8997 versus 0.9023); Selphi 2 leads QUILT2 at every coverage and ties or leads every other MAF bin (Figure 2d). The salient difference at this scale is speed. Imputing one sample over the whole of chromosome 22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coverage, 16 threads, same machine; Selphi 2 in a single native pass, GLIMPSE2 across its 15 chunks plus ligation, QUILT2 tiled across the chromosome), Selphi 2 completes in 115 s, versus 287 s for GLIMPSE2 and 1,729 s for QUILT2, so Selphi 2 is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GLIMPSE2 and 15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QUILT2 (Figure 3c); QUILT2's runtime grows further with sequencing depth. QUILT2's distinguishing mechanism, a read-level latent-label model that retains within-read linkage rather than collapsing reads to per-site genotype likelihoods, may confer an advantage below the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depth evaluated here, a regime outside the range we tested.</w:t>
      </w:r>
    </w:p>
    <w:p>
      <w:pPr>
        <w:pStyle w:val="BodyText"/>
        <w:jc w:val="both"/>
      </w:pPr>
      <w:r>
        <w:rPr>
          <w:rFonts w:ascii="Times New Roman" w:hAnsi="Times New Roman" w:cs="Times New Roman" w:eastAsia="Times New Roman"/>
          <w:b/>
          <w:bCs/>
        </w:rPr>
        <w:t xml:space="preserve">Table 6b. Three-way low-coverage comparison across a coverage sweep.</w:t>
      </w:r>
      <w:r>
        <w:rPr>
          <w:rFonts w:ascii="Times New Roman" w:hAnsi="Times New Roman" w:cs="Times New Roman" w:eastAsia="Times New Roman"/>
        </w:rPr>
        <w:t xml:space="preserve"> </w:t>
      </w:r>
      <w:r>
        <w:rPr>
          <w:rFonts w:ascii="Times New Roman" w:hAnsi="Times New Roman" w:cs="Times New Roman" w:eastAsia="Times New Roman"/>
        </w:rPr>
        <w:t xml:space="preserve">Mean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GIAB HG002, HG003 and HG004 downsampled to the indicated depth over chromosome 22 (positions 20-30 Mb), each imputed against a leak-free 1000 Genomes panel (6,332 haplotypes) and scored against the GIAB v4.2.1 high-confidence truth (reference-homozygous sites scored as dosage zero) on the set of sites imputed by all three tools. All three tools generate genotype likelihoods from the BAMs with their own in-process pileup (no external caller): Selphi 2's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w:t>
      </w:r>
      <w:r>
        <w:rPr>
          <w:rFonts w:ascii="Times New Roman" w:hAnsi="Times New Roman" w:cs="Times New Roman" w:eastAsia="Times New Roman"/>
        </w:rPr>
        <w:t xml:space="preserve">engine uses a faithful reimplementation of the samtools/bcftools revised-MAQ base-error model and band-mode recombination (default; Methods); GLIMPSE2 and QUILT2 use their built-in pileups with default settings. Overall (top) and ultra-rare (MAF 0-0.5%, bottom).</w:t>
      </w:r>
    </w:p>
    <w:p>
      <w:pPr>
        <w:pStyle w:val="BodyText"/>
        <w:jc w:val="both"/>
      </w:pPr>
      <w:r>
        <w:rPr>
          <w:rFonts w:ascii="Times New Roman" w:hAnsi="Times New Roman" w:cs="Times New Roman" w:eastAsia="Times New Roman"/>
          <w:i/>
          <w:iCs/>
        </w:rPr>
        <w:t xml:space="preserve">Overall per-sample</w:t>
      </w:r>
      <w:r>
        <w:rPr>
          <w:rFonts w:ascii="Times New Roman" w:hAnsi="Times New Roman" w:cs="Times New Roman" w:eastAsia="Times New Roman"/>
          <w:i/>
          <w:iCs/>
        </w:rPr>
        <w:t xml:space="preserve"> </w:t>
      </w:r>
      <m:oMath>
        <m:sSup>
          <m:e>
            <m:r>
              <m:t>R</m:t>
            </m:r>
          </m:e>
          <m:sup>
            <m:r>
              <m:t>2</m:t>
            </m:r>
          </m:sup>
        </m:sSup>
      </m:oMath>
      <w:r>
        <w:rPr>
          <w:rFonts w:ascii="Times New Roman" w:hAnsi="Times New Roman" w:cs="Times New Roman" w:eastAsia="Times New Roman"/>
          <w:i/>
          <w:iCs/>
        </w:rPr>
        <w:t xml:space="preserve">:</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86"/>
        <w:gridCol w:w="2095"/>
        <w:gridCol w:w="2586"/>
        <w:gridCol w:w="2093"/>
      </w:tblGrid>
      <w:tr>
        <w:trPr>
          <w:tblHeader w:val="on"/>
        </w:trPr>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0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2093"/>
          </w:tcPr>
          <w:p>
            <w:pPr>
              <w:pStyle w:val="Compact"/>
              <w:jc w:val="center"/>
            </w:pPr>
            <w:r>
              <w:rPr>
                <w:rFonts w:ascii="Times New Roman" w:hAnsi="Times New Roman" w:cs="Times New Roman" w:eastAsia="Times New Roman"/>
                <w:b/>
                <w:color w:val="FFFFFF"/>
                <w:sz w:val="20"/>
              </w:rPr>
              <w:t xml:space="preserve">QUILT2</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0.5</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b/>
                <w:bCs/>
                <w:sz w:val="20"/>
              </w:rPr>
              <w:t xml:space="preserve">0.9924</w:t>
            </w:r>
          </w:p>
        </w:tc>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0.9916</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0.9919</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1</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b/>
                <w:bCs/>
                <w:sz w:val="20"/>
              </w:rPr>
              <w:t xml:space="preserve">0.9950</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0.9945</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0.9944</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2</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b/>
                <w:bCs/>
                <w:sz w:val="20"/>
              </w:rPr>
              <w:t xml:space="preserve">0.9971</w:t>
            </w:r>
          </w:p>
        </w:tc>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0.9967</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0.9968</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4</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b/>
                <w:bCs/>
                <w:sz w:val="20"/>
              </w:rPr>
              <w:t xml:space="preserve">0.9979</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0.9975</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0.9973</w:t>
            </w:r>
          </w:p>
        </w:tc>
      </w:tr>
    </w:tbl>
    <w:p>
      <w:pPr>
        <w:pStyle w:val="BodyText"/>
        <w:jc w:val="both"/>
      </w:pPr>
      <w:r>
        <w:rPr>
          <w:rFonts w:ascii="Times New Roman" w:hAnsi="Times New Roman" w:cs="Times New Roman" w:eastAsia="Times New Roman"/>
          <w:i/>
          <w:iCs/>
        </w:rPr>
        <w:t xml:space="preserve">Ultra-rare (MAF 0-0.5%)</w:t>
      </w:r>
      <w:r>
        <w:rPr>
          <w:rFonts w:ascii="Times New Roman" w:hAnsi="Times New Roman" w:cs="Times New Roman" w:eastAsia="Times New Roman"/>
          <w:i/>
          <w:iCs/>
        </w:rPr>
        <w:t xml:space="preserve"> </w:t>
      </w:r>
      <m:oMath>
        <m:sSup>
          <m:e>
            <m:r>
              <m:t>R</m:t>
            </m:r>
          </m:e>
          <m:sup>
            <m:r>
              <m:t>2</m:t>
            </m:r>
          </m:sup>
        </m:sSup>
      </m:oMath>
      <w:r>
        <w:rPr>
          <w:rFonts w:ascii="Times New Roman" w:hAnsi="Times New Roman" w:cs="Times New Roman" w:eastAsia="Times New Roman"/>
          <w:i/>
          <w:iCs/>
        </w:rPr>
        <w:t xml:space="preserve">:</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86"/>
        <w:gridCol w:w="2095"/>
        <w:gridCol w:w="2586"/>
        <w:gridCol w:w="2093"/>
      </w:tblGrid>
      <w:tr>
        <w:trPr>
          <w:tblHeader w:val="on"/>
        </w:trPr>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0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2093"/>
          </w:tcPr>
          <w:p>
            <w:pPr>
              <w:pStyle w:val="Compact"/>
              <w:jc w:val="center"/>
            </w:pPr>
            <w:r>
              <w:rPr>
                <w:rFonts w:ascii="Times New Roman" w:hAnsi="Times New Roman" w:cs="Times New Roman" w:eastAsia="Times New Roman"/>
                <w:b/>
                <w:color w:val="FFFFFF"/>
                <w:sz w:val="20"/>
              </w:rPr>
              <w:t xml:space="preserve">QUILT2</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0.5</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sz w:val="20"/>
              </w:rPr>
              <w:t xml:space="preserve">0.8997</w:t>
            </w:r>
          </w:p>
        </w:tc>
        <w:tc>
          <w:tcPr>
            <w:shd w:val="clear" w:color="auto" w:fill="FFFFFF"/>
            <w:vAlign w:val="center"/>
            <w:tcW w:type="dxa" w:w="2586"/>
          </w:tcPr>
          <w:p>
            <w:pPr>
              <w:pStyle w:val="Compact"/>
              <w:jc w:val="center"/>
            </w:pPr>
            <w:r>
              <w:rPr>
                <w:rFonts w:ascii="Times New Roman" w:hAnsi="Times New Roman" w:cs="Times New Roman" w:eastAsia="Times New Roman"/>
                <w:b/>
                <w:bCs/>
                <w:sz w:val="20"/>
              </w:rPr>
              <w:t xml:space="preserve">0.9023</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0.8864</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1</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sz w:val="20"/>
              </w:rPr>
              <w:t xml:space="preserve">0.9243</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0.9252</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0.9150</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2</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b/>
                <w:bCs/>
                <w:sz w:val="20"/>
              </w:rPr>
              <w:t xml:space="preserve">0.9522</w:t>
            </w:r>
          </w:p>
        </w:tc>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0.9495</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0.9415</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4</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b/>
                <w:bCs/>
                <w:sz w:val="20"/>
              </w:rPr>
              <w:t xml:space="preserve">0.9704</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0.9638</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0.9437</w:t>
            </w:r>
          </w:p>
        </w:tc>
      </w:tr>
    </w:tbl>
    <w:p>
      <w:pPr>
        <w:pStyle w:val="Heading1"/>
        <w:jc w:val="both"/>
      </w:pPr>
      <w:r>
        <w:rPr>
          <w:rFonts w:ascii="Times New Roman" w:hAnsi="Times New Roman" w:cs="Times New Roman" w:eastAsia="Times New Roman"/>
          <w:b/>
          <w:bCs/>
        </w:rPr>
        <w:t xml:space="preserve">Discussion</w:t>
      </w:r>
    </w:p>
    <w:p>
      <w:pPr>
        <w:pStyle w:val="FirstParagraph"/>
        <w:jc w:val="both"/>
      </w:pPr>
      <w:r>
        <w:rPr>
          <w:rFonts w:ascii="Times New Roman" w:hAnsi="Times New Roman" w:cs="Times New Roman" w:eastAsia="Times New Roman"/>
        </w:rPr>
        <w:t xml:space="preserve">We presented Selphi 2, a reimplementation of the Selphi genotype imputation algorithm</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 Rust that integrates phasing and imputation in a single tool, performs whole-genome imputation in one command against a single multi-chromosome reference panel, and replaces Selphi 1's fixed per-variant match caps with a per-target panel-adaptive candidate-set sizing rule. On the 1000 Genomes Phase 3 panel, Selphi 2 exceeds Beagle 5.5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0.0105 (chr22) and 0.0099 (chr1) while reducing peak memory by ~39% on chromosome 22 (comparable on chromosome 1). On the TOPMed panel, Selphi 2 exceeds Beagle 5.5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0.0227 on the MESA admixed cohort, leading Beagle across all four ancestry groups (Figure 2b); this advantage over Beagle reflects the larger panel-adaptive candidate set retained per target versus Beagle's window-local composite haplotypes. The same panel-adaptive sizing recovers +0.0651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a fixed candidate-set size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a recovery that is monotonically larger at rarer bins and largest for the most admixed groups (Table 2, Table 2b). On an independent leak-free truth (GIAB HG002-HG007 against a reference panel that contains the full 1000 Genomes cohort), Selphi 2 matches the accuracy of Selphi 1.5.3 and exceeds Beagle 5.5 by 0.0028</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chr21, while running 16-50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Selphi 1.5.3 and up to 1.7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Beagle 5.5.</w:t>
      </w:r>
    </w:p>
    <w:p>
      <w:pPr>
        <w:pStyle w:val="BodyText"/>
        <w:jc w:val="both"/>
      </w:pPr>
      <w:r>
        <w:rPr>
          <w:rFonts w:ascii="Times New Roman" w:hAnsi="Times New Roman" w:cs="Times New Roman" w:eastAsia="Times New Roman"/>
        </w:rPr>
        <w:t xml:space="preserve">Selphi 2 occupies a different position in the imputation landscape from the four main existing tools.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color w:val="0563C1"/>
          <w:vertAlign w:val="superscript"/>
        </w:rPr>
        <w:t xml:space="preserve">,</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integrates phasing and imputation in a single Java process and remains the most widely deployed end-to-end tool, but it processes the genome one chromosome at a time, emits only VCF, requires bref3 conversion for its reference panel format, and uses a fixed effective population size that does not adapt to panel size; on the 1000 Genomes benchmarks it trails Selphi 2 by 0.0099 to 0.0105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and on biobank-scale admixed cohorts its window-local composite-haplotype construction places it 0.023 below Selphi 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IMPUTE5</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uses PBWT-based haplotype selection with sub-linear scaling but requires pre-phased input from an external phaser and processes per chromosome. Minimac4</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the imputation engine behind the Michigan and TOPMed servers and offers among the lowest memory footprints but likewise requires pre-phased input and per-chromosome execution. On the 1000 Genomes chromosome 22 benchmark, given the identical phased target and reference panel, both trail Selphi 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(Minimac4 0.4688, IMPUTE5 0.4594, versus 0.4832; Table 1), reproducing for Selphi 2 the accuracy ordering that Selphi 1 reported against the same three tools.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a phasing-only tool whose two-stage common-then-rare strategy inspired the rare-variant phasing pass in our diploid engine. On the 1000 Genomes trio benchmark (54 children, against a 2,239-sample no-trios panel; identical heterozygous site sets tested for every tool), Selphi 2's diploid engine attains lower switch error rate than SHAPEIT5 full pipeline (phase_common + phase_rare) on both chromosome 22 (2.521% versus 2.611%) and chromosome 1 (1.876% versus 1.935%), in 0.47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SHAPEIT5's wall time on chromosome 22 and 0.92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on chromosome 1 (570 s versus 622 s). Beagle 5.5's built-in phasing is competitive with Selphi 2 diploid on both chromosomes (chr22: 2.548% versus 2.521%, +0.027 in favor of Selphi 2; chr1: 1.865% versus 1.876%, +0.011 in favor of Beagle); no method dominates the other in mean SER, but Selphi 2 diploid uses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less memory and runs at 0.66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Beagle's wall time on these benchmarks. The remaining architectural difference is the integration with the downstream imputation HMM: phased haplotypes are passed in memory to the Li-Stephens forward-backward pass with no intermediate VCF emission. Of Selphi 1's</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original design choices, what carries over to Selphi 2 is the long-range PBWT scan, here realized as large overlapping windows (80 cM by default) in place of a single chromosome-wide pass. An ablation on chromosome 22 (Supplementary Table S10) quantifies the two: restricting the scan to an IMPUTE5-like 8 cM window costs 0.013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is shorter than the 80 cM window, so the default window already spans the whole chromosome and coincides with Selphi 1's whole-chromosome pass), and the panel-adaptive effective population size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36.4</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contributes a further 0.008 over a fixed</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20,000. The principal extensions are the integrated phasing engines, the panel-adaptive candidate-set sizing, the multi-chromosome single-pass workflow, and the panel-format-agnostic input (BCF, VCF, BREF3) with multi-format output.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target imputation from low-coverage sequencing rather than from genotyping arrays. Selphi 2 addresses this regime with its dedicated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w:t>
      </w:r>
      <w:r>
        <w:rPr>
          <w:rFonts w:ascii="Times New Roman" w:hAnsi="Times New Roman" w:cs="Times New Roman" w:eastAsia="Times New Roman"/>
        </w:rPr>
        <w:t xml:space="preserve">engine (Methods; Results, Low-coverage sequencing imputation), so the two tools are now directly comparable on lcWGS input: on real low-coverage Genome in a Bottle sequencing (six samples,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leak-free panel) Selphi 2 exceeds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the high-confidence variant sites on five of six samples (mean 0.9493 versus 0.9455) without ever materializing the full-chromosome reference panel; run one sample at a time (its native mode, since each target is imputed independently against the panel), it is roughly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GLIMPSE2 per sample, and the two tools are effectively tied at the rarest frequencies.</w:t>
      </w:r>
    </w:p>
    <w:p>
      <w:pPr>
        <w:pStyle w:val="BodyText"/>
        <w:jc w:val="both"/>
      </w:pPr>
      <w:r>
        <w:rPr>
          <w:rFonts w:ascii="Times New Roman" w:hAnsi="Times New Roman" w:cs="Times New Roman" w:eastAsia="Times New Roman"/>
        </w:rPr>
        <w:t xml:space="preserve">The phasing experiments also separate the contribution of the phaser from that of the imputer. Imputing a 1000 Genomes array target (801 held-out samples) under a full phasing</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imputer matrix, the three phasings (Selphi 2, Beagle 5.5, SHAPEIT5) were practically interchangeable as imputation input: all pairwise overall-</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differences were</w:t>
      </w:r>
      <w:r>
        <w:rPr>
          <w:rFonts w:ascii="Times New Roman" w:hAnsi="Times New Roman" w:cs="Times New Roman" w:eastAsia="Times New Roman"/>
        </w:rPr>
        <w:t xml:space="preserve"> </w:t>
      </w:r>
      <m:oMath>
        <m:r>
          <m:rPr>
            <m:sty m:val="p"/>
          </m:rPr>
          <m:t>≤</m:t>
        </m:r>
        <m:r>
          <m:t>0.002</m:t>
        </m:r>
      </m:oMath>
      <w:r>
        <w:rPr>
          <w:rFonts w:ascii="Times New Roman" w:hAnsi="Times New Roman" w:cs="Times New Roman" w:eastAsia="Times New Roman"/>
        </w:rPr>
        <w:t xml:space="preserve"> </w:t>
      </w:r>
      <w:r>
        <w:rPr>
          <w:rFonts w:ascii="Times New Roman" w:hAnsi="Times New Roman" w:cs="Times New Roman" w:eastAsia="Times New Roman"/>
        </w:rPr>
        <w:t xml:space="preserve">for a fixed imputer (an order of magnitude below the imputer effect, though formally distinguishable at this sample size), whereas the choice of imputer moved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+0.007 to +0.011 in favour of Selphi 2 regardless of which tool produced the phasing (Supplementary Table S7). This is consistent with the near-tied switch-error rates on common variants (Table 4): array sites are predominantly common, where modern phasers agree closely, so phasing quality is not the limiting factor for array-based imputation, and Selphi 2's consistent imputation advantage is a property of its imputer rather than its phasing. Re-deriving the phase of an already-well-phased reference panel with Selphi 2 was likewise net-neutral-to-negative on this benchmark (a small gain on common variants offset by a loss at the rarest bin), so a panel's published phasing is best retained (Supplementary Table S8). The pedigree result (Table 4c) is the informative exception: where phasing draws on genuinely new information (parental genotypes), it improves downstream imputation against an independent truth (+0.016 to +0.022</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confirming that the value of phasing for imputation lies in the information it adds, not in the choice of phasing algorithm among comparable tools.</w:t>
      </w:r>
    </w:p>
    <w:p>
      <w:pPr>
        <w:pStyle w:val="BodyText"/>
        <w:jc w:val="both"/>
      </w:pPr>
      <w:r>
        <w:rPr>
          <w:rFonts w:ascii="Times New Roman" w:hAnsi="Times New Roman" w:cs="Times New Roman" w:eastAsia="Times New Roman"/>
        </w:rPr>
        <w:t xml:space="preserve">Several limitations of the present work bear discussion. First, at the rarest MAF bin (0.05-0.1%) on the 1000 Genomes panel, Beagle 5.5 narrowly outperforms Selphi 2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-0.002 to -0.004</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the chromosome-wide PBWT statistic underlying Selphi's candidate selection is, by construction, biased toward longer-range matches and may underweight single-carrier haplotypes whose informative segment is short. Second, the diploid engine, Selphi 2's default, dominates the haploid engine across the benchmarks: it matches or exceeds it on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density (e.g. +0.0013</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chr22 1000 Genomes; +0.0018</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genome-wide on the consumer-array set), wins phasing switch-error, and runs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A single-phase diploid run trailed the haploid engine slightly on indels (the diploid phases rare variants in a separate pass, versus the haploid engine's unified treatment), but the diploid intra-run phase ensemble, on by default (Methods), closes and reverses that gap (diploid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0.7935 versus 0.7909 genome-wide on the consumer-array set). We therefore default to the diploid engine for all inputs and expose the haploid engine via --phasing-engine haploid; no current rule predicts the optimal engine from cohort admixture alone. Third, the panel-adaptive candidate-set sizing rule (Methods, Candidate selection and HMM) is parameterized by two scalar constants (</w:t>
      </w:r>
      <m:oMath>
        <m:r>
          <m:t>γ</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t>α</m:t>
        </m:r>
      </m:oMath>
      <w:r>
        <w:rPr>
          <w:rFonts w:ascii="Times New Roman" w:hAnsi="Times New Roman" w:cs="Times New Roman" w:eastAsia="Times New Roman"/>
        </w:rPr>
        <w:t xml:space="preserve">) that we tuned on three panels (1000 Genomes, UK Biobank subset, TOPMed); the rule extrapolates to other panel sizes and diversity levels in the manner of its derivation, but we have not independently validated the choice of constants on a panel materially different from these three. Fourth, on biobank-scale runs the wall-time cost of retaining 78% of a 171,054-haplotype panel as candidates is substantial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 on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for use cases where rare-variant accuracy is not the priority, users may set a smaller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to recover faster runtime. Relatedly, on the consumer-array benchmark against high-coverage WGS truth (Results, Table 3), Selphi 2's imputer exceeds Beagle 5.5 when both are given identical phasing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0.9601 versus 0.9584; indel 0.7911 versus 0.7840). Earlier versions of Selphi 2's own internal phasing trailed Beagle by ≈0.003</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common SNPs, which we initially read as a broad-spectrum difference between our phasing and Beagle's decoding; on closer investigation it was instead a single localized defect, array no-call genotypes (≈1.7% of typed sites on this array) were folded to homozygous reference before phasing rather than imputed, corrupting both the phasing scaffold and the imputer's reference-haplotype selection precisely at those sites. Imputing the missing genotypes during phasing (Methods), by a local copying consensus over the nearest PBWT neighbours, applied in both engines, closes essentially all of that gap, and the diploid engine's default intra-run phase ensemble (Methods) then carries it past every other pipeline (Table 3): with its own internal phasing Selphi 2's default diploid engine now exceeds Beagle on both SNPs and indels (the haploid engine matches Beagle on SNPs and exceeds it on indels), and the diploid engine (SNP 0.9605, indel 0.7935) matches the Beagle-phased configurations on SNPs and exceeds them on indels (0.9601 / 0.7911), so the deployment need not depend on an external phaser. The diploid engine, whose graph construction already tolerated missing genotypes for phasing but discarded the imputed values when it wrote the scaffold, gained the most accuracy from these two changes, SNP 0.9553 to 0.9588 from the no-call fix, then to 0.9605 with the intra-run ensemble, at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the haploid engine's phasing speed. The consumer-array set is small (n = 6), so its per-sample variance is appreciable even though the tool ranking is consistent across the six individuals. Finally, the present array-versus-WGS comparisons aside, the biobank-scale MESA</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benchmark is restricted to chromosome 20 and the per-MAF panel breakdowns to chromosomes 1, 21 and 22, though the 1000 Genomes and out-of-panel HGDP aggregates (Figure 2a; Table 2c) are genome-wide; the panel-adaptive rule's behavior on the X chromosome under sex-aware phasing remains to be characterized in a dedicated whole-genome study.</w:t>
      </w:r>
    </w:p>
    <w:p>
      <w:pPr>
        <w:pStyle w:val="BodyText"/>
        <w:jc w:val="both"/>
      </w:pPr>
      <w:r>
        <w:rPr>
          <w:rFonts w:ascii="Times New Roman" w:hAnsi="Times New Roman" w:cs="Times New Roman" w:eastAsia="Times New Roman"/>
          <w:b/>
          <w:bCs/>
        </w:rPr>
        <w:t xml:space="preserve">Privacy considerations.</w:t>
      </w:r>
      <w:r>
        <w:rPr>
          <w:rFonts w:ascii="Times New Roman" w:hAnsi="Times New Roman" w:cs="Times New Roman" w:eastAsia="Times New Roman"/>
        </w:rPr>
        <w:t xml:space="preserve"> </w:t>
      </w:r>
      <w:r>
        <w:rPr>
          <w:rFonts w:ascii="Times New Roman" w:hAnsi="Times New Roman" w:cs="Times New Roman" w:eastAsia="Times New Roman"/>
        </w:rPr>
        <w:t xml:space="preserve">Imputation output can in principle leak information about the reference panel, because each imputed dosage is a deterministic function of the panel haplotypes the model copies from, and adaptively constructed queries can reconstruct panel haplotypes from an imputation server's output</w:t>
      </w:r>
      <w:hyperlink w:anchor="ref29">
        <w:r>
          <w:rPr>
            <w:rFonts w:ascii="Times New Roman" w:hAnsi="Times New Roman" w:cs="Times New Roman" w:eastAsia="Times New Roman"/>
            <w:color w:val="0563C1"/>
            <w:vertAlign w:val="superscript"/>
          </w:rPr>
          <w:t xml:space="preserve">29</w:t>
        </w:r>
      </w:hyperlink>
      <w:r>
        <w:rPr>
          <w:rFonts w:ascii="Times New Roman" w:hAnsi="Times New Roman" w:cs="Times New Roman" w:eastAsia="Times New Roman"/>
        </w:rPr>
        <w:t xml:space="preserve">. Two aspects of Selphi 2's design bear on this. Unlike Selphi 1's single whole-chromosome PBWT pass, Selphi 2 confines haplotype matching to large overlapping windows (80 cM by default), which bounds the longest contiguous reference segment any single query can expose, the quantity that segment-linking reconstruction attacks exploit. For deployments serving sensitive panels, the panel can additionally be held under controlled access (as the TOPMed and MESA data used here are) and per-query output aggregated or rate-limited. We did not perform a formal privacy analysis; quantifying the reconstruction risk of windowed matching relative to a whole-chromosome scan is a direction for server deployments.</w:t>
      </w:r>
    </w:p>
    <w:p>
      <w:pPr>
        <w:pStyle w:val="Heading1"/>
        <w:jc w:val="both"/>
      </w:pPr>
      <w:r>
        <w:rPr>
          <w:rFonts w:ascii="Times New Roman" w:hAnsi="Times New Roman" w:cs="Times New Roman" w:eastAsia="Times New Roman"/>
          <w:b/>
          <w:bCs/>
        </w:rPr>
        <w:t xml:space="preserve">Data availability</w:t>
      </w:r>
    </w:p>
    <w:p>
      <w:pPr>
        <w:pStyle w:val="FirstParagraph"/>
        <w:jc w:val="both"/>
      </w:pPr>
      <w:r>
        <w:rPr>
          <w:rFonts w:ascii="Times New Roman" w:hAnsi="Times New Roman" w:cs="Times New Roman" w:eastAsia="Times New Roman"/>
        </w:rPr>
        <w:t xml:space="preserve">The 1000 Genomes Project Phase 3 reference panel</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Genome in a Bottle (GIAB) reference-sample sequencing and v4.2.1 high-confidence truth genotypes are publicly available. The TOPMed Freeze 8 reference panel</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MESA cohort genotypes are available through controlled access (dbGaP) under their respective data-use agreements; they are not redistributed here. The reference panel used for the GIAB validation contains the full 1000 Genomes cohort and is described in the Methods. The six consumer-array and matched high-coverage whole-genome sequences used for the consumer-array benchmark (Results, Table 3) are de-identified genomes of consenting individuals and cannot be redistributed; the processing and filtering steps applied to them are given in full in the Methods so the analysis can be reproduced on equivalent array-plus-WGS data.</w:t>
      </w:r>
    </w:p>
    <w:p>
      <w:pPr>
        <w:pStyle w:val="Heading1"/>
        <w:jc w:val="both"/>
      </w:pPr>
      <w:r>
        <w:rPr>
          <w:rFonts w:ascii="Times New Roman" w:hAnsi="Times New Roman" w:cs="Times New Roman" w:eastAsia="Times New Roman"/>
          <w:b/>
          <w:bCs/>
        </w:rPr>
        <w:t xml:space="preserve">Code availability</w:t>
      </w:r>
    </w:p>
    <w:p>
      <w:pPr>
        <w:pStyle w:val="FirstParagraph"/>
        <w:jc w:val="both"/>
      </w:pPr>
      <w:r>
        <w:rPr>
          <w:rFonts w:ascii="Times New Roman" w:hAnsi="Times New Roman" w:cs="Times New Roman" w:eastAsia="Times New Roman"/>
        </w:rPr>
        <w:t xml:space="preserve">The Selphi 2 source code is openly available for academic and non-commercial use under a non-commercial license, consistent with the terms under which Selphi 1 was released, at https://github.com/omicsedge/selphi (branch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new_version/selphi2_cluster</w:t>
      </w:r>
      <w:r>
        <w:rPr>
          <w:rFonts w:ascii="Times New Roman" w:hAnsi="Times New Roman" w:cs="Times New Roman" w:eastAsia="Times New Roman"/>
        </w:rPr>
        <w:t xml:space="preserve">). The repository provides the source, a self-contained binary, documentation, and the reference-panel preparation utilities required to reproduce the analyses in this work. The binary is fully self-contained and requires no container runtime, root privileges, or external tools, and is provided for x86-64 (with AVX2 and AVX-512 kernels) and ARM64 (NEON), including a statically linked build for older-glibc clusters.</w:t>
      </w:r>
    </w:p>
    <w:p>
      <w:pPr>
        <w:pStyle w:val="Heading1"/>
        <w:jc w:val="both"/>
      </w:pPr>
      <w:r>
        <w:rPr>
          <w:rFonts w:ascii="Times New Roman" w:hAnsi="Times New Roman" w:cs="Times New Roman" w:eastAsia="Times New Roman"/>
          <w:b/>
          <w:bCs/>
        </w:rPr>
        <w:t xml:space="preserve">Author contributions</w:t>
      </w:r>
    </w:p>
    <w:p>
      <w:pPr>
        <w:pStyle w:val="FirstParagraph"/>
        <w:jc w:val="both"/>
      </w:pPr>
      <w:r>
        <w:rPr>
          <w:rFonts w:ascii="Times New Roman" w:hAnsi="Times New Roman" w:cs="Times New Roman" w:eastAsia="Times New Roman"/>
        </w:rPr>
        <w:t xml:space="preserve">Conceptualization and methodology, A.D.M. and P.G.Y.; data curation, A.D.M. and S.B.; formal analysis, A.D.M., S.B. and J.L.J.; software, A.D.M. and S.B.; investigation, A.D.M., S.B., J.L.J. and B.N.; visualization, A.D.M., S.B., J.L.J. and B.N.; writing, original draft, A.D.M. and B.N.; writing, review and editing, A.D.M., S.B., J.L.J., B.N. and A.T.; funding acquisition, project administration, resources and supervision, P.G.Y.</w:t>
      </w:r>
    </w:p>
    <w:p>
      <w:pPr>
        <w:pStyle w:val="Heading1"/>
        <w:jc w:val="both"/>
      </w:pPr>
      <w:r>
        <w:rPr>
          <w:rFonts w:ascii="Times New Roman" w:hAnsi="Times New Roman" w:cs="Times New Roman" w:eastAsia="Times New Roman"/>
          <w:b/>
          <w:bCs/>
        </w:rPr>
        <w:t xml:space="preserve">Competing interests</w:t>
      </w:r>
    </w:p>
    <w:p>
      <w:pPr>
        <w:pStyle w:val="FirstParagraph"/>
        <w:jc w:val="both"/>
      </w:pPr>
      <w:r>
        <w:rPr>
          <w:rFonts w:ascii="Times New Roman" w:hAnsi="Times New Roman" w:cs="Times New Roman" w:eastAsia="Times New Roman"/>
        </w:rPr>
        <w:t xml:space="preserve">A.D.M., S.B., J.L.J., B.N., A.T. and P.G.Y. are either employed by and/or hold stock or stock options in Omicsedge, a subsidiary of Genius Labs. In addition, P.G.Y. has equity in Systomic Health LLC and Ethobiotics LLC. This does not alter our adherence to journal policies on sharing data and materials. There are no other relevant activities or financial relationships which have influenced this work.</w:t>
      </w:r>
    </w:p>
    <w:p>
      <w:pPr>
        <w:pStyle w:val="Heading1"/>
        <w:jc w:val="both"/>
      </w:pPr>
      <w:r>
        <w:rPr>
          <w:rFonts w:ascii="Times New Roman" w:hAnsi="Times New Roman" w:cs="Times New Roman" w:eastAsia="Times New Roman"/>
          <w:b/>
          <w:bCs/>
        </w:rPr>
        <w:t xml:space="preserve">References</w:t>
      </w:r>
    </w:p>
    <w:p>
      <w:pPr>
        <w:pStyle w:val="Compact"/>
        <w:numPr>
          <w:ilvl w:val="0"/>
          <w:numId w:val="1001"/>
        </w:numPr>
        <w:jc w:val="both"/>
      </w:pPr>
      <w:bookmarkStart w:id="4001" w:name="ref1"/>
      <w:r>
        <w:rPr>
          <w:rFonts w:ascii="Times New Roman" w:hAnsi="Times New Roman" w:cs="Times New Roman" w:eastAsia="Times New Roman"/>
        </w:rPr>
        <w:t xml:space="preserve">McCarthy S, Das S, Kretzschmar W, et al. A reference panel of 64,976 haplotypes for genotype imputation.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2016;48(10):1279-1283.</w:t>
      </w:r>
      <w:bookmarkEnd w:id="4001"/>
    </w:p>
    <w:p>
      <w:pPr>
        <w:pStyle w:val="Compact"/>
        <w:numPr>
          <w:ilvl w:val="0"/>
          <w:numId w:val="1001"/>
        </w:numPr>
        <w:jc w:val="both"/>
      </w:pPr>
      <w:bookmarkStart w:id="4002" w:name="ref2"/>
      <w:r>
        <w:rPr>
          <w:rFonts w:ascii="Times New Roman" w:hAnsi="Times New Roman" w:cs="Times New Roman" w:eastAsia="Times New Roman"/>
        </w:rPr>
        <w:t xml:space="preserve">Li N, Stephens M. Modeling linkage disequilibrium and identifying recombination hotspots using single-nucleotide polymorphism data.</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Genetics</w:t>
      </w:r>
      <w:r>
        <w:rPr>
          <w:rFonts w:ascii="Times New Roman" w:hAnsi="Times New Roman" w:cs="Times New Roman" w:eastAsia="Times New Roman"/>
        </w:rPr>
        <w:t xml:space="preserve">. 2003;165(4):2213-2233.</w:t>
      </w:r>
      <w:bookmarkEnd w:id="4002"/>
    </w:p>
    <w:p>
      <w:pPr>
        <w:pStyle w:val="Compact"/>
        <w:numPr>
          <w:ilvl w:val="0"/>
          <w:numId w:val="1001"/>
        </w:numPr>
        <w:jc w:val="both"/>
      </w:pPr>
      <w:bookmarkStart w:id="4003" w:name="ref3"/>
      <w:r>
        <w:rPr>
          <w:rFonts w:ascii="Times New Roman" w:hAnsi="Times New Roman" w:cs="Times New Roman" w:eastAsia="Times New Roman"/>
        </w:rPr>
        <w:t xml:space="preserve">Durbin R. Efficient haplotype matching and storage using the positional Burrows-Wheeler transform (PBWT).</w:t>
      </w:r>
      <w:r>
        <w:rPr>
          <w:rFonts w:ascii="Times New Roman" w:hAnsi="Times New Roman" w:cs="Times New Roman" w:eastAsia="Times New Roman"/>
        </w:rPr>
        <w:t xml:space="preserve"> </w:t>
      </w:r>
      <w:r>
        <w:rPr>
          <w:rFonts w:ascii="Times New Roman" w:hAnsi="Times New Roman" w:cs="Times New Roman" w:eastAsia="Times New Roman"/>
          <w:i/>
          <w:iCs/>
        </w:rPr>
        <w:t xml:space="preserve">Bioinformatics</w:t>
      </w:r>
      <w:r>
        <w:rPr>
          <w:rFonts w:ascii="Times New Roman" w:hAnsi="Times New Roman" w:cs="Times New Roman" w:eastAsia="Times New Roman"/>
        </w:rPr>
        <w:t xml:space="preserve">. 2014;30(9):1266-1272.</w:t>
      </w:r>
      <w:bookmarkEnd w:id="4003"/>
    </w:p>
    <w:p>
      <w:pPr>
        <w:pStyle w:val="Compact"/>
        <w:numPr>
          <w:ilvl w:val="0"/>
          <w:numId w:val="1001"/>
        </w:numPr>
        <w:jc w:val="both"/>
      </w:pPr>
      <w:bookmarkStart w:id="4004" w:name="ref4"/>
      <w:r>
        <w:rPr>
          <w:rFonts w:ascii="Times New Roman" w:hAnsi="Times New Roman" w:cs="Times New Roman" w:eastAsia="Times New Roman"/>
        </w:rPr>
        <w:t xml:space="preserve">Rubinacci S, Delaneau O, Marchini J. Genotype imputation using the Positional Burrows Wheeler Transform.</w:t>
      </w:r>
      <w:r>
        <w:rPr>
          <w:rFonts w:ascii="Times New Roman" w:hAnsi="Times New Roman" w:cs="Times New Roman" w:eastAsia="Times New Roman"/>
        </w:rPr>
        <w:t xml:space="preserve"> </w:t>
      </w:r>
      <w:r>
        <w:rPr>
          <w:rFonts w:ascii="Times New Roman" w:hAnsi="Times New Roman" w:cs="Times New Roman" w:eastAsia="Times New Roman"/>
          <w:i/>
          <w:iCs/>
        </w:rPr>
        <w:t xml:space="preserve">PLoS Genet</w:t>
      </w:r>
      <w:r>
        <w:rPr>
          <w:rFonts w:ascii="Times New Roman" w:hAnsi="Times New Roman" w:cs="Times New Roman" w:eastAsia="Times New Roman"/>
        </w:rPr>
        <w:t xml:space="preserve">. 2020;16(11):e1009049.</w:t>
      </w:r>
      <w:bookmarkEnd w:id="4004"/>
    </w:p>
    <w:p>
      <w:pPr>
        <w:pStyle w:val="Compact"/>
        <w:numPr>
          <w:ilvl w:val="0"/>
          <w:numId w:val="1001"/>
        </w:numPr>
        <w:jc w:val="both"/>
      </w:pPr>
      <w:bookmarkStart w:id="4005" w:name="ref5"/>
      <w:r>
        <w:rPr>
          <w:rFonts w:ascii="Times New Roman" w:hAnsi="Times New Roman" w:cs="Times New Roman" w:eastAsia="Times New Roman"/>
        </w:rPr>
        <w:t xml:space="preserve">Browning BL, Zhou Y, Browning SR. A one-penny imputed genome from next-generation reference panels.</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2018;103(3):338-348.</w:t>
      </w:r>
      <w:bookmarkEnd w:id="4005"/>
    </w:p>
    <w:p>
      <w:pPr>
        <w:pStyle w:val="Compact"/>
        <w:numPr>
          <w:ilvl w:val="0"/>
          <w:numId w:val="1001"/>
        </w:numPr>
        <w:jc w:val="both"/>
      </w:pPr>
      <w:bookmarkStart w:id="4006" w:name="ref6"/>
      <w:r>
        <w:rPr>
          <w:rFonts w:ascii="Times New Roman" w:hAnsi="Times New Roman" w:cs="Times New Roman" w:eastAsia="Times New Roman"/>
        </w:rPr>
        <w:t xml:space="preserve">Browning BL, Browning SR. Statistical phasing of 150,119 sequenced genomes in the UK Biobank.</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2023;110(1):161-165.</w:t>
      </w:r>
      <w:bookmarkEnd w:id="4006"/>
    </w:p>
    <w:p>
      <w:pPr>
        <w:pStyle w:val="Compact"/>
        <w:numPr>
          <w:ilvl w:val="0"/>
          <w:numId w:val="1001"/>
        </w:numPr>
        <w:jc w:val="both"/>
      </w:pPr>
      <w:bookmarkStart w:id="4007" w:name="ref7"/>
      <w:r>
        <w:rPr>
          <w:rFonts w:ascii="Times New Roman" w:hAnsi="Times New Roman" w:cs="Times New Roman" w:eastAsia="Times New Roman"/>
        </w:rPr>
        <w:t xml:space="preserve">Das S, Forer L, Schönherr S, et al. Next-generation genotype imputation service and methods.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2016;48(10):1284-1287.</w:t>
      </w:r>
      <w:bookmarkEnd w:id="4007"/>
    </w:p>
    <w:p>
      <w:pPr>
        <w:pStyle w:val="Compact"/>
        <w:numPr>
          <w:ilvl w:val="0"/>
          <w:numId w:val="1001"/>
        </w:numPr>
        <w:jc w:val="both"/>
      </w:pPr>
      <w:bookmarkStart w:id="4008" w:name="ref8"/>
      <w:r>
        <w:rPr>
          <w:rFonts w:ascii="Times New Roman" w:hAnsi="Times New Roman" w:cs="Times New Roman" w:eastAsia="Times New Roman"/>
        </w:rPr>
        <w:t xml:space="preserve">Loh PR, Danecek P, Palamara PF, et al. Reference-based phasing using the Haplotype Reference Consortium panel.</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2016;48(11):1443-1448.</w:t>
      </w:r>
      <w:bookmarkEnd w:id="4008"/>
    </w:p>
    <w:p>
      <w:pPr>
        <w:pStyle w:val="Compact"/>
        <w:numPr>
          <w:ilvl w:val="0"/>
          <w:numId w:val="1001"/>
        </w:numPr>
        <w:jc w:val="both"/>
      </w:pPr>
      <w:bookmarkStart w:id="4009" w:name="ref9"/>
      <w:r>
        <w:rPr>
          <w:rFonts w:ascii="Times New Roman" w:hAnsi="Times New Roman" w:cs="Times New Roman" w:eastAsia="Times New Roman"/>
        </w:rPr>
        <w:t xml:space="preserve">Hofmeister RJ, Ribeiro DM, Rubinacci S, Delaneau O. Accurate rare variant phasing of whole-genome and whole-exome sequencing data in the UK Biobank.</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2023;55(7):1243-1249.</w:t>
      </w:r>
      <w:bookmarkEnd w:id="4009"/>
    </w:p>
    <w:p>
      <w:pPr>
        <w:pStyle w:val="Compact"/>
        <w:numPr>
          <w:ilvl w:val="0"/>
          <w:numId w:val="1001"/>
        </w:numPr>
        <w:jc w:val="both"/>
      </w:pPr>
      <w:bookmarkStart w:id="4010" w:name="ref10"/>
      <w:r>
        <w:rPr>
          <w:rFonts w:ascii="Times New Roman" w:hAnsi="Times New Roman" w:cs="Times New Roman" w:eastAsia="Times New Roman"/>
        </w:rPr>
        <w:t xml:space="preserve">O'Connell J, Sharp K, Shrine N, et al. Haplotype estimation for biobank-scale data sets.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2016;48(7):817-820.</w:t>
      </w:r>
      <w:bookmarkEnd w:id="4010"/>
    </w:p>
    <w:p>
      <w:pPr>
        <w:pStyle w:val="Compact"/>
        <w:numPr>
          <w:ilvl w:val="0"/>
          <w:numId w:val="1001"/>
        </w:numPr>
        <w:jc w:val="both"/>
      </w:pPr>
      <w:bookmarkStart w:id="4011" w:name="ref11"/>
      <w:r>
        <w:rPr>
          <w:rFonts w:ascii="Times New Roman" w:hAnsi="Times New Roman" w:cs="Times New Roman" w:eastAsia="Times New Roman"/>
        </w:rPr>
        <w:t xml:space="preserve">Chang CC, Chow CC, Tellier LC, Vattikuti S, Purcell SM, Lee JJ. Second-generation PLINK: rising to the challenge of larger and richer datasets.</w:t>
      </w:r>
      <w:r>
        <w:rPr>
          <w:rFonts w:ascii="Times New Roman" w:hAnsi="Times New Roman" w:cs="Times New Roman" w:eastAsia="Times New Roman"/>
        </w:rPr>
        <w:t xml:space="preserve"> </w:t>
      </w:r>
      <w:r>
        <w:rPr>
          <w:rFonts w:ascii="Times New Roman" w:hAnsi="Times New Roman" w:cs="Times New Roman" w:eastAsia="Times New Roman"/>
          <w:i/>
          <w:iCs/>
        </w:rPr>
        <w:t xml:space="preserve">GigaScience</w:t>
      </w:r>
      <w:r>
        <w:rPr>
          <w:rFonts w:ascii="Times New Roman" w:hAnsi="Times New Roman" w:cs="Times New Roman" w:eastAsia="Times New Roman"/>
        </w:rPr>
        <w:t xml:space="preserve">. 2015;4(1):7.</w:t>
      </w:r>
      <w:bookmarkEnd w:id="4011"/>
    </w:p>
    <w:p>
      <w:pPr>
        <w:pStyle w:val="Compact"/>
        <w:numPr>
          <w:ilvl w:val="0"/>
          <w:numId w:val="1001"/>
        </w:numPr>
        <w:jc w:val="both"/>
      </w:pPr>
      <w:bookmarkStart w:id="4012" w:name="ref12"/>
      <w:r>
        <w:rPr>
          <w:rFonts w:ascii="Times New Roman" w:hAnsi="Times New Roman" w:cs="Times New Roman" w:eastAsia="Times New Roman"/>
        </w:rPr>
        <w:t xml:space="preserve">De Marino A, Mahmoud AA, Bohn S, Lerga-Jaso J, Novković B, Manson C, Loguercio S, Terpolovsky A, Matushyn M, Torkamani A, Yazdi PG. Selphi, a tool for improving genotype imputation accuracy.</w:t>
      </w:r>
      <w:r>
        <w:rPr>
          <w:rFonts w:ascii="Times New Roman" w:hAnsi="Times New Roman" w:cs="Times New Roman" w:eastAsia="Times New Roman"/>
        </w:rPr>
        <w:t xml:space="preserve"> </w:t>
      </w:r>
      <w:r>
        <w:rPr>
          <w:rFonts w:ascii="Times New Roman" w:hAnsi="Times New Roman" w:cs="Times New Roman" w:eastAsia="Times New Roman"/>
          <w:i/>
          <w:iCs/>
        </w:rPr>
        <w:t xml:space="preserve">Sci Rep</w:t>
      </w:r>
      <w:r>
        <w:rPr>
          <w:rFonts w:ascii="Times New Roman" w:hAnsi="Times New Roman" w:cs="Times New Roman" w:eastAsia="Times New Roman"/>
        </w:rPr>
        <w:t xml:space="preserve">. 2026;16:58420. doi:10.1038/s41598-026-58420-2.</w:t>
      </w:r>
      <w:bookmarkEnd w:id="4012"/>
    </w:p>
    <w:p>
      <w:pPr>
        <w:pStyle w:val="Compact"/>
        <w:numPr>
          <w:ilvl w:val="0"/>
          <w:numId w:val="1001"/>
        </w:numPr>
        <w:jc w:val="both"/>
      </w:pPr>
      <w:bookmarkStart w:id="4013" w:name="ref13"/>
      <w:r>
        <w:rPr>
          <w:rFonts w:ascii="Times New Roman" w:hAnsi="Times New Roman" w:cs="Times New Roman" w:eastAsia="Times New Roman"/>
        </w:rPr>
        <w:t xml:space="preserve">1000 Genomes Project Consortium. A global reference for human genetic variation.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2015;526(7571):68-74.</w:t>
      </w:r>
      <w:bookmarkEnd w:id="4013"/>
    </w:p>
    <w:p>
      <w:pPr>
        <w:pStyle w:val="Compact"/>
        <w:numPr>
          <w:ilvl w:val="0"/>
          <w:numId w:val="1001"/>
        </w:numPr>
        <w:jc w:val="both"/>
      </w:pPr>
      <w:bookmarkStart w:id="4014" w:name="ref14"/>
      <w:r>
        <w:rPr>
          <w:rFonts w:ascii="Times New Roman" w:hAnsi="Times New Roman" w:cs="Times New Roman" w:eastAsia="Times New Roman"/>
        </w:rPr>
        <w:t xml:space="preserve">Taliun D, Harris DN, Kessler MD, et al. Sequencing of 53,831 diverse genomes from the NHLBI TOPMed Program.</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2021;590(7845):290-299. doi:10.1038/s41586-021-03205-y.</w:t>
      </w:r>
      <w:bookmarkEnd w:id="4014"/>
    </w:p>
    <w:p>
      <w:pPr>
        <w:pStyle w:val="Compact"/>
        <w:numPr>
          <w:ilvl w:val="0"/>
          <w:numId w:val="1001"/>
        </w:numPr>
        <w:jc w:val="both"/>
      </w:pPr>
      <w:bookmarkStart w:id="4015" w:name="ref15"/>
      <w:r>
        <w:rPr>
          <w:rFonts w:ascii="Times New Roman" w:hAnsi="Times New Roman" w:cs="Times New Roman" w:eastAsia="Times New Roman"/>
        </w:rPr>
        <w:t xml:space="preserve">Rubinacci S, Hofmeister RJ, Sousa da Mota B, Delaneau O. Imputation of low-coverage sequencing data from 150,119 UK Biobank genomes.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2023;55(7):1088-1090.</w:t>
      </w:r>
      <w:bookmarkEnd w:id="4015"/>
    </w:p>
    <w:p>
      <w:pPr>
        <w:pStyle w:val="Compact"/>
        <w:numPr>
          <w:ilvl w:val="0"/>
          <w:numId w:val="1001"/>
        </w:numPr>
        <w:jc w:val="both"/>
      </w:pPr>
      <w:bookmarkStart w:id="4016" w:name="ref16"/>
      <w:r>
        <w:rPr>
          <w:rFonts w:ascii="Times New Roman" w:hAnsi="Times New Roman" w:cs="Times New Roman" w:eastAsia="Times New Roman"/>
        </w:rPr>
        <w:t xml:space="preserve">Li Z, Albrechtsen A, Davies RW. Flexible read-aware genotype imputation from sequence using biobank sized reference panels.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Commun</w:t>
      </w:r>
      <w:r>
        <w:rPr>
          <w:rFonts w:ascii="Times New Roman" w:hAnsi="Times New Roman" w:cs="Times New Roman" w:eastAsia="Times New Roman"/>
        </w:rPr>
        <w:t xml:space="preserve">. 2025;17(1):524.</w:t>
      </w:r>
      <w:bookmarkEnd w:id="4016"/>
    </w:p>
    <w:p>
      <w:pPr>
        <w:pStyle w:val="Compact"/>
        <w:numPr>
          <w:ilvl w:val="0"/>
          <w:numId w:val="1001"/>
        </w:numPr>
        <w:jc w:val="both"/>
      </w:pPr>
      <w:bookmarkStart w:id="4017" w:name="ref17"/>
      <w:r>
        <w:rPr>
          <w:rFonts w:ascii="Times New Roman" w:hAnsi="Times New Roman" w:cs="Times New Roman" w:eastAsia="Times New Roman"/>
        </w:rPr>
        <w:t xml:space="preserve">Zook JM, McDaniel J, Olson ND, et al. An open resource for accurately benchmarking small variant and reference calls.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Biotechnol</w:t>
      </w:r>
      <w:r>
        <w:rPr>
          <w:rFonts w:ascii="Times New Roman" w:hAnsi="Times New Roman" w:cs="Times New Roman" w:eastAsia="Times New Roman"/>
        </w:rPr>
        <w:t xml:space="preserve">. 2019;37(5):561-566.</w:t>
      </w:r>
      <w:bookmarkEnd w:id="4017"/>
    </w:p>
    <w:p>
      <w:pPr>
        <w:pStyle w:val="Compact"/>
        <w:numPr>
          <w:ilvl w:val="0"/>
          <w:numId w:val="1001"/>
        </w:numPr>
        <w:jc w:val="both"/>
      </w:pPr>
      <w:bookmarkStart w:id="4018" w:name="ref18"/>
      <w:r>
        <w:rPr>
          <w:rFonts w:ascii="Times New Roman" w:hAnsi="Times New Roman" w:cs="Times New Roman" w:eastAsia="Times New Roman"/>
        </w:rPr>
        <w:t xml:space="preserve">Stone N, Matsakis N. Rayon: a data parallelism library for Rust. https://github.com/rayon-rs/rayon (accessed 2026).</w:t>
      </w:r>
      <w:bookmarkEnd w:id="4018"/>
    </w:p>
    <w:p>
      <w:pPr>
        <w:pStyle w:val="Compact"/>
        <w:numPr>
          <w:ilvl w:val="0"/>
          <w:numId w:val="1001"/>
        </w:numPr>
        <w:jc w:val="both"/>
      </w:pPr>
      <w:bookmarkStart w:id="4019" w:name="ref19"/>
      <w:r>
        <w:rPr>
          <w:rFonts w:ascii="Times New Roman" w:hAnsi="Times New Roman" w:cs="Times New Roman" w:eastAsia="Times New Roman"/>
        </w:rPr>
        <w:t xml:space="preserve">Browning SR, Browning BL. Rapid and accurate haplotype phasing and missing-data inference for whole-genome association studies by use of localized haplotype clustering.</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2007;81(5):1084-1097.</w:t>
      </w:r>
      <w:bookmarkEnd w:id="4019"/>
    </w:p>
    <w:p>
      <w:pPr>
        <w:pStyle w:val="Compact"/>
        <w:numPr>
          <w:ilvl w:val="0"/>
          <w:numId w:val="1001"/>
        </w:numPr>
        <w:jc w:val="both"/>
      </w:pPr>
      <w:bookmarkStart w:id="4020" w:name="ref20"/>
      <w:r>
        <w:rPr>
          <w:rFonts w:ascii="Times New Roman" w:hAnsi="Times New Roman" w:cs="Times New Roman" w:eastAsia="Times New Roman"/>
        </w:rPr>
        <w:t xml:space="preserve">Dempster AP, Laird NM, Rubin DB. Maximum likelihood from incomplete data via the EM algorithm.</w:t>
      </w:r>
      <w:r>
        <w:rPr>
          <w:rFonts w:ascii="Times New Roman" w:hAnsi="Times New Roman" w:cs="Times New Roman" w:eastAsia="Times New Roman"/>
        </w:rPr>
        <w:t xml:space="preserve"> </w:t>
      </w:r>
      <w:r>
        <w:rPr>
          <w:rFonts w:ascii="Times New Roman" w:hAnsi="Times New Roman" w:cs="Times New Roman" w:eastAsia="Times New Roman"/>
          <w:i/>
          <w:iCs/>
        </w:rPr>
        <w:t xml:space="preserve">J R Stat Soc Ser B</w:t>
      </w:r>
      <w:r>
        <w:rPr>
          <w:rFonts w:ascii="Times New Roman" w:hAnsi="Times New Roman" w:cs="Times New Roman" w:eastAsia="Times New Roman"/>
        </w:rPr>
        <w:t xml:space="preserve">. 1977;39(1):1-38.</w:t>
      </w:r>
      <w:bookmarkEnd w:id="4020"/>
    </w:p>
    <w:p>
      <w:pPr>
        <w:pStyle w:val="Compact"/>
        <w:numPr>
          <w:ilvl w:val="0"/>
          <w:numId w:val="1001"/>
        </w:numPr>
        <w:jc w:val="both"/>
      </w:pPr>
      <w:bookmarkStart w:id="4021" w:name="ref21"/>
      <w:r>
        <w:rPr>
          <w:rFonts w:ascii="Times New Roman" w:hAnsi="Times New Roman" w:cs="Times New Roman" w:eastAsia="Times New Roman"/>
        </w:rPr>
        <w:t xml:space="preserve">Delaneau O, Zagury JF, Robinson MR, Marchini JL, Dermitzakis ET. Accurate, scalable and integrative haplotype estimation.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Commun</w:t>
      </w:r>
      <w:r>
        <w:rPr>
          <w:rFonts w:ascii="Times New Roman" w:hAnsi="Times New Roman" w:cs="Times New Roman" w:eastAsia="Times New Roman"/>
        </w:rPr>
        <w:t xml:space="preserve">. 2019;10(1):5436.</w:t>
      </w:r>
      <w:bookmarkEnd w:id="4021"/>
    </w:p>
    <w:p>
      <w:pPr>
        <w:pStyle w:val="Compact"/>
        <w:numPr>
          <w:ilvl w:val="0"/>
          <w:numId w:val="1001"/>
        </w:numPr>
        <w:jc w:val="both"/>
      </w:pPr>
      <w:bookmarkStart w:id="4022" w:name="ref22"/>
      <w:r>
        <w:rPr>
          <w:rFonts w:ascii="Times New Roman" w:hAnsi="Times New Roman" w:cs="Times New Roman" w:eastAsia="Times New Roman"/>
        </w:rPr>
        <w:t xml:space="preserve">Browning SR, Browning BL. Identity by descent between distant relatives: detection and applications.</w:t>
      </w:r>
      <w:r>
        <w:rPr>
          <w:rFonts w:ascii="Times New Roman" w:hAnsi="Times New Roman" w:cs="Times New Roman" w:eastAsia="Times New Roman"/>
        </w:rPr>
        <w:t xml:space="preserve"> </w:t>
      </w:r>
      <w:r>
        <w:rPr>
          <w:rFonts w:ascii="Times New Roman" w:hAnsi="Times New Roman" w:cs="Times New Roman" w:eastAsia="Times New Roman"/>
          <w:i/>
          <w:iCs/>
        </w:rPr>
        <w:t xml:space="preserve">Annu Rev Genet</w:t>
      </w:r>
      <w:r>
        <w:rPr>
          <w:rFonts w:ascii="Times New Roman" w:hAnsi="Times New Roman" w:cs="Times New Roman" w:eastAsia="Times New Roman"/>
        </w:rPr>
        <w:t xml:space="preserve">. 2012;46:617-633.</w:t>
      </w:r>
      <w:bookmarkEnd w:id="4022"/>
    </w:p>
    <w:p>
      <w:pPr>
        <w:pStyle w:val="Compact"/>
        <w:numPr>
          <w:ilvl w:val="0"/>
          <w:numId w:val="1001"/>
        </w:numPr>
        <w:jc w:val="both"/>
      </w:pPr>
      <w:bookmarkStart w:id="4023" w:name="ref23"/>
      <w:r>
        <w:rPr>
          <w:rFonts w:ascii="Times New Roman" w:hAnsi="Times New Roman" w:cs="Times New Roman" w:eastAsia="Times New Roman"/>
        </w:rPr>
        <w:t xml:space="preserve">Bycroft C, Freeman C, Petkova D, et al. The UK Biobank resource with deep phenotyping and genomic data.</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2018;562(7726):203-209.</w:t>
      </w:r>
      <w:bookmarkEnd w:id="4023"/>
    </w:p>
    <w:p>
      <w:pPr>
        <w:pStyle w:val="Compact"/>
        <w:numPr>
          <w:ilvl w:val="0"/>
          <w:numId w:val="1001"/>
        </w:numPr>
        <w:jc w:val="both"/>
      </w:pPr>
      <w:bookmarkStart w:id="4024" w:name="ref24"/>
      <w:r>
        <w:rPr>
          <w:rFonts w:ascii="Times New Roman" w:hAnsi="Times New Roman" w:cs="Times New Roman" w:eastAsia="Times New Roman"/>
        </w:rPr>
        <w:t xml:space="preserve">Browning BL, Browning SR. A unified approach to genotype imputation and haplotype-phase inference for large data sets of trios and unrelated individuals.</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2009;84(2):210-223.</w:t>
      </w:r>
      <w:bookmarkEnd w:id="4024"/>
    </w:p>
    <w:p>
      <w:pPr>
        <w:pStyle w:val="Compact"/>
        <w:numPr>
          <w:ilvl w:val="0"/>
          <w:numId w:val="1001"/>
        </w:numPr>
        <w:jc w:val="both"/>
      </w:pPr>
      <w:bookmarkStart w:id="4025" w:name="ref25"/>
      <w:r>
        <w:rPr>
          <w:rFonts w:ascii="Times New Roman" w:hAnsi="Times New Roman" w:cs="Times New Roman" w:eastAsia="Times New Roman"/>
        </w:rPr>
        <w:t xml:space="preserve">Danecek P, Bonfield JK, Liddle J, et al. Twelve years of SAMtools and BCFtools.</w:t>
      </w:r>
      <w:r>
        <w:rPr>
          <w:rFonts w:ascii="Times New Roman" w:hAnsi="Times New Roman" w:cs="Times New Roman" w:eastAsia="Times New Roman"/>
        </w:rPr>
        <w:t xml:space="preserve"> </w:t>
      </w:r>
      <w:r>
        <w:rPr>
          <w:rFonts w:ascii="Times New Roman" w:hAnsi="Times New Roman" w:cs="Times New Roman" w:eastAsia="Times New Roman"/>
          <w:i/>
          <w:iCs/>
        </w:rPr>
        <w:t xml:space="preserve">GigaScience</w:t>
      </w:r>
      <w:r>
        <w:rPr>
          <w:rFonts w:ascii="Times New Roman" w:hAnsi="Times New Roman" w:cs="Times New Roman" w:eastAsia="Times New Roman"/>
        </w:rPr>
        <w:t xml:space="preserve">. 2021;10(2):giab008.</w:t>
      </w:r>
      <w:bookmarkEnd w:id="4025"/>
    </w:p>
    <w:p>
      <w:pPr>
        <w:pStyle w:val="Compact"/>
        <w:numPr>
          <w:ilvl w:val="0"/>
          <w:numId w:val="1001"/>
        </w:numPr>
        <w:jc w:val="both"/>
      </w:pPr>
      <w:bookmarkStart w:id="4026" w:name="ref26"/>
      <w:r>
        <w:rPr>
          <w:rFonts w:ascii="Times New Roman" w:hAnsi="Times New Roman" w:cs="Times New Roman" w:eastAsia="Times New Roman"/>
        </w:rPr>
        <w:t xml:space="preserve">Myers S, Bottolo L, Freeman C, McVean G, Donnelly P. A fine-scale map of recombination rates and hotspots across the human genome.</w:t>
      </w:r>
      <w:r>
        <w:rPr>
          <w:rFonts w:ascii="Times New Roman" w:hAnsi="Times New Roman" w:cs="Times New Roman" w:eastAsia="Times New Roman"/>
        </w:rPr>
        <w:t xml:space="preserve"> </w:t>
      </w:r>
      <w:r>
        <w:rPr>
          <w:rFonts w:ascii="Times New Roman" w:hAnsi="Times New Roman" w:cs="Times New Roman" w:eastAsia="Times New Roman"/>
          <w:i/>
          <w:iCs/>
        </w:rPr>
        <w:t xml:space="preserve">Science</w:t>
      </w:r>
      <w:r>
        <w:rPr>
          <w:rFonts w:ascii="Times New Roman" w:hAnsi="Times New Roman" w:cs="Times New Roman" w:eastAsia="Times New Roman"/>
        </w:rPr>
        <w:t xml:space="preserve">. 2005;310(5746):321-324.</w:t>
      </w:r>
      <w:bookmarkEnd w:id="4026"/>
    </w:p>
    <w:p>
      <w:pPr>
        <w:pStyle w:val="Compact"/>
        <w:numPr>
          <w:ilvl w:val="0"/>
          <w:numId w:val="1001"/>
        </w:numPr>
        <w:jc w:val="both"/>
      </w:pPr>
      <w:bookmarkStart w:id="4027" w:name="ref27"/>
      <w:r>
        <w:rPr>
          <w:rFonts w:ascii="Times New Roman" w:hAnsi="Times New Roman" w:cs="Times New Roman" w:eastAsia="Times New Roman"/>
        </w:rPr>
        <w:t xml:space="preserve">Bild DE, Bluemke DA, Burke GL, et al. Multi-Ethnic Study of Atherosclerosis: objectives and design.</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Epidemiol</w:t>
      </w:r>
      <w:r>
        <w:rPr>
          <w:rFonts w:ascii="Times New Roman" w:hAnsi="Times New Roman" w:cs="Times New Roman" w:eastAsia="Times New Roman"/>
        </w:rPr>
        <w:t xml:space="preserve">. 2002;156(9):871-881.</w:t>
      </w:r>
      <w:bookmarkEnd w:id="4027"/>
    </w:p>
    <w:p>
      <w:pPr>
        <w:pStyle w:val="Compact"/>
        <w:numPr>
          <w:ilvl w:val="0"/>
          <w:numId w:val="1001"/>
        </w:numPr>
        <w:jc w:val="both"/>
      </w:pPr>
      <w:bookmarkStart w:id="4028" w:name="ref28"/>
      <w:r>
        <w:rPr>
          <w:rFonts w:ascii="Times New Roman" w:hAnsi="Times New Roman" w:cs="Times New Roman" w:eastAsia="Times New Roman"/>
        </w:rPr>
        <w:t xml:space="preserve">Koenig Z, Yohannes MT, Nkambule LL, et al. A harmonized public resource of deeply sequenced diverse human genomes.</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Genome Res</w:t>
      </w:r>
      <w:r>
        <w:rPr>
          <w:rFonts w:ascii="Times New Roman" w:hAnsi="Times New Roman" w:cs="Times New Roman" w:eastAsia="Times New Roman"/>
        </w:rPr>
        <w:t xml:space="preserve">. 2024;34(5):796-809. doi:10.1101/gr.278378.123.</w:t>
      </w:r>
      <w:bookmarkEnd w:id="4028"/>
    </w:p>
    <w:p>
      <w:pPr>
        <w:pStyle w:val="Compact"/>
        <w:numPr>
          <w:ilvl w:val="0"/>
          <w:numId w:val="1001"/>
        </w:numPr>
        <w:jc w:val="both"/>
      </w:pPr>
      <w:bookmarkStart w:id="4029" w:name="ref29"/>
      <w:r>
        <w:rPr>
          <w:rFonts w:ascii="Times New Roman" w:hAnsi="Times New Roman" w:cs="Times New Roman" w:eastAsia="Times New Roman"/>
        </w:rPr>
        <w:t xml:space="preserve">Mosca MJ, Cho H. Reconstruction of private genomes through reference-based genotype imputation.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Genome Biol</w:t>
      </w:r>
      <w:r>
        <w:rPr>
          <w:rFonts w:ascii="Times New Roman" w:hAnsi="Times New Roman" w:cs="Times New Roman" w:eastAsia="Times New Roman"/>
        </w:rPr>
        <w:t xml:space="preserve">. 2023;24(1):271. doi:10.1186/s13059-023-03105-6.</w:t>
      </w:r>
      <w:bookmarkEnd w:id="4029"/>
    </w:p>
    <w:p>
      <w:pPr>
        <w:pageBreakBefore/>
        <w:pStyle w:val="Heading1"/>
        <w:jc w:val="both"/>
      </w:pPr>
      <w:r>
        <w:rPr>
          <w:rFonts w:ascii="Times New Roman" w:hAnsi="Times New Roman" w:cs="Times New Roman" w:eastAsia="Times New Roman"/>
        </w:rPr>
        <w:t xml:space="preserve">Supplementary Information</w:t>
      </w:r>
    </w:p>
    <w:p>
      <w:pPr>
        <w:pStyle w:val="Heading2"/>
        <w:jc w:val="both"/>
      </w:pPr>
      <w:r>
        <w:rPr>
          <w:rFonts w:ascii="Times New Roman" w:hAnsi="Times New Roman" w:cs="Times New Roman" w:eastAsia="Times New Roman"/>
        </w:rPr>
        <w:t xml:space="preserve">Table S1. Imputation accuracy (R²) - 1KG Phase 3, chip to WGS</w:t>
      </w:r>
    </w:p>
    <w:p>
      <w:pPr>
        <w:pStyle w:val="FirstParagraph"/>
        <w:jc w:val="both"/>
      </w:pPr>
      <w:r>
        <w:rPr>
          <w:rFonts w:ascii="Times New Roman" w:hAnsi="Times New Roman" w:cs="Times New Roman" w:eastAsia="Times New Roman"/>
        </w:rPr>
        <w:t xml:space="preserve">Panel: 1KG Phase 3, 4802 haps. Targets: 801 samples, chr22 (1.07 M variants) and</w:t>
      </w:r>
      <w:r>
        <w:rPr>
          <w:rFonts w:ascii="Times New Roman" w:hAnsi="Times New Roman" w:cs="Times New Roman" w:eastAsia="Times New Roman"/>
        </w:rPr>
        <w:t xml:space="preserve"> </w:t>
      </w:r>
      <w:r>
        <w:rPr>
          <w:rFonts w:ascii="Times New Roman" w:hAnsi="Times New Roman" w:cs="Times New Roman" w:eastAsia="Times New Roman"/>
        </w:rPr>
        <w:t xml:space="preserve">chr1 (5.77 M variants). 16 threads. PHASED = impute-only (input phased); UNPHASED =</w:t>
      </w:r>
      <w:r>
        <w:rPr>
          <w:rFonts w:ascii="Times New Roman" w:hAnsi="Times New Roman" w:cs="Times New Roman" w:eastAsia="Times New Roman"/>
        </w:rPr>
        <w:t xml:space="preserve"> </w:t>
      </w:r>
      <w:r>
        <w:rPr>
          <w:rFonts w:ascii="Times New Roman" w:hAnsi="Times New Roman" w:cs="Times New Roman" w:eastAsia="Times New Roman"/>
        </w:rPr>
        <w:t xml:space="preserve">full phase+impute pipeline. Reference: Beagle 5.5 (03Oct25).</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828"/>
        <w:gridCol w:w="1585"/>
        <w:gridCol w:w="2647"/>
        <w:gridCol w:w="1282"/>
        <w:gridCol w:w="1282"/>
        <w:gridCol w:w="1736"/>
      </w:tblGrid>
      <w:tr>
        <w:trPr>
          <w:tblHeader w:val="on"/>
        </w:trPr>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1585"/>
          </w:tcPr>
          <w:p>
            <w:pPr>
              <w:pStyle w:val="Compact"/>
              <w:jc w:val="center"/>
            </w:pPr>
            <w:r>
              <w:rPr>
                <w:rFonts w:ascii="Times New Roman" w:hAnsi="Times New Roman" w:cs="Times New Roman" w:eastAsia="Times New Roman"/>
                <w:b/>
                <w:color w:val="FFFFFF"/>
                <w:sz w:val="20"/>
              </w:rPr>
              <w:t xml:space="preserve">Mode</w:t>
            </w:r>
          </w:p>
        </w:tc>
        <w:tc>
          <w:tcPr>
            <w:shd w:val="clear" w:color="auto" w:fill="595959"/>
            <w:vAlign w:val="center"/>
            <w:tcW w:type="dxa" w:w="2647"/>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1282"/>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1282"/>
          </w:tcPr>
          <w:p>
            <w:pPr>
              <w:pStyle w:val="Compact"/>
              <w:jc w:val="center"/>
            </w:pPr>
            <w:r>
              <w:rPr>
                <w:rFonts w:ascii="Times New Roman" w:hAnsi="Times New Roman" w:cs="Times New Roman" w:eastAsia="Times New Roman"/>
                <w:b/>
                <w:color w:val="FFFFFF"/>
                <w:sz w:val="20"/>
              </w:rPr>
              <w:t xml:space="preserve">Beagle 5.5 R²</w:t>
            </w:r>
          </w:p>
        </w:tc>
        <w:tc>
          <w:tcPr>
            <w:shd w:val="clear" w:color="auto" w:fill="595959"/>
            <w:vAlign w:val="center"/>
            <w:tcW w:type="dxa" w:w="1736"/>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0.4776</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0.4680</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unphased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0.4832</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per-sample mean</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0.9152</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0.9077</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0.05-0.1%</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0.2661</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0.2672</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0.5-1%</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0.5033</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0.4850</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20-50%</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0.8418</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0.8313</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0.5643</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0.5571</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unphased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0.5739</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0.5640</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0.3453</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0.3495</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0.6077</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0.5912</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0.9305</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0.9249</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bl>
    <w:p>
      <w:pPr>
        <w:pStyle w:val="Heading2"/>
        <w:jc w:val="both"/>
      </w:pPr>
      <w:r>
        <w:rPr>
          <w:rFonts w:ascii="Times New Roman" w:hAnsi="Times New Roman" w:cs="Times New Roman" w:eastAsia="Times New Roman"/>
        </w:rPr>
        <w:t xml:space="preserve">Table S2. Imputation accuracy (R²) - biobank-scale MESA × TOPMed</w:t>
      </w:r>
    </w:p>
    <w:p>
      <w:pPr>
        <w:pStyle w:val="FirstParagraph"/>
        <w:jc w:val="both"/>
      </w:pPr>
      <w:r>
        <w:rPr>
          <w:rFonts w:ascii="Times New Roman" w:hAnsi="Times New Roman" w:cs="Times New Roman" w:eastAsia="Times New Roman"/>
        </w:rPr>
        <w:t xml:space="preserve">Target: MESA admixed cohort, chr20. Panel: TOPMed 171 K-hap (85 K samples; disjoint</w:t>
      </w:r>
      <w:r>
        <w:rPr>
          <w:rFonts w:ascii="Times New Roman" w:hAnsi="Times New Roman" w:cs="Times New Roman" w:eastAsia="Times New Roman"/>
        </w:rPr>
        <w:t xml:space="preserve"> </w:t>
      </w:r>
      <w:r>
        <w:rPr>
          <w:rFonts w:ascii="Times New Roman" w:hAnsi="Times New Roman" w:cs="Times New Roman" w:eastAsia="Times New Roman"/>
        </w:rPr>
        <w:t xml:space="preserve">from target).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w:t>
      </w:r>
      <w:r>
        <w:rPr>
          <w:rFonts w:ascii="Times New Roman" w:hAnsi="Times New Roman" w:cs="Times New Roman" w:eastAsia="Times New Roman"/>
        </w:rPr>
        <w:t xml:space="preserve">= max conditioning candidates. Reference: Beagle 5.5 unless noted.</w:t>
      </w:r>
      <w:r>
        <w:rPr>
          <w:rFonts w:ascii="Times New Roman" w:hAnsi="Times New Roman" w:cs="Times New Roman" w:eastAsia="Times New Roman"/>
        </w:rPr>
        <w:t xml:space="preserve"> </w:t>
      </w:r>
      <w:r>
        <w:rPr>
          <w:rFonts w:ascii="Times New Roman" w:hAnsi="Times New Roman" w:cs="Times New Roman" w:eastAsia="Times New Roman"/>
        </w:rPr>
        <w:t xml:space="preserve">The first row is the camera-ready headline that matches the main-text MESA result and Figure 2b (full</w:t>
      </w:r>
      <w:r>
        <w:rPr>
          <w:rFonts w:ascii="Times New Roman" w:hAnsi="Times New Roman" w:cs="Times New Roman" w:eastAsia="Times New Roman"/>
        </w:rPr>
        <w:t xml:space="preserve"> </w:t>
      </w:r>
      <w:r>
        <w:rPr>
          <w:rFonts w:ascii="Times New Roman" w:hAnsi="Times New Roman" w:cs="Times New Roman" w:eastAsia="Times New Roman"/>
        </w:rPr>
        <w:t xml:space="preserve">17.9 M-variant set,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--sample-batch-size</w:t>
      </w:r>
      <w:r>
        <w:rPr>
          <w:rFonts w:ascii="Times New Roman" w:hAnsi="Times New Roman" w:cs="Times New Roman" w:eastAsia="Times New Roman"/>
        </w:rPr>
        <w:t xml:space="preserve">, panel-adaptive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w:t>
      </w:r>
      <w:r>
        <w:rPr>
          <w:rFonts w:ascii="Times New Roman" w:hAnsi="Times New Roman" w:cs="Times New Roman" w:eastAsia="Times New Roman"/>
        </w:rPr>
        <w:t xml:space="preserve">= 132,676); the</w:t>
      </w:r>
      <w:r>
        <w:rPr>
          <w:rFonts w:ascii="Times New Roman" w:hAnsi="Times New Roman" w:cs="Times New Roman" w:eastAsia="Times New Roman"/>
        </w:rPr>
        <w:t xml:space="preserve"> </w:t>
      </w:r>
      <w:r>
        <w:rPr>
          <w:rFonts w:ascii="Times New Roman" w:hAnsi="Times New Roman" w:cs="Times New Roman" w:eastAsia="Times New Roman"/>
        </w:rPr>
        <w:t xml:space="preserve">subsequent rows are the candidate-set-size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sweep behind the biobank claim,</w:t>
      </w:r>
      <w:r>
        <w:rPr>
          <w:rFonts w:ascii="Times New Roman" w:hAnsi="Times New Roman" w:cs="Times New Roman" w:eastAsia="Times New Roman"/>
        </w:rPr>
        <w:t xml:space="preserve"> </w:t>
      </w:r>
      <w:r>
        <w:rPr>
          <w:rFonts w:ascii="Times New Roman" w:hAnsi="Times New Roman" w:cs="Times New Roman" w:eastAsia="Times New Roman"/>
        </w:rPr>
        <w:t xml:space="preserve">measured against an earlier Beagle 5.5 baseline (0.5975) and retained to show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w:t>
      </w:r>
      <w:r>
        <w:rPr>
          <w:rFonts w:ascii="Times New Roman" w:hAnsi="Times New Roman" w:cs="Times New Roman" w:eastAsia="Times New Roman"/>
        </w:rPr>
        <w:t xml:space="preserve">trajectory (so their Beagle column differs from the headline by design).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730"/>
        <w:gridCol w:w="2038"/>
        <w:gridCol w:w="2922"/>
        <w:gridCol w:w="890"/>
        <w:gridCol w:w="890"/>
        <w:gridCol w:w="890"/>
      </w:tblGrid>
      <w:tr>
        <w:trPr>
          <w:tblHeader w:val="on"/>
        </w:trPr>
        <w:tc>
          <w:tcPr>
            <w:shd w:val="clear" w:color="auto" w:fill="595959"/>
            <w:vAlign w:val="center"/>
            <w:tcW w:type="dxa" w:w="1730"/>
          </w:tcPr>
          <w:p>
            <w:pPr>
              <w:pStyle w:val="Compact"/>
              <w:jc w:val="center"/>
            </w:pPr>
            <w:r>
              <w:rPr>
                <w:rFonts w:ascii="Times New Roman" w:hAnsi="Times New Roman" w:cs="Times New Roman" w:eastAsia="Times New Roman"/>
                <w:b/>
                <w:color w:val="FFFFFF"/>
                <w:sz w:val="20"/>
              </w:rPr>
              <w:t xml:space="preserve">Cohort</w:t>
            </w:r>
          </w:p>
        </w:tc>
        <w:tc>
          <w:tcPr>
            <w:shd w:val="clear" w:color="auto" w:fill="595959"/>
            <w:vAlign w:val="center"/>
            <w:tcW w:type="dxa" w:w="2038"/>
          </w:tcPr>
          <w:p>
            <w:pPr>
              <w:pStyle w:val="Compact"/>
              <w:jc w:val="center"/>
            </w:pPr>
            <w:r>
              <w:rPr>
                <w:rFonts w:ascii="Times New Roman" w:hAnsi="Times New Roman" w:cs="Times New Roman" w:eastAsia="Times New Roman"/>
                <w:rStyle w:val="VerbatimChar"/>
                <w:b/>
                <w:color w:val="FFFFFF"/>
                <w:sz w:val="20"/>
              </w:rPr>
              <w:t xml:space="preserve">mc</w:t>
            </w:r>
          </w:p>
        </w:tc>
        <w:tc>
          <w:tcPr>
            <w:shd w:val="clear" w:color="auto" w:fill="595959"/>
            <w:vAlign w:val="center"/>
            <w:tcW w:type="dxa" w:w="2922"/>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Beagle R²</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132676 (auto), full 17.9 M var</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 (headline, diploid default)</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0.6148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0.5921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150K</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OVERALL (haploid, larger mc)</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0.6162</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0.5975</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132676 (auto)</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 (haploid auto-mc)</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0.6156</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0.5975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132676 (auto), full 17.9 M var</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per-sample mean (headline, diploid default)</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0.8978</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0.8764</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150K</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0.05-0.1% (rarest, Ne-default)</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0.5211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0.5020</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120K</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0.5-1%</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0.6554</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0.6360</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120K</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5-10%</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0.6809</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0.6635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120K</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20-50%</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0.6653</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0.6541</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100s set1</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9800</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0.6624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0.6242</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100s set1</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9800</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0.5-1%</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0.6548</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0.6079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100s set2</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9800</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0.6645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0.6290</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100s set1</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per-window default</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OVERALL (Test B)</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0.6506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0.6507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100s set2</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per-window default</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 (Test B)</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0.6549</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0.6546</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tie</w:t>
            </w:r>
          </w:p>
        </w:tc>
      </w:tr>
    </w:tbl>
    <w:p>
      <w:pPr>
        <w:pStyle w:val="Heading2"/>
        <w:jc w:val="both"/>
      </w:pPr>
      <w:r>
        <w:rPr>
          <w:rFonts w:ascii="Times New Roman" w:hAnsi="Times New Roman" w:cs="Times New Roman" w:eastAsia="Times New Roman"/>
        </w:rPr>
        <w:t xml:space="preserve">Table S3. Leak-free GIAB validation - chip to WGS</w:t>
      </w:r>
    </w:p>
    <w:p>
      <w:pPr>
        <w:pStyle w:val="FirstParagraph"/>
        <w:jc w:val="both"/>
      </w:pPr>
      <w:r>
        <w:rPr>
          <w:rFonts w:ascii="Times New Roman" w:hAnsi="Times New Roman" w:cs="Times New Roman" w:eastAsia="Times New Roman"/>
        </w:rPr>
        <w:t xml:space="preserve">6 GIAB samples (HG002-007), 75,552-haplotype reference panel (37,776 samples),</w:t>
      </w:r>
      <w:r>
        <w:rPr>
          <w:rFonts w:ascii="Times New Roman" w:hAnsi="Times New Roman" w:cs="Times New Roman" w:eastAsia="Times New Roman"/>
        </w:rPr>
        <w:t xml:space="preserve"> </w:t>
      </w:r>
      <w:r>
        <w:rPr>
          <w:rFonts w:ascii="Times New Roman" w:hAnsi="Times New Roman" w:cs="Times New Roman" w:eastAsia="Times New Roman"/>
        </w:rPr>
        <w:t xml:space="preserve">leak-free. EC2 r7a.4xlarge, 16 threads. Reference: Beagle 5 (03Oct25); old Selphi 1.5.3.</w:t>
      </w:r>
      <w:r>
        <w:rPr>
          <w:rFonts w:ascii="Times New Roman" w:hAnsi="Times New Roman" w:cs="Times New Roman" w:eastAsia="Times New Roman"/>
        </w:rPr>
        <w:t xml:space="preserve"> </w:t>
      </w:r>
      <w:r>
        <w:rPr>
          <w:rFonts w:ascii="Times New Roman" w:hAnsi="Times New Roman" w:cs="Times New Roman" w:eastAsia="Times New Roman"/>
        </w:rPr>
        <w:t xml:space="preserve">This is the GIAB overlay validation set (no array no-calls), distinct from the</w:t>
      </w:r>
      <w:r>
        <w:rPr>
          <w:rFonts w:ascii="Times New Roman" w:hAnsi="Times New Roman" w:cs="Times New Roman" w:eastAsia="Times New Roman"/>
        </w:rPr>
        <w:t xml:space="preserve"> </w:t>
      </w:r>
      <w:r>
        <w:rPr>
          <w:rFonts w:ascii="Times New Roman" w:hAnsi="Times New Roman" w:cs="Times New Roman" w:eastAsia="Times New Roman"/>
        </w:rPr>
        <w:t xml:space="preserve">consumer-array GSA benchmark in the main paper (Table 3); the missing-genotype</w:t>
      </w:r>
      <w:r>
        <w:rPr>
          <w:rFonts w:ascii="Times New Roman" w:hAnsi="Times New Roman" w:cs="Times New Roman" w:eastAsia="Times New Roman"/>
        </w:rPr>
        <w:t xml:space="preserve"> </w:t>
      </w:r>
      <w:r>
        <w:rPr>
          <w:rFonts w:ascii="Times New Roman" w:hAnsi="Times New Roman" w:cs="Times New Roman" w:eastAsia="Times New Roman"/>
        </w:rPr>
        <w:t xml:space="preserve">phasing fix does not affect these rows.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20"/>
        <w:gridCol w:w="4030"/>
        <w:gridCol w:w="1415"/>
        <w:gridCol w:w="995"/>
        <w:gridCol w:w="995"/>
        <w:gridCol w:w="1205"/>
      </w:tblGrid>
      <w:tr>
        <w:trPr>
          <w:tblHeader w:val="on"/>
        </w:trPr>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4030"/>
          </w:tcPr>
          <w:p>
            <w:pPr>
              <w:pStyle w:val="Compact"/>
              <w:jc w:val="center"/>
            </w:pPr>
            <w:r>
              <w:rPr>
                <w:rFonts w:ascii="Times New Roman" w:hAnsi="Times New Roman" w:cs="Times New Roman" w:eastAsia="Times New Roman"/>
                <w:b/>
                <w:color w:val="FFFFFF"/>
                <w:sz w:val="20"/>
              </w:rPr>
              <w:t xml:space="preserve">Mode</w:t>
            </w:r>
          </w:p>
        </w:tc>
        <w:tc>
          <w:tcPr>
            <w:shd w:val="clear" w:color="auto" w:fill="595959"/>
            <w:vAlign w:val="center"/>
            <w:tcW w:type="dxa" w:w="1415"/>
          </w:tcPr>
          <w:p>
            <w:pPr>
              <w:pStyle w:val="Compact"/>
              <w:jc w:val="center"/>
            </w:pPr>
            <w:r>
              <w:rPr>
                <w:rFonts w:ascii="Times New Roman" w:hAnsi="Times New Roman" w:cs="Times New Roman" w:eastAsia="Times New Roman"/>
                <w:b/>
                <w:color w:val="FFFFFF"/>
                <w:sz w:val="20"/>
              </w:rPr>
              <w:t xml:space="preserve">Metric</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Beagle 5</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0.9704</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0.9676</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concordance</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0.9777</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0.9762</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wall</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7.2 s</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12.5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peak RAM</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6.2 GB</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14.5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4030"/>
          </w:tcPr>
          <w:p>
            <w:pPr>
              <w:pStyle w:val="Compact"/>
              <w:jc w:val="left"/>
            </w:pPr>
            <w:r>
              <w:rPr>
                <w:rFonts w:ascii="Times New Roman" w:hAnsi="Times New Roman" w:cs="Times New Roman" w:eastAsia="Times New Roman"/>
                <w:sz w:val="20"/>
              </w:rPr>
              <w:t xml:space="preserve">full pipeline (diploid)</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0.9734</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0.9707</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4030"/>
          </w:tcPr>
          <w:p>
            <w:pPr>
              <w:pStyle w:val="Compact"/>
              <w:jc w:val="left"/>
            </w:pPr>
            <w:r>
              <w:rPr>
                <w:rFonts w:ascii="Times New Roman" w:hAnsi="Times New Roman" w:cs="Times New Roman" w:eastAsia="Times New Roman"/>
                <w:sz w:val="20"/>
              </w:rPr>
              <w:t xml:space="preserve">full pipeline (haploid auto)</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0.9705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0.9707</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0.9815</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0.9825</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wall</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38.8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43.2 s</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peak RAM</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16.3 GB</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39.2 GB</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4030"/>
          </w:tcPr>
          <w:p>
            <w:pPr>
              <w:pStyle w:val="Compact"/>
              <w:jc w:val="left"/>
            </w:pPr>
            <w:r>
              <w:rPr>
                <w:rFonts w:ascii="Times New Roman" w:hAnsi="Times New Roman" w:cs="Times New Roman" w:eastAsia="Times New Roman"/>
                <w:sz w:val="20"/>
              </w:rPr>
              <w:t xml:space="preserve">full pipeline (diploid)</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0.9812</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0.9820</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r>
    </w:tbl>
    <w:p>
      <w:pPr>
        <w:pStyle w:val="Heading2"/>
        <w:jc w:val="both"/>
      </w:pPr>
      <w:r>
        <w:rPr>
          <w:rFonts w:ascii="Times New Roman" w:hAnsi="Times New Roman" w:cs="Times New Roman" w:eastAsia="Times New Roman"/>
        </w:rPr>
        <w:t xml:space="preserve">Table S4. Low-coverage WGS (lcWGS) accuracy (R²) - vs GLIMPSE2 and QUILT2</w:t>
      </w:r>
    </w:p>
    <w:p>
      <w:pPr>
        <w:pStyle w:val="FirstParagraph"/>
        <w:jc w:val="both"/>
      </w:pPr>
      <w:r>
        <w:rPr>
          <w:rFonts w:ascii="Times New Roman" w:hAnsi="Times New Roman" w:cs="Times New Roman" w:eastAsia="Times New Roman"/>
        </w:rPr>
        <w:t xml:space="preserve">Extended detail behind main-text</w:t>
      </w:r>
      <w:r>
        <w:rPr>
          <w:rFonts w:ascii="Times New Roman" w:hAnsi="Times New Roman" w:cs="Times New Roman" w:eastAsia="Times New Roman"/>
        </w:rPr>
        <w:t xml:space="preserve"> </w:t>
      </w:r>
      <w:r>
        <w:rPr>
          <w:rFonts w:ascii="Times New Roman" w:hAnsi="Times New Roman" w:cs="Times New Roman" w:eastAsia="Times New Roman"/>
          <w:b/>
          <w:bCs/>
        </w:rPr>
        <w:t xml:space="preserve">Table 6</w:t>
      </w:r>
      <w:r>
        <w:rPr>
          <w:rFonts w:ascii="Times New Roman" w:hAnsi="Times New Roman" w:cs="Times New Roman" w:eastAsia="Times New Roman"/>
        </w:rPr>
        <w:t xml:space="preserve"> </w:t>
      </w:r>
      <w:r>
        <w:rPr>
          <w:rFonts w:ascii="Times New Roman" w:hAnsi="Times New Roman" w:cs="Times New Roman" w:eastAsia="Times New Roman"/>
        </w:rPr>
        <w:t xml:space="preserve">(per-sample real-GIAB accuracy) and</w:t>
      </w:r>
      <w:r>
        <w:rPr>
          <w:rFonts w:ascii="Times New Roman" w:hAnsi="Times New Roman" w:cs="Times New Roman" w:eastAsia="Times New Roman"/>
        </w:rPr>
        <w:t xml:space="preserve"> </w:t>
      </w:r>
      <w:r>
        <w:rPr>
          <w:rFonts w:ascii="Times New Roman" w:hAnsi="Times New Roman" w:cs="Times New Roman" w:eastAsia="Times New Roman"/>
          <w:b/>
          <w:bCs/>
        </w:rPr>
        <w:t xml:space="preserve">Table 6b</w:t>
      </w:r>
      <w:r>
        <w:rPr>
          <w:rFonts w:ascii="Times New Roman" w:hAnsi="Times New Roman" w:cs="Times New Roman" w:eastAsia="Times New Roman"/>
        </w:rPr>
        <w:t xml:space="preserve"> </w:t>
      </w:r>
      <w:r>
        <w:rPr>
          <w:rFonts w:ascii="Times New Roman" w:hAnsi="Times New Roman" w:cs="Times New Roman" w:eastAsia="Times New Roman"/>
        </w:rPr>
        <w:t xml:space="preserve">(three-way coverage sweep). Default engine = the reference-faithful</w:t>
      </w:r>
      <w:r>
        <w:rPr>
          <w:rFonts w:ascii="Times New Roman" w:hAnsi="Times New Roman" w:cs="Times New Roman" w:eastAsia="Times New Roman"/>
        </w:rPr>
        <w:t xml:space="preserve"> </w:t>
      </w:r>
      <w:r>
        <w:rPr>
          <w:rFonts w:ascii="Times New Roman" w:hAnsi="Times New Roman" w:cs="Times New Roman" w:eastAsia="Times New Roman"/>
        </w:rPr>
        <w:t xml:space="preserve">8-founder phasing HMM run every iteration (opt out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LCWGS_NO_FOUNDER_PHASE=1</w:t>
      </w:r>
      <w:r>
        <w:rPr>
          <w:rFonts w:ascii="Times New Roman" w:hAnsi="Times New Roman" w:cs="Times New Roman" w:eastAsia="Times New Roman"/>
        </w:rPr>
        <w:t xml:space="preserve">) with</w:t>
      </w:r>
      <w:r>
        <w:rPr>
          <w:rFonts w:ascii="Times New Roman" w:hAnsi="Times New Roman" w:cs="Times New Roman" w:eastAsia="Times New Roman"/>
        </w:rPr>
        <w:t xml:space="preserve"> </w:t>
      </w:r>
      <w:r>
        <w:rPr>
          <w:rFonts w:ascii="Times New Roman" w:hAnsi="Times New Roman" w:cs="Times New Roman" w:eastAsia="Times New Roman"/>
        </w:rPr>
        <w:t xml:space="preserve">band-mode recombination (default; Methods). All rows compute genotype likelihoods</w:t>
      </w:r>
      <w:r>
        <w:rPr>
          <w:rFonts w:ascii="Times New Roman" w:hAnsi="Times New Roman" w:cs="Times New Roman" w:eastAsia="Times New Roman"/>
        </w:rPr>
        <w:t xml:space="preserve"> </w:t>
      </w:r>
      <w:r>
        <w:rPr>
          <w:rFonts w:ascii="Times New Roman" w:hAnsi="Times New Roman" w:cs="Times New Roman" w:eastAsia="Times New Roman"/>
        </w:rPr>
        <w:t xml:space="preserve">from the BAM with each tool's own in-process pileup (no external caller) and score</w:t>
      </w:r>
      <w:r>
        <w:rPr>
          <w:rFonts w:ascii="Times New Roman" w:hAnsi="Times New Roman" w:cs="Times New Roman" w:eastAsia="Times New Roman"/>
        </w:rPr>
        <w:t xml:space="preserve"> </w:t>
      </w:r>
      <w:r>
        <w:rPr>
          <w:rFonts w:ascii="Times New Roman" w:hAnsi="Times New Roman" w:cs="Times New Roman" w:eastAsia="Times New Roman"/>
        </w:rPr>
        <w:t xml:space="preserve">on the identical site set across the compared tools.</w:t>
      </w:r>
    </w:p>
    <w:p>
      <w:pPr>
        <w:pStyle w:val="BodyText"/>
        <w:jc w:val="both"/>
      </w:pPr>
      <w:r>
        <w:rPr>
          <w:rFonts w:ascii="Times New Roman" w:hAnsi="Times New Roman" w:cs="Times New Roman" w:eastAsia="Times New Roman"/>
          <w:b/>
          <w:bCs/>
        </w:rPr>
        <w:t xml:space="preserve">S4a. Per-sample real-GIAB accuracy (= main-text Table 6).</w:t>
      </w:r>
      <w:r>
        <w:rPr>
          <w:rFonts w:ascii="Times New Roman" w:hAnsi="Times New Roman" w:cs="Times New Roman" w:eastAsia="Times New Roman"/>
        </w:rPr>
        <w:t xml:space="preserve"> </w:t>
      </w:r>
      <w:r>
        <w:rPr>
          <w:rFonts w:ascii="Times New Roman" w:hAnsi="Times New Roman" w:cs="Times New Roman" w:eastAsia="Times New Roman"/>
        </w:rPr>
        <w:t xml:space="preserve">Six GIAB samples</w:t>
      </w:r>
      <w:r>
        <w:rPr>
          <w:rFonts w:ascii="Times New Roman" w:hAnsi="Times New Roman" w:cs="Times New Roman" w:eastAsia="Times New Roman"/>
        </w:rPr>
        <w:t xml:space="preserve"> </w:t>
      </w:r>
      <w:r>
        <w:rPr>
          <w:rFonts w:ascii="Times New Roman" w:hAnsi="Times New Roman" w:cs="Times New Roman" w:eastAsia="Times New Roman"/>
        </w:rPr>
        <w:t xml:space="preserve">(HG002-HG007), NovaSeq PCR-free 30× downsampled to ~1.8× chromosome 22, imputed</w:t>
      </w:r>
      <w:r>
        <w:rPr>
          <w:rFonts w:ascii="Times New Roman" w:hAnsi="Times New Roman" w:cs="Times New Roman" w:eastAsia="Times New Roman"/>
        </w:rPr>
        <w:t xml:space="preserve"> </w:t>
      </w:r>
      <w:r>
        <w:rPr>
          <w:rFonts w:ascii="Times New Roman" w:hAnsi="Times New Roman" w:cs="Times New Roman" w:eastAsia="Times New Roman"/>
        </w:rPr>
        <w:t xml:space="preserve">independently against the 4,478-haplotype (2,239-sample) no-trios 1000 Genomes</w:t>
      </w:r>
      <w:r>
        <w:rPr>
          <w:rFonts w:ascii="Times New Roman" w:hAnsi="Times New Roman" w:cs="Times New Roman" w:eastAsia="Times New Roman"/>
        </w:rPr>
        <w:t xml:space="preserve"> </w:t>
      </w:r>
      <w:r>
        <w:rPr>
          <w:rFonts w:ascii="Times New Roman" w:hAnsi="Times New Roman" w:cs="Times New Roman" w:eastAsia="Times New Roman"/>
        </w:rPr>
        <w:t xml:space="preserve">panel. Per-sample dosage R² over the high-confidence variant sites carrying a</w:t>
      </w:r>
      <w:r>
        <w:rPr>
          <w:rFonts w:ascii="Times New Roman" w:hAnsi="Times New Roman" w:cs="Times New Roman" w:eastAsia="Times New Roman"/>
        </w:rPr>
        <w:t xml:space="preserve"> </w:t>
      </w:r>
      <w:r>
        <w:rPr>
          <w:rFonts w:ascii="Times New Roman" w:hAnsi="Times New Roman" w:cs="Times New Roman" w:eastAsia="Times New Roman"/>
        </w:rPr>
        <w:t xml:space="preserve">non-reference allele (≈37-40k per sample), identical site set for both tools.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209"/>
        <w:gridCol w:w="2211"/>
        <w:gridCol w:w="2731"/>
        <w:gridCol w:w="2209"/>
      </w:tblGrid>
      <w:tr>
        <w:trPr>
          <w:tblHeader w:val="on"/>
        </w:trPr>
        <w:tc>
          <w:tcPr>
            <w:shd w:val="clear" w:color="auto" w:fill="595959"/>
            <w:vAlign w:val="center"/>
            <w:tcW w:type="dxa" w:w="2209"/>
          </w:tcPr>
          <w:p>
            <w:pPr>
              <w:pStyle w:val="Compact"/>
              <w:jc w:val="center"/>
            </w:pPr>
            <w:r>
              <w:rPr>
                <w:rFonts w:ascii="Times New Roman" w:hAnsi="Times New Roman" w:cs="Times New Roman" w:eastAsia="Times New Roman"/>
                <w:b/>
                <w:color w:val="FFFFFF"/>
                <w:sz w:val="20"/>
              </w:rPr>
              <w:t xml:space="preserve">Sample</w:t>
            </w:r>
          </w:p>
        </w:tc>
        <w:tc>
          <w:tcPr>
            <w:shd w:val="clear" w:color="auto" w:fill="595959"/>
            <w:vAlign w:val="center"/>
            <w:tcW w:type="dxa" w:w="2211"/>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2731"/>
          </w:tcPr>
          <w:p>
            <w:pPr>
              <w:pStyle w:val="Compact"/>
              <w:jc w:val="center"/>
            </w:pPr>
            <w:r>
              <w:rPr>
                <w:rFonts w:ascii="Times New Roman" w:hAnsi="Times New Roman" w:cs="Times New Roman" w:eastAsia="Times New Roman"/>
                <w:b/>
                <w:color w:val="FFFFFF"/>
                <w:sz w:val="20"/>
              </w:rPr>
              <w:t xml:space="preserve">GLIMPSE2 R²</w:t>
            </w:r>
          </w:p>
        </w:tc>
        <w:tc>
          <w:tcPr>
            <w:shd w:val="clear" w:color="auto" w:fill="595959"/>
            <w:vAlign w:val="center"/>
            <w:tcW w:type="dxa" w:w="2209"/>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HG002</w:t>
            </w:r>
          </w:p>
        </w:tc>
        <w:tc>
          <w:tcPr>
            <w:shd w:val="clear" w:color="auto" w:fill="FFFFFF"/>
            <w:vAlign w:val="center"/>
            <w:tcW w:type="dxa" w:w="2211"/>
          </w:tcPr>
          <w:p>
            <w:pPr>
              <w:pStyle w:val="Compact"/>
              <w:jc w:val="center"/>
            </w:pPr>
            <w:r>
              <w:rPr>
                <w:rFonts w:ascii="Times New Roman" w:hAnsi="Times New Roman" w:cs="Times New Roman" w:eastAsia="Times New Roman"/>
                <w:b/>
                <w:bCs/>
                <w:sz w:val="20"/>
              </w:rPr>
              <w:t xml:space="preserve">0.9457</w:t>
            </w:r>
          </w:p>
        </w:tc>
        <w:tc>
          <w:tcPr>
            <w:shd w:val="clear" w:color="auto" w:fill="FFFFFF"/>
            <w:vAlign w:val="center"/>
            <w:tcW w:type="dxa" w:w="2731"/>
          </w:tcPr>
          <w:p>
            <w:pPr>
              <w:pStyle w:val="Compact"/>
              <w:jc w:val="center"/>
            </w:pPr>
            <w:r>
              <w:rPr>
                <w:rFonts w:ascii="Times New Roman" w:hAnsi="Times New Roman" w:cs="Times New Roman" w:eastAsia="Times New Roman"/>
                <w:sz w:val="20"/>
              </w:rPr>
              <w:t xml:space="preserve">0.9421</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HG003</w:t>
            </w:r>
          </w:p>
        </w:tc>
        <w:tc>
          <w:tcPr>
            <w:shd w:val="clear" w:color="auto" w:fill="E7E6E6"/>
            <w:vAlign w:val="center"/>
            <w:tcW w:type="dxa" w:w="2211"/>
          </w:tcPr>
          <w:p>
            <w:pPr>
              <w:pStyle w:val="Compact"/>
              <w:jc w:val="center"/>
            </w:pPr>
            <w:r>
              <w:rPr>
                <w:rFonts w:ascii="Times New Roman" w:hAnsi="Times New Roman" w:cs="Times New Roman" w:eastAsia="Times New Roman"/>
                <w:b/>
                <w:bCs/>
                <w:sz w:val="20"/>
              </w:rPr>
              <w:t xml:space="preserve">0.9515</w:t>
            </w:r>
          </w:p>
        </w:tc>
        <w:tc>
          <w:tcPr>
            <w:shd w:val="clear" w:color="auto" w:fill="E7E6E6"/>
            <w:vAlign w:val="center"/>
            <w:tcW w:type="dxa" w:w="2731"/>
          </w:tcPr>
          <w:p>
            <w:pPr>
              <w:pStyle w:val="Compact"/>
              <w:jc w:val="center"/>
            </w:pPr>
            <w:r>
              <w:rPr>
                <w:rFonts w:ascii="Times New Roman" w:hAnsi="Times New Roman" w:cs="Times New Roman" w:eastAsia="Times New Roman"/>
                <w:sz w:val="20"/>
              </w:rPr>
              <w:t xml:space="preserve">0.9459</w:t>
            </w:r>
          </w:p>
        </w:tc>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HG004</w:t>
            </w:r>
          </w:p>
        </w:tc>
        <w:tc>
          <w:tcPr>
            <w:shd w:val="clear" w:color="auto" w:fill="FFFFFF"/>
            <w:vAlign w:val="center"/>
            <w:tcW w:type="dxa" w:w="2211"/>
          </w:tcPr>
          <w:p>
            <w:pPr>
              <w:pStyle w:val="Compact"/>
              <w:jc w:val="center"/>
            </w:pPr>
            <w:r>
              <w:rPr>
                <w:rFonts w:ascii="Times New Roman" w:hAnsi="Times New Roman" w:cs="Times New Roman" w:eastAsia="Times New Roman"/>
                <w:b/>
                <w:bCs/>
                <w:sz w:val="20"/>
              </w:rPr>
              <w:t xml:space="preserve">0.9479</w:t>
            </w:r>
          </w:p>
        </w:tc>
        <w:tc>
          <w:tcPr>
            <w:shd w:val="clear" w:color="auto" w:fill="FFFFFF"/>
            <w:vAlign w:val="center"/>
            <w:tcW w:type="dxa" w:w="2731"/>
          </w:tcPr>
          <w:p>
            <w:pPr>
              <w:pStyle w:val="Compact"/>
              <w:jc w:val="center"/>
            </w:pPr>
            <w:r>
              <w:rPr>
                <w:rFonts w:ascii="Times New Roman" w:hAnsi="Times New Roman" w:cs="Times New Roman" w:eastAsia="Times New Roman"/>
                <w:sz w:val="20"/>
              </w:rPr>
              <w:t xml:space="preserve">0.9435</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HG005</w:t>
            </w:r>
          </w:p>
        </w:tc>
        <w:tc>
          <w:tcPr>
            <w:shd w:val="clear" w:color="auto" w:fill="E7E6E6"/>
            <w:vAlign w:val="center"/>
            <w:tcW w:type="dxa" w:w="2211"/>
          </w:tcPr>
          <w:p>
            <w:pPr>
              <w:pStyle w:val="Compact"/>
              <w:jc w:val="center"/>
            </w:pPr>
            <w:r>
              <w:rPr>
                <w:rFonts w:ascii="Times New Roman" w:hAnsi="Times New Roman" w:cs="Times New Roman" w:eastAsia="Times New Roman"/>
                <w:b/>
                <w:bCs/>
                <w:sz w:val="20"/>
              </w:rPr>
              <w:t xml:space="preserve">0.9455</w:t>
            </w:r>
          </w:p>
        </w:tc>
        <w:tc>
          <w:tcPr>
            <w:shd w:val="clear" w:color="auto" w:fill="E7E6E6"/>
            <w:vAlign w:val="center"/>
            <w:tcW w:type="dxa" w:w="2731"/>
          </w:tcPr>
          <w:p>
            <w:pPr>
              <w:pStyle w:val="Compact"/>
              <w:jc w:val="center"/>
            </w:pPr>
            <w:r>
              <w:rPr>
                <w:rFonts w:ascii="Times New Roman" w:hAnsi="Times New Roman" w:cs="Times New Roman" w:eastAsia="Times New Roman"/>
                <w:sz w:val="20"/>
              </w:rPr>
              <w:t xml:space="preserve">0.9416</w:t>
            </w:r>
          </w:p>
        </w:tc>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HG006</w:t>
            </w:r>
          </w:p>
        </w:tc>
        <w:tc>
          <w:tcPr>
            <w:shd w:val="clear" w:color="auto" w:fill="FFFFFF"/>
            <w:vAlign w:val="center"/>
            <w:tcW w:type="dxa" w:w="2211"/>
          </w:tcPr>
          <w:p>
            <w:pPr>
              <w:pStyle w:val="Compact"/>
              <w:jc w:val="center"/>
            </w:pPr>
            <w:r>
              <w:rPr>
                <w:rFonts w:ascii="Times New Roman" w:hAnsi="Times New Roman" w:cs="Times New Roman" w:eastAsia="Times New Roman"/>
                <w:b/>
                <w:bCs/>
                <w:sz w:val="20"/>
              </w:rPr>
              <w:t xml:space="preserve">0.9547</w:t>
            </w:r>
          </w:p>
        </w:tc>
        <w:tc>
          <w:tcPr>
            <w:shd w:val="clear" w:color="auto" w:fill="FFFFFF"/>
            <w:vAlign w:val="center"/>
            <w:tcW w:type="dxa" w:w="2731"/>
          </w:tcPr>
          <w:p>
            <w:pPr>
              <w:pStyle w:val="Compact"/>
              <w:jc w:val="center"/>
            </w:pPr>
            <w:r>
              <w:rPr>
                <w:rFonts w:ascii="Times New Roman" w:hAnsi="Times New Roman" w:cs="Times New Roman" w:eastAsia="Times New Roman"/>
                <w:sz w:val="20"/>
              </w:rPr>
              <w:t xml:space="preserve">0.9496</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HG007</w:t>
            </w:r>
          </w:p>
        </w:tc>
        <w:tc>
          <w:tcPr>
            <w:shd w:val="clear" w:color="auto" w:fill="E7E6E6"/>
            <w:vAlign w:val="center"/>
            <w:tcW w:type="dxa" w:w="2211"/>
          </w:tcPr>
          <w:p>
            <w:pPr>
              <w:pStyle w:val="Compact"/>
              <w:jc w:val="center"/>
            </w:pPr>
            <w:r>
              <w:rPr>
                <w:rFonts w:ascii="Times New Roman" w:hAnsi="Times New Roman" w:cs="Times New Roman" w:eastAsia="Times New Roman"/>
                <w:sz w:val="20"/>
              </w:rPr>
              <w:t xml:space="preserve">0.9502</w:t>
            </w:r>
          </w:p>
        </w:tc>
        <w:tc>
          <w:tcPr>
            <w:shd w:val="clear" w:color="auto" w:fill="E7E6E6"/>
            <w:vAlign w:val="center"/>
            <w:tcW w:type="dxa" w:w="2731"/>
          </w:tcPr>
          <w:p>
            <w:pPr>
              <w:pStyle w:val="Compact"/>
              <w:jc w:val="center"/>
            </w:pPr>
            <w:r>
              <w:rPr>
                <w:rFonts w:ascii="Times New Roman" w:hAnsi="Times New Roman" w:cs="Times New Roman" w:eastAsia="Times New Roman"/>
                <w:sz w:val="20"/>
              </w:rPr>
              <w:t xml:space="preserve">0.9504</w:t>
            </w:r>
          </w:p>
        </w:tc>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2211"/>
          </w:tcPr>
          <w:p>
            <w:pPr>
              <w:pStyle w:val="Compact"/>
              <w:jc w:val="center"/>
            </w:pPr>
            <w:r>
              <w:rPr>
                <w:rFonts w:ascii="Times New Roman" w:hAnsi="Times New Roman" w:cs="Times New Roman" w:eastAsia="Times New Roman"/>
                <w:b/>
                <w:bCs/>
                <w:sz w:val="20"/>
              </w:rPr>
              <w:t xml:space="preserve">0.9493</w:t>
            </w:r>
          </w:p>
        </w:tc>
        <w:tc>
          <w:tcPr>
            <w:shd w:val="clear" w:color="auto" w:fill="FFFFFF"/>
            <w:vAlign w:val="center"/>
            <w:tcW w:type="dxa" w:w="2731"/>
          </w:tcPr>
          <w:p>
            <w:pPr>
              <w:pStyle w:val="Compact"/>
              <w:jc w:val="center"/>
            </w:pPr>
            <w:r>
              <w:rPr>
                <w:rFonts w:ascii="Times New Roman" w:hAnsi="Times New Roman" w:cs="Times New Roman" w:eastAsia="Times New Roman"/>
                <w:sz w:val="20"/>
              </w:rPr>
              <w:t xml:space="preserve">0.9455</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Selphi</w:t>
            </w:r>
          </w:p>
        </w:tc>
      </w:tr>
    </w:tbl>
    <w:p>
      <w:pPr>
        <w:pStyle w:val="BodyText"/>
        <w:jc w:val="both"/>
      </w:pPr>
      <w:r>
        <w:rPr>
          <w:rFonts w:ascii="Times New Roman" w:hAnsi="Times New Roman" w:cs="Times New Roman" w:eastAsia="Times New Roman"/>
          <w:b/>
          <w:bCs/>
        </w:rPr>
        <w:t xml:space="preserve">S4b. Three-way coverage sweep (= main-text Table 6b).</w:t>
      </w:r>
      <w:r>
        <w:rPr>
          <w:rFonts w:ascii="Times New Roman" w:hAnsi="Times New Roman" w:cs="Times New Roman" w:eastAsia="Times New Roman"/>
        </w:rPr>
        <w:t xml:space="preserve"> </w:t>
      </w:r>
      <w:r>
        <w:rPr>
          <w:rFonts w:ascii="Times New Roman" w:hAnsi="Times New Roman" w:cs="Times New Roman" w:eastAsia="Times New Roman"/>
        </w:rPr>
        <w:t xml:space="preserve">Mean per-sample dosage R²</w:t>
      </w:r>
      <w:r>
        <w:rPr>
          <w:rFonts w:ascii="Times New Roman" w:hAnsi="Times New Roman" w:cs="Times New Roman" w:eastAsia="Times New Roman"/>
        </w:rPr>
        <w:t xml:space="preserve"> </w:t>
      </w:r>
      <w:r>
        <w:rPr>
          <w:rFonts w:ascii="Times New Roman" w:hAnsi="Times New Roman" w:cs="Times New Roman" w:eastAsia="Times New Roman"/>
        </w:rPr>
        <w:t xml:space="preserve">over GIAB HG002/HG003/HG004 downsampled to each depth over chr22:20-30 Mb, imputed</w:t>
      </w:r>
      <w:r>
        <w:rPr>
          <w:rFonts w:ascii="Times New Roman" w:hAnsi="Times New Roman" w:cs="Times New Roman" w:eastAsia="Times New Roman"/>
        </w:rPr>
        <w:t xml:space="preserve"> </w:t>
      </w:r>
      <w:r>
        <w:rPr>
          <w:rFonts w:ascii="Times New Roman" w:hAnsi="Times New Roman" w:cs="Times New Roman" w:eastAsia="Times New Roman"/>
        </w:rPr>
        <w:t xml:space="preserve">against a leak-free 1000 Genomes panel (6,332 haplotypes), scored (reference-homozygous</w:t>
      </w:r>
      <w:r>
        <w:rPr>
          <w:rFonts w:ascii="Times New Roman" w:hAnsi="Times New Roman" w:cs="Times New Roman" w:eastAsia="Times New Roman"/>
        </w:rPr>
        <w:t xml:space="preserve"> </w:t>
      </w:r>
      <w:r>
        <w:rPr>
          <w:rFonts w:ascii="Times New Roman" w:hAnsi="Times New Roman" w:cs="Times New Roman" w:eastAsia="Times New Roman"/>
        </w:rPr>
        <w:t xml:space="preserve">sites as dosage zero) on the set of sites imputed by all three tools. Overall and</w:t>
      </w:r>
      <w:r>
        <w:rPr>
          <w:rFonts w:ascii="Times New Roman" w:hAnsi="Times New Roman" w:cs="Times New Roman" w:eastAsia="Times New Roman"/>
        </w:rPr>
        <w:t xml:space="preserve"> </w:t>
      </w:r>
      <w:r>
        <w:rPr>
          <w:rFonts w:ascii="Times New Roman" w:hAnsi="Times New Roman" w:cs="Times New Roman" w:eastAsia="Times New Roman"/>
        </w:rPr>
        <w:t xml:space="preserve">ultra-rare (MAF 0-0.5%).</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383"/>
        <w:gridCol w:w="2841"/>
        <w:gridCol w:w="1119"/>
        <w:gridCol w:w="1383"/>
        <w:gridCol w:w="1119"/>
        <w:gridCol w:w="1515"/>
      </w:tblGrid>
      <w:tr>
        <w:trPr>
          <w:tblHeader w:val="on"/>
        </w:trPr>
        <w:tc>
          <w:tcPr>
            <w:shd w:val="clear" w:color="auto" w:fill="595959"/>
            <w:vAlign w:val="center"/>
            <w:tcW w:type="dxa" w:w="1383"/>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841"/>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1119"/>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1383"/>
          </w:tcPr>
          <w:p>
            <w:pPr>
              <w:pStyle w:val="Compact"/>
              <w:jc w:val="center"/>
            </w:pPr>
            <w:r>
              <w:rPr>
                <w:rFonts w:ascii="Times New Roman" w:hAnsi="Times New Roman" w:cs="Times New Roman" w:eastAsia="Times New Roman"/>
                <w:b/>
                <w:color w:val="FFFFFF"/>
                <w:sz w:val="20"/>
              </w:rPr>
              <w:t xml:space="preserve">GLIMPSE2 R²</w:t>
            </w:r>
          </w:p>
        </w:tc>
        <w:tc>
          <w:tcPr>
            <w:shd w:val="clear" w:color="auto" w:fill="595959"/>
            <w:vAlign w:val="center"/>
            <w:tcW w:type="dxa" w:w="1119"/>
          </w:tcPr>
          <w:p>
            <w:pPr>
              <w:pStyle w:val="Compact"/>
              <w:jc w:val="center"/>
            </w:pPr>
            <w:r>
              <w:rPr>
                <w:rFonts w:ascii="Times New Roman" w:hAnsi="Times New Roman" w:cs="Times New Roman" w:eastAsia="Times New Roman"/>
                <w:b/>
                <w:color w:val="FFFFFF"/>
                <w:sz w:val="20"/>
              </w:rPr>
              <w:t xml:space="preserve">QUILT2 R²</w:t>
            </w:r>
          </w:p>
        </w:tc>
        <w:tc>
          <w:tcPr>
            <w:shd w:val="clear" w:color="auto" w:fill="595959"/>
            <w:vAlign w:val="center"/>
            <w:tcW w:type="dxa" w:w="1515"/>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0.5×</w:t>
            </w:r>
          </w:p>
        </w:tc>
        <w:tc>
          <w:tcPr>
            <w:shd w:val="clear" w:color="auto" w:fill="FFFFFF"/>
            <w:vAlign w:val="center"/>
            <w:tcW w:type="dxa" w:w="2841"/>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1119"/>
          </w:tcPr>
          <w:p>
            <w:pPr>
              <w:pStyle w:val="Compact"/>
              <w:jc w:val="center"/>
            </w:pPr>
            <w:r>
              <w:rPr>
                <w:rFonts w:ascii="Times New Roman" w:hAnsi="Times New Roman" w:cs="Times New Roman" w:eastAsia="Times New Roman"/>
                <w:b/>
                <w:bCs/>
                <w:sz w:val="20"/>
              </w:rPr>
              <w:t xml:space="preserve">0.9924</w:t>
            </w:r>
          </w:p>
        </w:tc>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0.9916</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0.9919</w:t>
            </w:r>
          </w:p>
        </w:tc>
        <w:tc>
          <w:tcPr>
            <w:shd w:val="clear" w:color="auto" w:fill="FFFFFF"/>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2841"/>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1119"/>
          </w:tcPr>
          <w:p>
            <w:pPr>
              <w:pStyle w:val="Compact"/>
              <w:jc w:val="center"/>
            </w:pPr>
            <w:r>
              <w:rPr>
                <w:rFonts w:ascii="Times New Roman" w:hAnsi="Times New Roman" w:cs="Times New Roman" w:eastAsia="Times New Roman"/>
                <w:b/>
                <w:bCs/>
                <w:sz w:val="20"/>
              </w:rPr>
              <w:t xml:space="preserve">0.9950</w:t>
            </w:r>
          </w:p>
        </w:tc>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0.9945</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0.9944</w:t>
            </w:r>
          </w:p>
        </w:tc>
        <w:tc>
          <w:tcPr>
            <w:shd w:val="clear" w:color="auto" w:fill="E7E6E6"/>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2×</w:t>
            </w:r>
          </w:p>
        </w:tc>
        <w:tc>
          <w:tcPr>
            <w:shd w:val="clear" w:color="auto" w:fill="FFFFFF"/>
            <w:vAlign w:val="center"/>
            <w:tcW w:type="dxa" w:w="2841"/>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1119"/>
          </w:tcPr>
          <w:p>
            <w:pPr>
              <w:pStyle w:val="Compact"/>
              <w:jc w:val="center"/>
            </w:pPr>
            <w:r>
              <w:rPr>
                <w:rFonts w:ascii="Times New Roman" w:hAnsi="Times New Roman" w:cs="Times New Roman" w:eastAsia="Times New Roman"/>
                <w:b/>
                <w:bCs/>
                <w:sz w:val="20"/>
              </w:rPr>
              <w:t xml:space="preserve">0.9971</w:t>
            </w:r>
          </w:p>
        </w:tc>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0.9967</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0.9968</w:t>
            </w:r>
          </w:p>
        </w:tc>
        <w:tc>
          <w:tcPr>
            <w:shd w:val="clear" w:color="auto" w:fill="FFFFFF"/>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4×</w:t>
            </w:r>
          </w:p>
        </w:tc>
        <w:tc>
          <w:tcPr>
            <w:shd w:val="clear" w:color="auto" w:fill="E7E6E6"/>
            <w:vAlign w:val="center"/>
            <w:tcW w:type="dxa" w:w="2841"/>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1119"/>
          </w:tcPr>
          <w:p>
            <w:pPr>
              <w:pStyle w:val="Compact"/>
              <w:jc w:val="center"/>
            </w:pPr>
            <w:r>
              <w:rPr>
                <w:rFonts w:ascii="Times New Roman" w:hAnsi="Times New Roman" w:cs="Times New Roman" w:eastAsia="Times New Roman"/>
                <w:b/>
                <w:bCs/>
                <w:sz w:val="20"/>
              </w:rPr>
              <w:t xml:space="preserve">0.9979</w:t>
            </w:r>
          </w:p>
        </w:tc>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0.9975</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0.9973</w:t>
            </w:r>
          </w:p>
        </w:tc>
        <w:tc>
          <w:tcPr>
            <w:shd w:val="clear" w:color="auto" w:fill="E7E6E6"/>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0.5×</w:t>
            </w:r>
          </w:p>
        </w:tc>
        <w:tc>
          <w:tcPr>
            <w:shd w:val="clear" w:color="auto" w:fill="FFFFFF"/>
            <w:vAlign w:val="center"/>
            <w:tcW w:type="dxa" w:w="2841"/>
          </w:tcPr>
          <w:p>
            <w:pPr>
              <w:pStyle w:val="Compact"/>
              <w:jc w:val="left"/>
            </w:pPr>
            <w:r>
              <w:rPr>
                <w:rFonts w:ascii="Times New Roman" w:hAnsi="Times New Roman" w:cs="Times New Roman" w:eastAsia="Times New Roman"/>
                <w:sz w:val="20"/>
              </w:rPr>
              <w:t xml:space="preserve">0-0.5% (ultra-rare)</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0.8997</w:t>
            </w:r>
          </w:p>
        </w:tc>
        <w:tc>
          <w:tcPr>
            <w:shd w:val="clear" w:color="auto" w:fill="FFFFFF"/>
            <w:vAlign w:val="center"/>
            <w:tcW w:type="dxa" w:w="1383"/>
          </w:tcPr>
          <w:p>
            <w:pPr>
              <w:pStyle w:val="Compact"/>
              <w:jc w:val="center"/>
            </w:pPr>
            <w:r>
              <w:rPr>
                <w:rFonts w:ascii="Times New Roman" w:hAnsi="Times New Roman" w:cs="Times New Roman" w:eastAsia="Times New Roman"/>
                <w:b/>
                <w:bCs/>
                <w:sz w:val="20"/>
              </w:rPr>
              <w:t xml:space="preserve">0.9023</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0.8864</w:t>
            </w:r>
          </w:p>
        </w:tc>
        <w:tc>
          <w:tcPr>
            <w:shd w:val="clear" w:color="auto" w:fill="FFFFFF"/>
            <w:vAlign w:val="center"/>
            <w:tcW w:type="dxa" w:w="1515"/>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2841"/>
          </w:tcPr>
          <w:p>
            <w:pPr>
              <w:pStyle w:val="Compact"/>
              <w:jc w:val="left"/>
            </w:pPr>
            <w:r>
              <w:rPr>
                <w:rFonts w:ascii="Times New Roman" w:hAnsi="Times New Roman" w:cs="Times New Roman" w:eastAsia="Times New Roman"/>
                <w:sz w:val="20"/>
              </w:rPr>
              <w:t xml:space="preserve">0-0.5% (ultra-rare)</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0.9243</w:t>
            </w:r>
          </w:p>
        </w:tc>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0.9252</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0.9150</w:t>
            </w:r>
          </w:p>
        </w:tc>
        <w:tc>
          <w:tcPr>
            <w:shd w:val="clear" w:color="auto" w:fill="E7E6E6"/>
            <w:vAlign w:val="center"/>
            <w:tcW w:type="dxa" w:w="1515"/>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2×</w:t>
            </w:r>
          </w:p>
        </w:tc>
        <w:tc>
          <w:tcPr>
            <w:shd w:val="clear" w:color="auto" w:fill="FFFFFF"/>
            <w:vAlign w:val="center"/>
            <w:tcW w:type="dxa" w:w="2841"/>
          </w:tcPr>
          <w:p>
            <w:pPr>
              <w:pStyle w:val="Compact"/>
              <w:jc w:val="left"/>
            </w:pPr>
            <w:r>
              <w:rPr>
                <w:rFonts w:ascii="Times New Roman" w:hAnsi="Times New Roman" w:cs="Times New Roman" w:eastAsia="Times New Roman"/>
                <w:sz w:val="20"/>
              </w:rPr>
              <w:t xml:space="preserve">0-0.5% (ultra-rare)</w:t>
            </w:r>
          </w:p>
        </w:tc>
        <w:tc>
          <w:tcPr>
            <w:shd w:val="clear" w:color="auto" w:fill="FFFFFF"/>
            <w:vAlign w:val="center"/>
            <w:tcW w:type="dxa" w:w="1119"/>
          </w:tcPr>
          <w:p>
            <w:pPr>
              <w:pStyle w:val="Compact"/>
              <w:jc w:val="center"/>
            </w:pPr>
            <w:r>
              <w:rPr>
                <w:rFonts w:ascii="Times New Roman" w:hAnsi="Times New Roman" w:cs="Times New Roman" w:eastAsia="Times New Roman"/>
                <w:b/>
                <w:bCs/>
                <w:sz w:val="20"/>
              </w:rPr>
              <w:t xml:space="preserve">0.9522</w:t>
            </w:r>
          </w:p>
        </w:tc>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0.9495</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0.9415</w:t>
            </w:r>
          </w:p>
        </w:tc>
        <w:tc>
          <w:tcPr>
            <w:shd w:val="clear" w:color="auto" w:fill="FFFFFF"/>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4×</w:t>
            </w:r>
          </w:p>
        </w:tc>
        <w:tc>
          <w:tcPr>
            <w:shd w:val="clear" w:color="auto" w:fill="E7E6E6"/>
            <w:vAlign w:val="center"/>
            <w:tcW w:type="dxa" w:w="2841"/>
          </w:tcPr>
          <w:p>
            <w:pPr>
              <w:pStyle w:val="Compact"/>
              <w:jc w:val="left"/>
            </w:pPr>
            <w:r>
              <w:rPr>
                <w:rFonts w:ascii="Times New Roman" w:hAnsi="Times New Roman" w:cs="Times New Roman" w:eastAsia="Times New Roman"/>
                <w:sz w:val="20"/>
              </w:rPr>
              <w:t xml:space="preserve">0-0.5% (ultra-rare)</w:t>
            </w:r>
          </w:p>
        </w:tc>
        <w:tc>
          <w:tcPr>
            <w:shd w:val="clear" w:color="auto" w:fill="E7E6E6"/>
            <w:vAlign w:val="center"/>
            <w:tcW w:type="dxa" w:w="1119"/>
          </w:tcPr>
          <w:p>
            <w:pPr>
              <w:pStyle w:val="Compact"/>
              <w:jc w:val="center"/>
            </w:pPr>
            <w:r>
              <w:rPr>
                <w:rFonts w:ascii="Times New Roman" w:hAnsi="Times New Roman" w:cs="Times New Roman" w:eastAsia="Times New Roman"/>
                <w:b/>
                <w:bCs/>
                <w:sz w:val="20"/>
              </w:rPr>
              <w:t xml:space="preserve">0.9704</w:t>
            </w:r>
          </w:p>
        </w:tc>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0.9638</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0.9437</w:t>
            </w:r>
          </w:p>
        </w:tc>
        <w:tc>
          <w:tcPr>
            <w:shd w:val="clear" w:color="auto" w:fill="E7E6E6"/>
            <w:vAlign w:val="center"/>
            <w:tcW w:type="dxa" w:w="1515"/>
          </w:tcPr>
          <w:p>
            <w:pPr>
              <w:pStyle w:val="Compact"/>
              <w:jc w:val="center"/>
            </w:pPr>
            <w:r>
              <w:rPr>
                <w:rFonts w:ascii="Times New Roman" w:hAnsi="Times New Roman" w:cs="Times New Roman" w:eastAsia="Times New Roman"/>
                <w:sz w:val="20"/>
              </w:rPr>
              <w:t xml:space="preserve">Selphi</w:t>
            </w:r>
          </w:p>
        </w:tc>
      </w:tr>
    </w:tbl>
    <w:p>
      <w:pPr>
        <w:pStyle w:val="BlockText"/>
        <w:jc w:val="both"/>
      </w:pPr>
      <w:r>
        <w:rPr>
          <w:rFonts w:ascii="Times New Roman" w:hAnsi="Times New Roman" w:cs="Times New Roman" w:eastAsia="Times New Roman"/>
        </w:rPr>
        <w:t xml:space="preserve">Earlier lcWGS benchmark rounds (simulated 54-sample chr22 sets, and a 75,552-haplotype</w:t>
      </w:r>
      <w:r>
        <w:rPr>
          <w:rFonts w:ascii="Times New Roman" w:hAnsi="Times New Roman" w:cs="Times New Roman" w:eastAsia="Times New Roman"/>
        </w:rPr>
        <w:t xml:space="preserve"> </w:t>
      </w:r>
      <w:r>
        <w:rPr>
          <w:rFonts w:ascii="Times New Roman" w:hAnsi="Times New Roman" w:cs="Times New Roman" w:eastAsia="Times New Roman"/>
        </w:rPr>
        <w:t xml:space="preserve">large-panel multi-coverage sweep) were superseded for accuracy by the real-read measurements</w:t>
      </w:r>
      <w:r>
        <w:rPr>
          <w:rFonts w:ascii="Times New Roman" w:hAnsi="Times New Roman" w:cs="Times New Roman" w:eastAsia="Times New Roman"/>
        </w:rPr>
        <w:t xml:space="preserve"> </w:t>
      </w:r>
      <w:r>
        <w:rPr>
          <w:rFonts w:ascii="Times New Roman" w:hAnsi="Times New Roman" w:cs="Times New Roman" w:eastAsia="Times New Roman"/>
        </w:rPr>
        <w:t xml:space="preserve">above, so their accuracy is not reproduced here and the real-GIAB numbers are the accuracy</w:t>
      </w:r>
      <w:r>
        <w:rPr>
          <w:rFonts w:ascii="Times New Roman" w:hAnsi="Times New Roman" w:cs="Times New Roman" w:eastAsia="Times New Roman"/>
        </w:rPr>
        <w:t xml:space="preserve"> </w:t>
      </w:r>
      <w:r>
        <w:rPr>
          <w:rFonts w:ascii="Times New Roman" w:hAnsi="Times New Roman" w:cs="Times New Roman" w:eastAsia="Times New Roman"/>
        </w:rPr>
        <w:t xml:space="preserve">reported in the paper; the large-panel run's wall time and peak memory are retained as an</w:t>
      </w:r>
      <w:r>
        <w:rPr>
          <w:rFonts w:ascii="Times New Roman" w:hAnsi="Times New Roman" w:cs="Times New Roman" w:eastAsia="Times New Roman"/>
        </w:rPr>
        <w:t xml:space="preserve"> </w:t>
      </w:r>
      <w:r>
        <w:rPr>
          <w:rFonts w:ascii="Times New Roman" w:hAnsi="Times New Roman" w:cs="Times New Roman" w:eastAsia="Times New Roman"/>
        </w:rPr>
        <w:t xml:space="preserve">efficiency data point in Table S6.</w:t>
      </w:r>
    </w:p>
    <w:p>
      <w:pPr>
        <w:pStyle w:val="Heading2"/>
        <w:jc w:val="both"/>
      </w:pPr>
      <w:r>
        <w:rPr>
          <w:rFonts w:ascii="Times New Roman" w:hAnsi="Times New Roman" w:cs="Times New Roman" w:eastAsia="Times New Roman"/>
        </w:rPr>
        <w:t xml:space="preserve">Table S5. Phasing accuracy - switch-error rate (SER %)</w:t>
      </w:r>
    </w:p>
    <w:p>
      <w:pPr>
        <w:pStyle w:val="FirstParagraph"/>
        <w:jc w:val="both"/>
      </w:pPr>
      <w:r>
        <w:rPr>
          <w:rFonts w:ascii="Times New Roman" w:hAnsi="Times New Roman" w:cs="Times New Roman" w:eastAsia="Times New Roman"/>
        </w:rPr>
        <w:t xml:space="preserve">1KG 54-trio benchmark, no-trios panel (~2,239 samples). Lower is better.</w:t>
      </w:r>
      <w:r>
        <w:rPr>
          <w:rFonts w:ascii="Times New Roman" w:hAnsi="Times New Roman" w:cs="Times New Roman" w:eastAsia="Times New Roman"/>
        </w:rPr>
        <w:t xml:space="preserve"> </w:t>
      </w:r>
      <w:r>
        <w:rPr>
          <w:rFonts w:ascii="Times New Roman" w:hAnsi="Times New Roman" w:cs="Times New Roman" w:eastAsia="Times New Roman"/>
        </w:rPr>
        <w:t xml:space="preserve">Reference: Beagle 5.5, SHAPEIT5 v5.1.1.</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96"/>
        <w:gridCol w:w="1378"/>
        <w:gridCol w:w="1233"/>
        <w:gridCol w:w="1233"/>
        <w:gridCol w:w="1524"/>
        <w:gridCol w:w="1672"/>
        <w:gridCol w:w="1524"/>
      </w:tblGrid>
      <w:tr>
        <w:trPr>
          <w:tblHeader w:val="on"/>
        </w:trPr>
        <w:tc>
          <w:tcPr>
            <w:shd w:val="clear" w:color="auto" w:fill="595959"/>
            <w:vAlign w:val="center"/>
            <w:tcW w:type="dxa" w:w="796"/>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1378"/>
          </w:tcPr>
          <w:p>
            <w:pPr>
              <w:pStyle w:val="Compact"/>
              <w:jc w:val="center"/>
            </w:pPr>
            <w:r>
              <w:rPr>
                <w:rFonts w:ascii="Times New Roman" w:hAnsi="Times New Roman" w:cs="Times New Roman" w:eastAsia="Times New Roman"/>
                <w:b/>
                <w:color w:val="FFFFFF"/>
                <w:sz w:val="20"/>
              </w:rPr>
              <w:t xml:space="preserve">Engine</w:t>
            </w:r>
          </w:p>
        </w:tc>
        <w:tc>
          <w:tcPr>
            <w:shd w:val="clear" w:color="auto" w:fill="595959"/>
            <w:vAlign w:val="center"/>
            <w:tcW w:type="dxa" w:w="1233"/>
          </w:tcPr>
          <w:p>
            <w:pPr>
              <w:pStyle w:val="Compact"/>
              <w:jc w:val="center"/>
            </w:pPr>
            <w:r>
              <w:rPr>
                <w:rFonts w:ascii="Times New Roman" w:hAnsi="Times New Roman" w:cs="Times New Roman" w:eastAsia="Times New Roman"/>
                <w:b/>
                <w:color w:val="FFFFFF"/>
                <w:sz w:val="20"/>
              </w:rPr>
              <w:t xml:space="preserve">Selphi 2 SER %</w:t>
            </w:r>
          </w:p>
        </w:tc>
        <w:tc>
          <w:tcPr>
            <w:shd w:val="clear" w:color="auto" w:fill="595959"/>
            <w:vAlign w:val="center"/>
            <w:tcW w:type="dxa" w:w="1233"/>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1524"/>
          </w:tcPr>
          <w:p>
            <w:pPr>
              <w:pStyle w:val="Compact"/>
              <w:jc w:val="center"/>
            </w:pPr>
            <w:r>
              <w:rPr>
                <w:rFonts w:ascii="Times New Roman" w:hAnsi="Times New Roman" w:cs="Times New Roman" w:eastAsia="Times New Roman"/>
                <w:b/>
                <w:color w:val="FFFFFF"/>
                <w:sz w:val="20"/>
              </w:rPr>
              <w:t xml:space="preserve">SHAPEIT5</w:t>
            </w:r>
          </w:p>
        </w:tc>
        <w:tc>
          <w:tcPr>
            <w:shd w:val="clear" w:color="auto" w:fill="595959"/>
            <w:vAlign w:val="center"/>
            <w:tcW w:type="dxa" w:w="1672"/>
          </w:tcPr>
          <w:p>
            <w:pPr>
              <w:pStyle w:val="Compact"/>
              <w:jc w:val="center"/>
            </w:pPr>
            <w:r>
              <w:rPr>
                <w:rFonts w:ascii="Times New Roman" w:hAnsi="Times New Roman" w:cs="Times New Roman" w:eastAsia="Times New Roman"/>
                <w:b/>
                <w:color w:val="FFFFFF"/>
                <w:sz w:val="20"/>
              </w:rPr>
              <w:t xml:space="preserve">vs Beagle</w:t>
            </w:r>
          </w:p>
        </w:tc>
        <w:tc>
          <w:tcPr>
            <w:shd w:val="clear" w:color="auto" w:fill="595959"/>
            <w:vAlign w:val="center"/>
            <w:tcW w:type="dxa" w:w="1524"/>
          </w:tcPr>
          <w:p>
            <w:pPr>
              <w:pStyle w:val="Compact"/>
              <w:jc w:val="center"/>
            </w:pPr>
            <w:r>
              <w:rPr>
                <w:rFonts w:ascii="Times New Roman" w:hAnsi="Times New Roman" w:cs="Times New Roman" w:eastAsia="Times New Roman"/>
                <w:b/>
                <w:color w:val="FFFFFF"/>
                <w:sz w:val="20"/>
              </w:rPr>
              <w:t xml:space="preserve">vs SHAPEIT5</w:t>
            </w:r>
          </w:p>
        </w:tc>
      </w:tr>
      <w:tr>
        <w:tc>
          <w:tcPr>
            <w:shd w:val="clear" w:color="auto" w:fill="FFFFFF"/>
            <w:vAlign w:val="center"/>
            <w:tcW w:type="dxa" w:w="796"/>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378"/>
          </w:tcPr>
          <w:p>
            <w:pPr>
              <w:pStyle w:val="Compact"/>
              <w:jc w:val="center"/>
            </w:pPr>
            <w:r>
              <w:rPr>
                <w:rFonts w:ascii="Times New Roman" w:hAnsi="Times New Roman" w:cs="Times New Roman" w:eastAsia="Times New Roman"/>
                <w:sz w:val="20"/>
              </w:rPr>
              <w:t xml:space="preserve">diploid</w:t>
            </w:r>
          </w:p>
        </w:tc>
        <w:tc>
          <w:tcPr>
            <w:shd w:val="clear" w:color="auto" w:fill="FFFFFF"/>
            <w:vAlign w:val="center"/>
            <w:tcW w:type="dxa" w:w="1233"/>
          </w:tcPr>
          <w:p>
            <w:pPr>
              <w:pStyle w:val="Compact"/>
              <w:jc w:val="center"/>
            </w:pPr>
            <w:r>
              <w:rPr>
                <w:rFonts w:ascii="Times New Roman" w:hAnsi="Times New Roman" w:cs="Times New Roman" w:eastAsia="Times New Roman"/>
                <w:b/>
                <w:bCs/>
                <w:sz w:val="20"/>
              </w:rPr>
              <w:t xml:space="preserve">2.521</w:t>
            </w:r>
          </w:p>
        </w:tc>
        <w:tc>
          <w:tcPr>
            <w:shd w:val="clear" w:color="auto" w:fill="FFFFFF"/>
            <w:vAlign w:val="center"/>
            <w:tcW w:type="dxa" w:w="1233"/>
          </w:tcPr>
          <w:p>
            <w:pPr>
              <w:pStyle w:val="Compact"/>
              <w:jc w:val="center"/>
            </w:pPr>
            <w:r>
              <w:rPr>
                <w:rFonts w:ascii="Times New Roman" w:hAnsi="Times New Roman" w:cs="Times New Roman" w:eastAsia="Times New Roman"/>
                <w:sz w:val="20"/>
              </w:rPr>
              <w:t xml:space="preserve">2.548</w:t>
            </w:r>
          </w:p>
        </w:tc>
        <w:tc>
          <w:tcPr>
            <w:shd w:val="clear" w:color="auto" w:fill="FFFFFF"/>
            <w:vAlign w:val="center"/>
            <w:tcW w:type="dxa" w:w="1524"/>
          </w:tcPr>
          <w:p>
            <w:pPr>
              <w:pStyle w:val="Compact"/>
              <w:jc w:val="center"/>
            </w:pPr>
            <w:r>
              <w:rPr>
                <w:rFonts w:ascii="Times New Roman" w:hAnsi="Times New Roman" w:cs="Times New Roman" w:eastAsia="Times New Roman"/>
                <w:sz w:val="20"/>
              </w:rPr>
              <w:t xml:space="preserve">2.611</w:t>
            </w:r>
          </w:p>
        </w:tc>
        <w:tc>
          <w:tcPr>
            <w:shd w:val="clear" w:color="auto" w:fill="FFFFFF"/>
            <w:vAlign w:val="center"/>
            <w:tcW w:type="dxa" w:w="1672"/>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524"/>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96"/>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378"/>
          </w:tcPr>
          <w:p>
            <w:pPr>
              <w:pStyle w:val="Compact"/>
              <w:jc w:val="center"/>
            </w:pPr>
            <w:r>
              <w:rPr>
                <w:rFonts w:ascii="Times New Roman" w:hAnsi="Times New Roman" w:cs="Times New Roman" w:eastAsia="Times New Roman"/>
                <w:sz w:val="20"/>
              </w:rPr>
              <w:t xml:space="preserve">haploid</w:t>
            </w:r>
          </w:p>
        </w:tc>
        <w:tc>
          <w:tcPr>
            <w:shd w:val="clear" w:color="auto" w:fill="E7E6E6"/>
            <w:vAlign w:val="center"/>
            <w:tcW w:type="dxa" w:w="1233"/>
          </w:tcPr>
          <w:p>
            <w:pPr>
              <w:pStyle w:val="Compact"/>
              <w:jc w:val="center"/>
            </w:pPr>
            <w:r>
              <w:rPr>
                <w:rFonts w:ascii="Times New Roman" w:hAnsi="Times New Roman" w:cs="Times New Roman" w:eastAsia="Times New Roman"/>
                <w:sz w:val="20"/>
              </w:rPr>
              <w:t xml:space="preserve">2.569</w:t>
            </w:r>
          </w:p>
        </w:tc>
        <w:tc>
          <w:tcPr>
            <w:shd w:val="clear" w:color="auto" w:fill="E7E6E6"/>
            <w:vAlign w:val="center"/>
            <w:tcW w:type="dxa" w:w="1233"/>
          </w:tcPr>
          <w:p>
            <w:pPr>
              <w:pStyle w:val="Compact"/>
              <w:jc w:val="center"/>
            </w:pPr>
            <w:r>
              <w:rPr>
                <w:rFonts w:ascii="Times New Roman" w:hAnsi="Times New Roman" w:cs="Times New Roman" w:eastAsia="Times New Roman"/>
                <w:b/>
                <w:bCs/>
                <w:sz w:val="20"/>
              </w:rPr>
              <w:t xml:space="preserve">2.548</w:t>
            </w:r>
          </w:p>
        </w:tc>
        <w:tc>
          <w:tcPr>
            <w:shd w:val="clear" w:color="auto" w:fill="E7E6E6"/>
            <w:vAlign w:val="center"/>
            <w:tcW w:type="dxa" w:w="1524"/>
          </w:tcPr>
          <w:p>
            <w:pPr>
              <w:pStyle w:val="Compact"/>
              <w:jc w:val="center"/>
            </w:pPr>
            <w:r>
              <w:rPr>
                <w:rFonts w:ascii="Times New Roman" w:hAnsi="Times New Roman" w:cs="Times New Roman" w:eastAsia="Times New Roman"/>
                <w:sz w:val="20"/>
              </w:rPr>
              <w:t xml:space="preserve">2.611</w:t>
            </w:r>
          </w:p>
        </w:tc>
        <w:tc>
          <w:tcPr>
            <w:shd w:val="clear" w:color="auto" w:fill="E7E6E6"/>
            <w:vAlign w:val="center"/>
            <w:tcW w:type="dxa" w:w="1672"/>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1524"/>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796"/>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378"/>
          </w:tcPr>
          <w:p>
            <w:pPr>
              <w:pStyle w:val="Compact"/>
              <w:jc w:val="center"/>
            </w:pPr>
            <w:r>
              <w:rPr>
                <w:rFonts w:ascii="Times New Roman" w:hAnsi="Times New Roman" w:cs="Times New Roman" w:eastAsia="Times New Roman"/>
                <w:sz w:val="20"/>
              </w:rPr>
              <w:t xml:space="preserve">diploid</w:t>
            </w:r>
          </w:p>
        </w:tc>
        <w:tc>
          <w:tcPr>
            <w:shd w:val="clear" w:color="auto" w:fill="FFFFFF"/>
            <w:vAlign w:val="center"/>
            <w:tcW w:type="dxa" w:w="1233"/>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1233"/>
          </w:tcPr>
          <w:p>
            <w:pPr>
              <w:pStyle w:val="Compact"/>
              <w:jc w:val="center"/>
            </w:pPr>
            <w:r>
              <w:rPr>
                <w:rFonts w:ascii="Times New Roman" w:hAnsi="Times New Roman" w:cs="Times New Roman" w:eastAsia="Times New Roman"/>
                <w:b/>
                <w:bCs/>
                <w:sz w:val="20"/>
              </w:rPr>
              <w:t xml:space="preserve">1.865</w:t>
            </w:r>
          </w:p>
        </w:tc>
        <w:tc>
          <w:tcPr>
            <w:shd w:val="clear" w:color="auto" w:fill="FFFFFF"/>
            <w:vAlign w:val="center"/>
            <w:tcW w:type="dxa" w:w="1524"/>
          </w:tcPr>
          <w:p>
            <w:pPr>
              <w:pStyle w:val="Compact"/>
              <w:jc w:val="center"/>
            </w:pPr>
            <w:r>
              <w:rPr>
                <w:rFonts w:ascii="Times New Roman" w:hAnsi="Times New Roman" w:cs="Times New Roman" w:eastAsia="Times New Roman"/>
                <w:sz w:val="20"/>
              </w:rPr>
              <w:t xml:space="preserve">1.935</w:t>
            </w:r>
          </w:p>
        </w:tc>
        <w:tc>
          <w:tcPr>
            <w:shd w:val="clear" w:color="auto" w:fill="FFFFFF"/>
            <w:vAlign w:val="center"/>
            <w:tcW w:type="dxa" w:w="1672"/>
          </w:tcPr>
          <w:p>
            <w:pPr>
              <w:pStyle w:val="Compact"/>
              <w:jc w:val="center"/>
            </w:pPr>
            <w:r>
              <w:rPr>
                <w:rFonts w:ascii="Times New Roman" w:hAnsi="Times New Roman" w:cs="Times New Roman" w:eastAsia="Times New Roman"/>
                <w:sz w:val="20"/>
              </w:rPr>
              <w:t xml:space="preserve">reference</w:t>
            </w:r>
          </w:p>
        </w:tc>
        <w:tc>
          <w:tcPr>
            <w:shd w:val="clear" w:color="auto" w:fill="FFFFFF"/>
            <w:vAlign w:val="center"/>
            <w:tcW w:type="dxa" w:w="1524"/>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96"/>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378"/>
          </w:tcPr>
          <w:p>
            <w:pPr>
              <w:pStyle w:val="Compact"/>
              <w:jc w:val="center"/>
            </w:pPr>
            <w:r>
              <w:rPr>
                <w:rFonts w:ascii="Times New Roman" w:hAnsi="Times New Roman" w:cs="Times New Roman" w:eastAsia="Times New Roman"/>
                <w:sz w:val="20"/>
              </w:rPr>
              <w:t xml:space="preserve">haploid</w:t>
            </w:r>
          </w:p>
        </w:tc>
        <w:tc>
          <w:tcPr>
            <w:shd w:val="clear" w:color="auto" w:fill="E7E6E6"/>
            <w:vAlign w:val="center"/>
            <w:tcW w:type="dxa" w:w="1233"/>
          </w:tcPr>
          <w:p>
            <w:pPr>
              <w:pStyle w:val="Compact"/>
              <w:jc w:val="center"/>
            </w:pPr>
            <w:r>
              <w:rPr>
                <w:rFonts w:ascii="Times New Roman" w:hAnsi="Times New Roman" w:cs="Times New Roman" w:eastAsia="Times New Roman"/>
                <w:sz w:val="20"/>
              </w:rPr>
              <w:t xml:space="preserve">1.876</w:t>
            </w:r>
          </w:p>
        </w:tc>
        <w:tc>
          <w:tcPr>
            <w:shd w:val="clear" w:color="auto" w:fill="E7E6E6"/>
            <w:vAlign w:val="center"/>
            <w:tcW w:type="dxa" w:w="1233"/>
          </w:tcPr>
          <w:p>
            <w:pPr>
              <w:pStyle w:val="Compact"/>
              <w:jc w:val="center"/>
            </w:pPr>
            <w:r>
              <w:rPr>
                <w:rFonts w:ascii="Times New Roman" w:hAnsi="Times New Roman" w:cs="Times New Roman" w:eastAsia="Times New Roman"/>
                <w:b/>
                <w:bCs/>
                <w:sz w:val="20"/>
              </w:rPr>
              <w:t xml:space="preserve">1.865</w:t>
            </w:r>
          </w:p>
        </w:tc>
        <w:tc>
          <w:tcPr>
            <w:shd w:val="clear" w:color="auto" w:fill="E7E6E6"/>
            <w:vAlign w:val="center"/>
            <w:tcW w:type="dxa" w:w="1524"/>
          </w:tcPr>
          <w:p>
            <w:pPr>
              <w:pStyle w:val="Compact"/>
              <w:jc w:val="center"/>
            </w:pPr>
            <w:r>
              <w:rPr>
                <w:rFonts w:ascii="Times New Roman" w:hAnsi="Times New Roman" w:cs="Times New Roman" w:eastAsia="Times New Roman"/>
                <w:sz w:val="20"/>
              </w:rPr>
              <w:t xml:space="preserve">1.935</w:t>
            </w:r>
          </w:p>
        </w:tc>
        <w:tc>
          <w:tcPr>
            <w:shd w:val="clear" w:color="auto" w:fill="E7E6E6"/>
            <w:vAlign w:val="center"/>
            <w:tcW w:type="dxa" w:w="1672"/>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1524"/>
          </w:tcPr>
          <w:p>
            <w:pPr>
              <w:pStyle w:val="Compact"/>
              <w:jc w:val="center"/>
            </w:pPr>
            <w:r>
              <w:rPr>
                <w:rFonts w:ascii="Times New Roman" w:hAnsi="Times New Roman" w:cs="Times New Roman" w:eastAsia="Times New Roman"/>
                <w:sz w:val="20"/>
              </w:rPr>
              <w:t xml:space="preserve">Selphi</w:t>
            </w:r>
          </w:p>
        </w:tc>
      </w:tr>
    </w:tbl>
    <w:p>
      <w:pPr>
        <w:pStyle w:val="Heading2"/>
        <w:jc w:val="both"/>
      </w:pPr>
      <w:r>
        <w:rPr>
          <w:rFonts w:ascii="Times New Roman" w:hAnsi="Times New Roman" w:cs="Times New Roman" w:eastAsia="Times New Roman"/>
        </w:rPr>
        <w:t xml:space="preserve">Table S6. Speed &amp; memory</w:t>
      </w:r>
    </w:p>
    <w:p>
      <w:pPr>
        <w:pStyle w:val="FirstParagraph"/>
        <w:jc w:val="both"/>
      </w:pPr>
      <w:r>
        <w:rPr>
          <w:rFonts w:ascii="Times New Roman" w:hAnsi="Times New Roman" w:cs="Times New Roman" w:eastAsia="Times New Roman"/>
        </w:rPr>
        <w:t xml:space="preserve">16 threads unless noted. Wall as reported by the source benchmark.</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079"/>
        <w:gridCol w:w="1093"/>
        <w:gridCol w:w="1392"/>
        <w:gridCol w:w="1591"/>
        <w:gridCol w:w="1205"/>
      </w:tblGrid>
      <w:tr>
        <w:trPr>
          <w:tblHeader w:val="on"/>
        </w:trPr>
        <w:tc>
          <w:tcPr>
            <w:shd w:val="clear" w:color="auto" w:fill="595959"/>
            <w:vAlign w:val="center"/>
            <w:tcW w:type="dxa" w:w="4079"/>
          </w:tcPr>
          <w:p>
            <w:pPr>
              <w:pStyle w:val="Compact"/>
              <w:jc w:val="center"/>
            </w:pPr>
            <w:r>
              <w:rPr>
                <w:rFonts w:ascii="Times New Roman" w:hAnsi="Times New Roman" w:cs="Times New Roman" w:eastAsia="Times New Roman"/>
                <w:b/>
                <w:color w:val="FFFFFF"/>
                <w:sz w:val="20"/>
              </w:rPr>
              <w:t xml:space="preserve">Benchmark</w:t>
            </w:r>
          </w:p>
        </w:tc>
        <w:tc>
          <w:tcPr>
            <w:shd w:val="clear" w:color="auto" w:fill="595959"/>
            <w:vAlign w:val="center"/>
            <w:tcW w:type="dxa" w:w="1093"/>
          </w:tcPr>
          <w:p>
            <w:pPr>
              <w:pStyle w:val="Compact"/>
              <w:jc w:val="center"/>
            </w:pPr>
            <w:r>
              <w:rPr>
                <w:rFonts w:ascii="Times New Roman" w:hAnsi="Times New Roman" w:cs="Times New Roman" w:eastAsia="Times New Roman"/>
                <w:b/>
                <w:color w:val="FFFFFF"/>
                <w:sz w:val="20"/>
              </w:rPr>
              <w:t xml:space="preserve">Metric</w:t>
            </w:r>
          </w:p>
        </w:tc>
        <w:tc>
          <w:tcPr>
            <w:shd w:val="clear" w:color="auto" w:fill="595959"/>
            <w:vAlign w:val="center"/>
            <w:tcW w:type="dxa" w:w="1392"/>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1591"/>
          </w:tcPr>
          <w:p>
            <w:pPr>
              <w:pStyle w:val="Compact"/>
              <w:jc w:val="center"/>
            </w:pPr>
            <w:r>
              <w:rPr>
                <w:rFonts w:ascii="Times New Roman" w:hAnsi="Times New Roman" w:cs="Times New Roman" w:eastAsia="Times New Roman"/>
                <w:b/>
                <w:color w:val="FFFFFF"/>
                <w:sz w:val="20"/>
              </w:rPr>
              <w:t xml:space="preserve">Reference</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4079"/>
          </w:tcPr>
          <w:p>
            <w:pPr>
              <w:pStyle w:val="Compact"/>
              <w:jc w:val="left"/>
            </w:pPr>
            <w:r>
              <w:rPr>
                <w:rFonts w:ascii="Times New Roman" w:hAnsi="Times New Roman" w:cs="Times New Roman" w:eastAsia="Times New Roman"/>
                <w:sz w:val="20"/>
              </w:rPr>
              <w:t xml:space="preserve">GIAB chr21, 6s, 75,552-haplotype panel, impute-only</w:t>
            </w:r>
          </w:p>
        </w:tc>
        <w:tc>
          <w:tcPr>
            <w:shd w:val="clear" w:color="auto" w:fill="FFFFFF"/>
            <w:vAlign w:val="center"/>
            <w:tcW w:type="dxa" w:w="1093"/>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392"/>
          </w:tcPr>
          <w:p>
            <w:pPr>
              <w:pStyle w:val="Compact"/>
              <w:jc w:val="left"/>
            </w:pPr>
            <w:r>
              <w:rPr>
                <w:rFonts w:ascii="Times New Roman" w:hAnsi="Times New Roman" w:cs="Times New Roman" w:eastAsia="Times New Roman"/>
                <w:b/>
                <w:bCs/>
                <w:sz w:val="20"/>
              </w:rPr>
              <w:t xml:space="preserve">7.2 s</w:t>
            </w:r>
          </w:p>
        </w:tc>
        <w:tc>
          <w:tcPr>
            <w:shd w:val="clear" w:color="auto" w:fill="FFFFFF"/>
            <w:vAlign w:val="center"/>
            <w:tcW w:type="dxa" w:w="1591"/>
          </w:tcPr>
          <w:p>
            <w:pPr>
              <w:pStyle w:val="Compact"/>
              <w:jc w:val="left"/>
            </w:pPr>
            <w:r>
              <w:rPr>
                <w:rFonts w:ascii="Times New Roman" w:hAnsi="Times New Roman" w:cs="Times New Roman" w:eastAsia="Times New Roman"/>
                <w:sz w:val="20"/>
              </w:rPr>
              <w:t xml:space="preserve">Beagle 5: 12.5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4079"/>
          </w:tcPr>
          <w:p>
            <w:pPr>
              <w:pStyle w:val="Compact"/>
              <w:jc w:val="left"/>
            </w:pPr>
            <w:r>
              <w:rPr>
                <w:rFonts w:ascii="Times New Roman" w:hAnsi="Times New Roman" w:cs="Times New Roman" w:eastAsia="Times New Roman"/>
                <w:sz w:val="20"/>
              </w:rPr>
              <w:t xml:space="preserve">GIAB chr21, 6s, 75,552-haplotype panel, impute-only</w:t>
            </w:r>
          </w:p>
        </w:tc>
        <w:tc>
          <w:tcPr>
            <w:shd w:val="clear" w:color="auto" w:fill="E7E6E6"/>
            <w:vAlign w:val="center"/>
            <w:tcW w:type="dxa" w:w="1093"/>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392"/>
          </w:tcPr>
          <w:p>
            <w:pPr>
              <w:pStyle w:val="Compact"/>
              <w:jc w:val="left"/>
            </w:pPr>
            <w:r>
              <w:rPr>
                <w:rFonts w:ascii="Times New Roman" w:hAnsi="Times New Roman" w:cs="Times New Roman" w:eastAsia="Times New Roman"/>
                <w:b/>
                <w:bCs/>
                <w:sz w:val="20"/>
              </w:rPr>
              <w:t xml:space="preserve">6.2 GB</w:t>
            </w:r>
          </w:p>
        </w:tc>
        <w:tc>
          <w:tcPr>
            <w:shd w:val="clear" w:color="auto" w:fill="E7E6E6"/>
            <w:vAlign w:val="center"/>
            <w:tcW w:type="dxa" w:w="1591"/>
          </w:tcPr>
          <w:p>
            <w:pPr>
              <w:pStyle w:val="Compact"/>
              <w:jc w:val="left"/>
            </w:pPr>
            <w:r>
              <w:rPr>
                <w:rFonts w:ascii="Times New Roman" w:hAnsi="Times New Roman" w:cs="Times New Roman" w:eastAsia="Times New Roman"/>
                <w:sz w:val="20"/>
              </w:rPr>
              <w:t xml:space="preserve">Beagle 5: 14.5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4079"/>
          </w:tcPr>
          <w:p>
            <w:pPr>
              <w:pStyle w:val="Compact"/>
              <w:jc w:val="left"/>
            </w:pPr>
            <w:r>
              <w:rPr>
                <w:rFonts w:ascii="Times New Roman" w:hAnsi="Times New Roman" w:cs="Times New Roman" w:eastAsia="Times New Roman"/>
                <w:sz w:val="20"/>
              </w:rPr>
              <w:t xml:space="preserve">GIAB chr1, 6s, 75,552-haplotype panel, impute-only</w:t>
            </w:r>
          </w:p>
        </w:tc>
        <w:tc>
          <w:tcPr>
            <w:shd w:val="clear" w:color="auto" w:fill="FFFFFF"/>
            <w:vAlign w:val="center"/>
            <w:tcW w:type="dxa" w:w="1093"/>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392"/>
          </w:tcPr>
          <w:p>
            <w:pPr>
              <w:pStyle w:val="Compact"/>
              <w:jc w:val="left"/>
            </w:pPr>
            <w:r>
              <w:rPr>
                <w:rFonts w:ascii="Times New Roman" w:hAnsi="Times New Roman" w:cs="Times New Roman" w:eastAsia="Times New Roman"/>
                <w:b/>
                <w:bCs/>
                <w:sz w:val="20"/>
              </w:rPr>
              <w:t xml:space="preserve">38.8 s</w:t>
            </w:r>
          </w:p>
        </w:tc>
        <w:tc>
          <w:tcPr>
            <w:shd w:val="clear" w:color="auto" w:fill="FFFFFF"/>
            <w:vAlign w:val="center"/>
            <w:tcW w:type="dxa" w:w="1591"/>
          </w:tcPr>
          <w:p>
            <w:pPr>
              <w:pStyle w:val="Compact"/>
              <w:jc w:val="left"/>
            </w:pPr>
            <w:r>
              <w:rPr>
                <w:rFonts w:ascii="Times New Roman" w:hAnsi="Times New Roman" w:cs="Times New Roman" w:eastAsia="Times New Roman"/>
                <w:sz w:val="20"/>
              </w:rPr>
              <w:t xml:space="preserve">Beagle 5: 43.2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4079"/>
          </w:tcPr>
          <w:p>
            <w:pPr>
              <w:pStyle w:val="Compact"/>
              <w:jc w:val="left"/>
            </w:pPr>
            <w:r>
              <w:rPr>
                <w:rFonts w:ascii="Times New Roman" w:hAnsi="Times New Roman" w:cs="Times New Roman" w:eastAsia="Times New Roman"/>
                <w:sz w:val="20"/>
              </w:rPr>
              <w:t xml:space="preserve">GIAB chr1, 6s, 75,552-haplotype panel, impute-only</w:t>
            </w:r>
          </w:p>
        </w:tc>
        <w:tc>
          <w:tcPr>
            <w:shd w:val="clear" w:color="auto" w:fill="E7E6E6"/>
            <w:vAlign w:val="center"/>
            <w:tcW w:type="dxa" w:w="1093"/>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392"/>
          </w:tcPr>
          <w:p>
            <w:pPr>
              <w:pStyle w:val="Compact"/>
              <w:jc w:val="left"/>
            </w:pPr>
            <w:r>
              <w:rPr>
                <w:rFonts w:ascii="Times New Roman" w:hAnsi="Times New Roman" w:cs="Times New Roman" w:eastAsia="Times New Roman"/>
                <w:b/>
                <w:bCs/>
                <w:sz w:val="20"/>
              </w:rPr>
              <w:t xml:space="preserve">16.3 GB</w:t>
            </w:r>
          </w:p>
        </w:tc>
        <w:tc>
          <w:tcPr>
            <w:shd w:val="clear" w:color="auto" w:fill="E7E6E6"/>
            <w:vAlign w:val="center"/>
            <w:tcW w:type="dxa" w:w="1591"/>
          </w:tcPr>
          <w:p>
            <w:pPr>
              <w:pStyle w:val="Compact"/>
              <w:jc w:val="left"/>
            </w:pPr>
            <w:r>
              <w:rPr>
                <w:rFonts w:ascii="Times New Roman" w:hAnsi="Times New Roman" w:cs="Times New Roman" w:eastAsia="Times New Roman"/>
                <w:sz w:val="20"/>
              </w:rPr>
              <w:t xml:space="preserve">Beagle 5: 39.2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4079"/>
          </w:tcPr>
          <w:p>
            <w:pPr>
              <w:pStyle w:val="Compact"/>
              <w:jc w:val="left"/>
            </w:pPr>
            <w:r>
              <w:rPr>
                <w:rFonts w:ascii="Times New Roman" w:hAnsi="Times New Roman" w:cs="Times New Roman" w:eastAsia="Times New Roman"/>
                <w:sz w:val="20"/>
              </w:rPr>
              <w:t xml:space="preserve">chr22 1KG 801s, chip to WGS</w:t>
            </w:r>
          </w:p>
        </w:tc>
        <w:tc>
          <w:tcPr>
            <w:shd w:val="clear" w:color="auto" w:fill="FFFFFF"/>
            <w:vAlign w:val="center"/>
            <w:tcW w:type="dxa" w:w="1093"/>
          </w:tcPr>
          <w:p>
            <w:pPr>
              <w:pStyle w:val="Compact"/>
              <w:jc w:val="left"/>
            </w:pPr>
            <w:r>
              <w:rPr>
                <w:rFonts w:ascii="Times New Roman" w:hAnsi="Times New Roman" w:cs="Times New Roman" w:eastAsia="Times New Roman"/>
                <w:sz w:val="20"/>
              </w:rPr>
              <w:t xml:space="preserve">wall (phased/unphased)</w:t>
            </w:r>
          </w:p>
        </w:tc>
        <w:tc>
          <w:tcPr>
            <w:shd w:val="clear" w:color="auto" w:fill="FFFFFF"/>
            <w:vAlign w:val="center"/>
            <w:tcW w:type="dxa" w:w="1392"/>
          </w:tcPr>
          <w:p>
            <w:pPr>
              <w:pStyle w:val="Compact"/>
              <w:jc w:val="left"/>
            </w:pPr>
            <w:r>
              <w:rPr>
                <w:rFonts w:ascii="Times New Roman" w:hAnsi="Times New Roman" w:cs="Times New Roman" w:eastAsia="Times New Roman"/>
                <w:sz w:val="20"/>
              </w:rPr>
              <w:t xml:space="preserve">69 s / 82 s</w:t>
            </w:r>
          </w:p>
        </w:tc>
        <w:tc>
          <w:tcPr>
            <w:shd w:val="clear" w:color="auto" w:fill="FFFFFF"/>
            <w:vAlign w:val="center"/>
            <w:tcW w:type="dxa" w:w="1591"/>
          </w:tcPr>
          <w:p>
            <w:pPr>
              <w:pStyle w:val="Compact"/>
              <w:jc w:val="left"/>
            </w:pPr>
            <w:r>
              <w:rPr>
                <w:rFonts w:ascii="Times New Roman" w:hAnsi="Times New Roman" w:cs="Times New Roman" w:eastAsia="Times New Roman"/>
                <w:sz w:val="20"/>
              </w:rPr>
              <w:t xml:space="preserve">Beagle 5.5: 58 s / 84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tie</w:t>
            </w:r>
          </w:p>
        </w:tc>
      </w:tr>
      <w:tr>
        <w:tc>
          <w:tcPr>
            <w:shd w:val="clear" w:color="auto" w:fill="E7E6E6"/>
            <w:vAlign w:val="center"/>
            <w:tcW w:type="dxa" w:w="4079"/>
          </w:tcPr>
          <w:p>
            <w:pPr>
              <w:pStyle w:val="Compact"/>
              <w:jc w:val="left"/>
            </w:pPr>
            <w:r>
              <w:rPr>
                <w:rFonts w:ascii="Times New Roman" w:hAnsi="Times New Roman" w:cs="Times New Roman" w:eastAsia="Times New Roman"/>
                <w:sz w:val="20"/>
              </w:rPr>
              <w:t xml:space="preserve">chr22 1KG 801s, chip to WGS</w:t>
            </w:r>
          </w:p>
        </w:tc>
        <w:tc>
          <w:tcPr>
            <w:shd w:val="clear" w:color="auto" w:fill="E7E6E6"/>
            <w:vAlign w:val="center"/>
            <w:tcW w:type="dxa" w:w="1093"/>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392"/>
          </w:tcPr>
          <w:p>
            <w:pPr>
              <w:pStyle w:val="Compact"/>
              <w:jc w:val="left"/>
            </w:pPr>
            <w:r>
              <w:rPr>
                <w:rFonts w:ascii="Times New Roman" w:hAnsi="Times New Roman" w:cs="Times New Roman" w:eastAsia="Times New Roman"/>
                <w:b/>
                <w:bCs/>
                <w:sz w:val="20"/>
              </w:rPr>
              <w:t xml:space="preserve">13.2 / 13.1 GB</w:t>
            </w:r>
          </w:p>
        </w:tc>
        <w:tc>
          <w:tcPr>
            <w:shd w:val="clear" w:color="auto" w:fill="E7E6E6"/>
            <w:vAlign w:val="center"/>
            <w:tcW w:type="dxa" w:w="1591"/>
          </w:tcPr>
          <w:p>
            <w:pPr>
              <w:pStyle w:val="Compact"/>
              <w:jc w:val="left"/>
            </w:pPr>
            <w:r>
              <w:rPr>
                <w:rFonts w:ascii="Times New Roman" w:hAnsi="Times New Roman" w:cs="Times New Roman" w:eastAsia="Times New Roman"/>
                <w:sz w:val="20"/>
              </w:rPr>
              <w:t xml:space="preserve">Beagle 5.5: 21.7 / 14.6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4079"/>
          </w:tcPr>
          <w:p>
            <w:pPr>
              <w:pStyle w:val="Compact"/>
              <w:jc w:val="left"/>
            </w:pPr>
            <w:r>
              <w:rPr>
                <w:rFonts w:ascii="Times New Roman" w:hAnsi="Times New Roman" w:cs="Times New Roman" w:eastAsia="Times New Roman"/>
                <w:sz w:val="20"/>
              </w:rPr>
              <w:t xml:space="preserve">chr1 1KG 801s, chip to WGS</w:t>
            </w:r>
          </w:p>
        </w:tc>
        <w:tc>
          <w:tcPr>
            <w:shd w:val="clear" w:color="auto" w:fill="FFFFFF"/>
            <w:vAlign w:val="center"/>
            <w:tcW w:type="dxa" w:w="1093"/>
          </w:tcPr>
          <w:p>
            <w:pPr>
              <w:pStyle w:val="Compact"/>
              <w:jc w:val="left"/>
            </w:pPr>
            <w:r>
              <w:rPr>
                <w:rFonts w:ascii="Times New Roman" w:hAnsi="Times New Roman" w:cs="Times New Roman" w:eastAsia="Times New Roman"/>
                <w:sz w:val="20"/>
              </w:rPr>
              <w:t xml:space="preserve">wall (phased/unphased)</w:t>
            </w:r>
          </w:p>
        </w:tc>
        <w:tc>
          <w:tcPr>
            <w:shd w:val="clear" w:color="auto" w:fill="FFFFFF"/>
            <w:vAlign w:val="center"/>
            <w:tcW w:type="dxa" w:w="1392"/>
          </w:tcPr>
          <w:p>
            <w:pPr>
              <w:pStyle w:val="Compact"/>
              <w:jc w:val="left"/>
            </w:pPr>
            <w:r>
              <w:rPr>
                <w:rFonts w:ascii="Times New Roman" w:hAnsi="Times New Roman" w:cs="Times New Roman" w:eastAsia="Times New Roman"/>
                <w:sz w:val="20"/>
              </w:rPr>
              <w:t xml:space="preserve">373 s / 437 s</w:t>
            </w:r>
          </w:p>
        </w:tc>
        <w:tc>
          <w:tcPr>
            <w:shd w:val="clear" w:color="auto" w:fill="FFFFFF"/>
            <w:vAlign w:val="center"/>
            <w:tcW w:type="dxa" w:w="1591"/>
          </w:tcPr>
          <w:p>
            <w:pPr>
              <w:pStyle w:val="Compact"/>
              <w:jc w:val="left"/>
            </w:pPr>
            <w:r>
              <w:rPr>
                <w:rFonts w:ascii="Times New Roman" w:hAnsi="Times New Roman" w:cs="Times New Roman" w:eastAsia="Times New Roman"/>
                <w:sz w:val="20"/>
              </w:rPr>
              <w:t xml:space="preserve">Beagle 5.5: 207 s / 321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4079"/>
          </w:tcPr>
          <w:p>
            <w:pPr>
              <w:pStyle w:val="Compact"/>
              <w:jc w:val="left"/>
            </w:pPr>
            <w:r>
              <w:rPr>
                <w:rFonts w:ascii="Times New Roman" w:hAnsi="Times New Roman" w:cs="Times New Roman" w:eastAsia="Times New Roman"/>
                <w:sz w:val="20"/>
              </w:rPr>
              <w:t xml:space="preserve">TOPMed MESA 5K chr20 (171K-hap, 17.9M var), full pipeline</w:t>
            </w:r>
          </w:p>
        </w:tc>
        <w:tc>
          <w:tcPr>
            <w:shd w:val="clear" w:color="auto" w:fill="E7E6E6"/>
            <w:vAlign w:val="center"/>
            <w:tcW w:type="dxa" w:w="1093"/>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392"/>
          </w:tcPr>
          <w:p>
            <w:pPr>
              <w:pStyle w:val="Compact"/>
              <w:jc w:val="left"/>
            </w:pPr>
            <w:r>
              <w:rPr>
                <w:rFonts w:ascii="Times New Roman" w:hAnsi="Times New Roman" w:cs="Times New Roman" w:eastAsia="Times New Roman"/>
                <w:sz w:val="20"/>
              </w:rPr>
              <w:t xml:space="preserve">11,289 s (~3.1 h)</w:t>
            </w:r>
          </w:p>
        </w:tc>
        <w:tc>
          <w:tcPr>
            <w:shd w:val="clear" w:color="auto" w:fill="E7E6E6"/>
            <w:vAlign w:val="center"/>
            <w:tcW w:type="dxa" w:w="1591"/>
          </w:tcPr>
          <w:p>
            <w:pPr>
              <w:pStyle w:val="Compact"/>
              <w:jc w:val="left"/>
            </w:pPr>
            <w:r>
              <w:rPr>
                <w:rFonts w:ascii="Times New Roman" w:hAnsi="Times New Roman" w:cs="Times New Roman" w:eastAsia="Times New Roman"/>
                <w:sz w:val="20"/>
              </w:rPr>
              <w:t xml:space="preserve">Beagle 5.5: 4,148 s</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4079"/>
          </w:tcPr>
          <w:p>
            <w:pPr>
              <w:pStyle w:val="Compact"/>
              <w:jc w:val="left"/>
            </w:pPr>
            <w:r>
              <w:rPr>
                <w:rFonts w:ascii="Times New Roman" w:hAnsi="Times New Roman" w:cs="Times New Roman" w:eastAsia="Times New Roman"/>
                <w:sz w:val="20"/>
              </w:rPr>
              <w:t xml:space="preserve">TOPMed MESA 5K chr20</w:t>
            </w:r>
          </w:p>
        </w:tc>
        <w:tc>
          <w:tcPr>
            <w:shd w:val="clear" w:color="auto" w:fill="FFFFFF"/>
            <w:vAlign w:val="center"/>
            <w:tcW w:type="dxa" w:w="1093"/>
          </w:tcPr>
          <w:p>
            <w:pPr>
              <w:pStyle w:val="Compact"/>
              <w:jc w:val="left"/>
            </w:pPr>
            <w:r>
              <w:rPr>
                <w:rFonts w:ascii="Times New Roman" w:hAnsi="Times New Roman" w:cs="Times New Roman" w:eastAsia="Times New Roman"/>
                <w:sz w:val="20"/>
              </w:rPr>
              <w:t xml:space="preserve">peak RAM</w:t>
            </w:r>
          </w:p>
        </w:tc>
        <w:tc>
          <w:tcPr>
            <w:shd w:val="clear" w:color="auto" w:fill="FFFFFF"/>
            <w:vAlign w:val="center"/>
            <w:tcW w:type="dxa" w:w="1392"/>
          </w:tcPr>
          <w:p>
            <w:pPr>
              <w:pStyle w:val="Compact"/>
              <w:jc w:val="left"/>
            </w:pPr>
            <w:r>
              <w:rPr>
                <w:rFonts w:ascii="Times New Roman" w:hAnsi="Times New Roman" w:cs="Times New Roman" w:eastAsia="Times New Roman"/>
                <w:b/>
                <w:bCs/>
                <w:sz w:val="20"/>
              </w:rPr>
              <w:t xml:space="preserve">65.5 GB</w:t>
            </w:r>
          </w:p>
        </w:tc>
        <w:tc>
          <w:tcPr>
            <w:shd w:val="clear" w:color="auto" w:fill="FFFFFF"/>
            <w:vAlign w:val="center"/>
            <w:tcW w:type="dxa" w:w="1591"/>
          </w:tcPr>
          <w:p>
            <w:pPr>
              <w:pStyle w:val="Compact"/>
              <w:jc w:val="left"/>
            </w:pPr>
            <w:r>
              <w:rPr>
                <w:rFonts w:ascii="Times New Roman" w:hAnsi="Times New Roman" w:cs="Times New Roman" w:eastAsia="Times New Roman"/>
                <w:sz w:val="20"/>
              </w:rPr>
              <w:t xml:space="preserve">Beagle 5.5: 96.5 GB</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4079"/>
          </w:tcPr>
          <w:p>
            <w:pPr>
              <w:pStyle w:val="Compact"/>
              <w:jc w:val="left"/>
            </w:pPr>
            <w:r>
              <w:rPr>
                <w:rFonts w:ascii="Times New Roman" w:hAnsi="Times New Roman" w:cs="Times New Roman" w:eastAsia="Times New Roman"/>
                <w:sz w:val="20"/>
              </w:rPr>
              <w:t xml:space="preserve">lcWGS whole-chr22, 1 sample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@1</w:t>
            </w:r>
            <w:r>
              <w:rPr>
                <w:rFonts w:ascii="Times New Roman" w:hAnsi="Times New Roman" w:cs="Times New Roman" w:eastAsia="Times New Roman"/>
                <w:sz w:val="20"/>
              </w:rPr>
              <w:t xml:space="preserve">× (= Fig 3c)</w:t>
            </w:r>
          </w:p>
        </w:tc>
        <w:tc>
          <w:tcPr>
            <w:shd w:val="clear" w:color="auto" w:fill="E7E6E6"/>
            <w:vAlign w:val="center"/>
            <w:tcW w:type="dxa" w:w="1093"/>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392"/>
          </w:tcPr>
          <w:p>
            <w:pPr>
              <w:pStyle w:val="Compact"/>
              <w:jc w:val="left"/>
            </w:pPr>
            <w:r>
              <w:rPr>
                <w:rFonts w:ascii="Times New Roman" w:hAnsi="Times New Roman" w:cs="Times New Roman" w:eastAsia="Times New Roman"/>
                <w:b/>
                <w:bCs/>
                <w:sz w:val="20"/>
              </w:rPr>
              <w:t xml:space="preserve">115 s</w:t>
            </w:r>
          </w:p>
        </w:tc>
        <w:tc>
          <w:tcPr>
            <w:shd w:val="clear" w:color="auto" w:fill="E7E6E6"/>
            <w:vAlign w:val="center"/>
            <w:tcW w:type="dxa" w:w="1591"/>
          </w:tcPr>
          <w:p>
            <w:pPr>
              <w:pStyle w:val="Compact"/>
              <w:jc w:val="left"/>
            </w:pPr>
            <w:r>
              <w:rPr>
                <w:rFonts w:ascii="Times New Roman" w:hAnsi="Times New Roman" w:cs="Times New Roman" w:eastAsia="Times New Roman"/>
                <w:sz w:val="20"/>
              </w:rPr>
              <w:t xml:space="preserve">GLIMPSE2: 287 s; QUILT2: 1,729 s</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4079"/>
          </w:tcPr>
          <w:p>
            <w:pPr>
              <w:pStyle w:val="Compact"/>
              <w:jc w:val="left"/>
            </w:pPr>
            <w:r>
              <w:rPr>
                <w:rFonts w:ascii="Times New Roman" w:hAnsi="Times New Roman" w:cs="Times New Roman" w:eastAsia="Times New Roman"/>
                <w:sz w:val="20"/>
              </w:rPr>
              <w:t xml:space="preserve">lcWGS single-sample (chr22), real GIAB ~1.8×</w:t>
            </w:r>
          </w:p>
        </w:tc>
        <w:tc>
          <w:tcPr>
            <w:shd w:val="clear" w:color="auto" w:fill="FFFFFF"/>
            <w:vAlign w:val="center"/>
            <w:tcW w:type="dxa" w:w="1093"/>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392"/>
          </w:tcPr>
          <w:p>
            <w:pPr>
              <w:pStyle w:val="Compact"/>
              <w:jc w:val="left"/>
            </w:pPr>
            <w:r>
              <w:rPr>
                <w:rFonts w:ascii="Times New Roman" w:hAnsi="Times New Roman" w:cs="Times New Roman" w:eastAsia="Times New Roman"/>
                <w:b/>
                <w:bCs/>
                <w:sz w:val="20"/>
              </w:rPr>
              <w:t xml:space="preserve">~2:01</w:t>
            </w:r>
          </w:p>
        </w:tc>
        <w:tc>
          <w:tcPr>
            <w:shd w:val="clear" w:color="auto" w:fill="FFFFFF"/>
            <w:vAlign w:val="center"/>
            <w:tcW w:type="dxa" w:w="1591"/>
          </w:tcPr>
          <w:p>
            <w:pPr>
              <w:pStyle w:val="Compact"/>
              <w:jc w:val="left"/>
            </w:pPr>
            <w:r>
              <w:rPr>
                <w:rFonts w:ascii="Times New Roman" w:hAnsi="Times New Roman" w:cs="Times New Roman" w:eastAsia="Times New Roman"/>
                <w:sz w:val="20"/>
              </w:rPr>
              <w:t xml:space="preserve">GLIMPSE2: ~5:22</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4079"/>
          </w:tcPr>
          <w:p>
            <w:pPr>
              <w:pStyle w:val="Compact"/>
              <w:jc w:val="left"/>
            </w:pPr>
            <w:r>
              <w:rPr>
                <w:rFonts w:ascii="Times New Roman" w:hAnsi="Times New Roman" w:cs="Times New Roman" w:eastAsia="Times New Roman"/>
                <w:sz w:val="20"/>
              </w:rPr>
              <w:t xml:space="preserve">lcWGS single-sample (chr22), real GIAB</w:t>
            </w:r>
          </w:p>
        </w:tc>
        <w:tc>
          <w:tcPr>
            <w:shd w:val="clear" w:color="auto" w:fill="E7E6E6"/>
            <w:vAlign w:val="center"/>
            <w:tcW w:type="dxa" w:w="1093"/>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392"/>
          </w:tcPr>
          <w:p>
            <w:pPr>
              <w:pStyle w:val="Compact"/>
              <w:jc w:val="left"/>
            </w:pPr>
            <w:r>
              <w:rPr>
                <w:rFonts w:ascii="Times New Roman" w:hAnsi="Times New Roman" w:cs="Times New Roman" w:eastAsia="Times New Roman"/>
                <w:sz w:val="20"/>
              </w:rPr>
              <w:t xml:space="preserve">~3.3 GB</w:t>
            </w:r>
          </w:p>
        </w:tc>
        <w:tc>
          <w:tcPr>
            <w:shd w:val="clear" w:color="auto" w:fill="E7E6E6"/>
            <w:vAlign w:val="center"/>
            <w:tcW w:type="dxa" w:w="1591"/>
          </w:tcPr>
          <w:p>
            <w:pPr>
              <w:pStyle w:val="Compact"/>
              <w:jc w:val="left"/>
            </w:pPr>
            <w:r>
              <w:rPr>
                <w:rFonts w:ascii="Times New Roman" w:hAnsi="Times New Roman" w:cs="Times New Roman" w:eastAsia="Times New Roman"/>
                <w:sz w:val="20"/>
              </w:rPr>
              <w:t xml:space="preserve">GLIMPSE2: ~2.1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4079"/>
          </w:tcPr>
          <w:p>
            <w:pPr>
              <w:pStyle w:val="Compact"/>
              <w:jc w:val="left"/>
            </w:pPr>
            <w:r>
              <w:rPr>
                <w:rFonts w:ascii="Times New Roman" w:hAnsi="Times New Roman" w:cs="Times New Roman" w:eastAsia="Times New Roman"/>
                <w:sz w:val="20"/>
              </w:rPr>
              <w:t xml:space="preserve">lcWGS 54-sample multi-sample whole-chr22 (simulated; only regime Selphi is slower)</w:t>
            </w:r>
          </w:p>
        </w:tc>
        <w:tc>
          <w:tcPr>
            <w:shd w:val="clear" w:color="auto" w:fill="FFFFFF"/>
            <w:vAlign w:val="center"/>
            <w:tcW w:type="dxa" w:w="1093"/>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392"/>
          </w:tcPr>
          <w:p>
            <w:pPr>
              <w:pStyle w:val="Compact"/>
              <w:jc w:val="left"/>
            </w:pPr>
            <w:r>
              <w:rPr>
                <w:rFonts w:ascii="Times New Roman" w:hAnsi="Times New Roman" w:cs="Times New Roman" w:eastAsia="Times New Roman"/>
                <w:sz w:val="20"/>
              </w:rPr>
              <w:t xml:space="preserve">41:50</w:t>
            </w:r>
          </w:p>
        </w:tc>
        <w:tc>
          <w:tcPr>
            <w:shd w:val="clear" w:color="auto" w:fill="FFFFFF"/>
            <w:vAlign w:val="center"/>
            <w:tcW w:type="dxa" w:w="1591"/>
          </w:tcPr>
          <w:p>
            <w:pPr>
              <w:pStyle w:val="Compact"/>
              <w:jc w:val="left"/>
            </w:pPr>
            <w:r>
              <w:rPr>
                <w:rFonts w:ascii="Times New Roman" w:hAnsi="Times New Roman" w:cs="Times New Roman" w:eastAsia="Times New Roman"/>
                <w:sz w:val="20"/>
              </w:rPr>
              <w:t xml:space="preserve">GLIMPSE2: 21:36</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4079"/>
          </w:tcPr>
          <w:p>
            <w:pPr>
              <w:pStyle w:val="Compact"/>
              <w:jc w:val="left"/>
            </w:pPr>
            <w:r>
              <w:rPr>
                <w:rFonts w:ascii="Times New Roman" w:hAnsi="Times New Roman" w:cs="Times New Roman" w:eastAsia="Times New Roman"/>
                <w:sz w:val="20"/>
              </w:rPr>
              <w:t xml:space="preserve">lcWGS 75,552-haplotype panel multicov (HG002, 0.5-4×)</w:t>
            </w:r>
          </w:p>
        </w:tc>
        <w:tc>
          <w:tcPr>
            <w:shd w:val="clear" w:color="auto" w:fill="E7E6E6"/>
            <w:vAlign w:val="center"/>
            <w:tcW w:type="dxa" w:w="1093"/>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392"/>
          </w:tcPr>
          <w:p>
            <w:pPr>
              <w:pStyle w:val="Compact"/>
              <w:jc w:val="left"/>
            </w:pPr>
            <w:r>
              <w:rPr>
                <w:rFonts w:ascii="Times New Roman" w:hAnsi="Times New Roman" w:cs="Times New Roman" w:eastAsia="Times New Roman"/>
                <w:b/>
                <w:bCs/>
                <w:sz w:val="20"/>
              </w:rPr>
              <w:t xml:space="preserve">2:10-2:34</w:t>
            </w:r>
          </w:p>
        </w:tc>
        <w:tc>
          <w:tcPr>
            <w:shd w:val="clear" w:color="auto" w:fill="E7E6E6"/>
            <w:vAlign w:val="center"/>
            <w:tcW w:type="dxa" w:w="1591"/>
          </w:tcPr>
          <w:p>
            <w:pPr>
              <w:pStyle w:val="Compact"/>
              <w:jc w:val="left"/>
            </w:pPr>
            <w:r>
              <w:rPr>
                <w:rFonts w:ascii="Times New Roman" w:hAnsi="Times New Roman" w:cs="Times New Roman" w:eastAsia="Times New Roman"/>
                <w:sz w:val="20"/>
              </w:rPr>
              <w:t xml:space="preserve">GLIMPSE2: 4:41-4:49</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4079"/>
          </w:tcPr>
          <w:p>
            <w:pPr>
              <w:pStyle w:val="Compact"/>
              <w:jc w:val="left"/>
            </w:pPr>
            <w:r>
              <w:rPr>
                <w:rFonts w:ascii="Times New Roman" w:hAnsi="Times New Roman" w:cs="Times New Roman" w:eastAsia="Times New Roman"/>
                <w:sz w:val="20"/>
              </w:rPr>
              <w:t xml:space="preserve">lcWGS 75,552-haplotype panel multicov</w:t>
            </w:r>
          </w:p>
        </w:tc>
        <w:tc>
          <w:tcPr>
            <w:shd w:val="clear" w:color="auto" w:fill="FFFFFF"/>
            <w:vAlign w:val="center"/>
            <w:tcW w:type="dxa" w:w="1093"/>
          </w:tcPr>
          <w:p>
            <w:pPr>
              <w:pStyle w:val="Compact"/>
              <w:jc w:val="left"/>
            </w:pPr>
            <w:r>
              <w:rPr>
                <w:rFonts w:ascii="Times New Roman" w:hAnsi="Times New Roman" w:cs="Times New Roman" w:eastAsia="Times New Roman"/>
                <w:sz w:val="20"/>
              </w:rPr>
              <w:t xml:space="preserve">peak RAM</w:t>
            </w:r>
          </w:p>
        </w:tc>
        <w:tc>
          <w:tcPr>
            <w:shd w:val="clear" w:color="auto" w:fill="FFFFFF"/>
            <w:vAlign w:val="center"/>
            <w:tcW w:type="dxa" w:w="1392"/>
          </w:tcPr>
          <w:p>
            <w:pPr>
              <w:pStyle w:val="Compact"/>
              <w:jc w:val="left"/>
            </w:pPr>
            <w:r>
              <w:rPr>
                <w:rFonts w:ascii="Times New Roman" w:hAnsi="Times New Roman" w:cs="Times New Roman" w:eastAsia="Times New Roman"/>
                <w:sz w:val="20"/>
              </w:rPr>
              <w:t xml:space="preserve">~2.9-3.2 GB</w:t>
            </w:r>
          </w:p>
        </w:tc>
        <w:tc>
          <w:tcPr>
            <w:shd w:val="clear" w:color="auto" w:fill="FFFFFF"/>
            <w:vAlign w:val="center"/>
            <w:tcW w:type="dxa" w:w="1591"/>
          </w:tcPr>
          <w:p>
            <w:pPr>
              <w:pStyle w:val="Compact"/>
              <w:jc w:val="left"/>
            </w:pPr>
            <w:r>
              <w:rPr>
                <w:rFonts w:ascii="Times New Roman" w:hAnsi="Times New Roman" w:cs="Times New Roman" w:eastAsia="Times New Roman"/>
                <w:sz w:val="20"/>
              </w:rPr>
              <w:t xml:space="preserve">GLIMPSE2: ~2.2-2.6 GB</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4079"/>
          </w:tcPr>
          <w:p>
            <w:pPr>
              <w:pStyle w:val="Compact"/>
              <w:jc w:val="left"/>
            </w:pPr>
            <w:r>
              <w:rPr>
                <w:rFonts w:ascii="Times New Roman" w:hAnsi="Times New Roman" w:cs="Times New Roman" w:eastAsia="Times New Roman"/>
                <w:sz w:val="20"/>
              </w:rPr>
              <w:t xml:space="preserve">lcWGS real-data BAM (chr1:30-45 Mb, 1 sample)</w:t>
            </w:r>
          </w:p>
        </w:tc>
        <w:tc>
          <w:tcPr>
            <w:shd w:val="clear" w:color="auto" w:fill="E7E6E6"/>
            <w:vAlign w:val="center"/>
            <w:tcW w:type="dxa" w:w="1093"/>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392"/>
          </w:tcPr>
          <w:p>
            <w:pPr>
              <w:pStyle w:val="Compact"/>
              <w:jc w:val="left"/>
            </w:pPr>
            <w:r>
              <w:rPr>
                <w:rFonts w:ascii="Times New Roman" w:hAnsi="Times New Roman" w:cs="Times New Roman" w:eastAsia="Times New Roman"/>
                <w:b/>
                <w:bCs/>
                <w:sz w:val="20"/>
              </w:rPr>
              <w:t xml:space="preserve">31 s (fast) / 51 s (default)</w:t>
            </w:r>
          </w:p>
        </w:tc>
        <w:tc>
          <w:tcPr>
            <w:shd w:val="clear" w:color="auto" w:fill="E7E6E6"/>
            <w:vAlign w:val="center"/>
            <w:tcW w:type="dxa" w:w="1591"/>
          </w:tcPr>
          <w:p>
            <w:pPr>
              <w:pStyle w:val="Compact"/>
              <w:jc w:val="left"/>
            </w:pPr>
            <w:r>
              <w:rPr>
                <w:rFonts w:ascii="Times New Roman" w:hAnsi="Times New Roman" w:cs="Times New Roman" w:eastAsia="Times New Roman"/>
                <w:sz w:val="20"/>
              </w:rPr>
              <w:t xml:space="preserve">GLIMPSE2: 102 s</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bl>
    <w:p>
      <w:pPr>
        <w:pStyle w:val="Heading2"/>
        <w:jc w:val="both"/>
      </w:pPr>
      <w:r>
        <w:rPr>
          <w:rFonts w:ascii="Times New Roman" w:hAnsi="Times New Roman" w:cs="Times New Roman" w:eastAsia="Times New Roman"/>
        </w:rPr>
        <w:t xml:space="preserve">Table S7. Phasing × imputer matrix (overall R²) - 1KG, chip to WGS</w:t>
      </w:r>
    </w:p>
    <w:p>
      <w:pPr>
        <w:pStyle w:val="FirstParagraph"/>
        <w:jc w:val="both"/>
      </w:pPr>
      <w:r>
        <w:rPr>
          <w:rFonts w:ascii="Times New Roman" w:hAnsi="Times New Roman" w:cs="Times New Roman" w:eastAsia="Times New Roman"/>
        </w:rPr>
        <w:t xml:space="preserve">A genuinely-unphased 1KG array target (801 held-out samples) phased by each of</w:t>
      </w:r>
      <w:r>
        <w:rPr>
          <w:rFonts w:ascii="Times New Roman" w:hAnsi="Times New Roman" w:cs="Times New Roman" w:eastAsia="Times New Roman"/>
        </w:rPr>
        <w:t xml:space="preserve"> </w:t>
      </w:r>
      <w:r>
        <w:rPr>
          <w:rFonts w:ascii="Times New Roman" w:hAnsi="Times New Roman" w:cs="Times New Roman" w:eastAsia="Times New Roman"/>
        </w:rPr>
        <w:t xml:space="preserve">three tools, then imputed by each of two imputers against the 1000 Genomes Phase 3</w:t>
      </w:r>
      <w:r>
        <w:rPr>
          <w:rFonts w:ascii="Times New Roman" w:hAnsi="Times New Roman" w:cs="Times New Roman" w:eastAsia="Times New Roman"/>
        </w:rPr>
        <w:t xml:space="preserve"> </w:t>
      </w:r>
      <w:r>
        <w:rPr>
          <w:rFonts w:ascii="Times New Roman" w:hAnsi="Times New Roman" w:cs="Times New Roman" w:eastAsia="Times New Roman"/>
        </w:rPr>
        <w:t xml:space="preserve">panel; overall R² vs WGS truth on imputed-only sites. Within a fixed imputer the</w:t>
      </w:r>
      <w:r>
        <w:rPr>
          <w:rFonts w:ascii="Times New Roman" w:hAnsi="Times New Roman" w:cs="Times New Roman" w:eastAsia="Times New Roman"/>
        </w:rPr>
        <w:t xml:space="preserve"> </w:t>
      </w:r>
      <w:r>
        <w:rPr>
          <w:rFonts w:ascii="Times New Roman" w:hAnsi="Times New Roman" w:cs="Times New Roman" w:eastAsia="Times New Roman"/>
        </w:rPr>
        <w:t xml:space="preserve">three phasings differ by ≤0.002; switching the imputer (Beagle to Selphi) moves R²</w:t>
      </w:r>
      <w:r>
        <w:rPr>
          <w:rFonts w:ascii="Times New Roman" w:hAnsi="Times New Roman" w:cs="Times New Roman" w:eastAsia="Times New Roman"/>
        </w:rPr>
        <w:t xml:space="preserve"> </w:t>
      </w:r>
      <w:r>
        <w:rPr>
          <w:rFonts w:ascii="Times New Roman" w:hAnsi="Times New Roman" w:cs="Times New Roman" w:eastAsia="Times New Roman"/>
        </w:rPr>
        <w:t xml:space="preserve">by +0.007 to +0.011 regardless of phaser - i.e. the phaser is practically</w:t>
      </w:r>
      <w:r>
        <w:rPr>
          <w:rFonts w:ascii="Times New Roman" w:hAnsi="Times New Roman" w:cs="Times New Roman" w:eastAsia="Times New Roman"/>
        </w:rPr>
        <w:t xml:space="preserve"> </w:t>
      </w:r>
      <w:r>
        <w:rPr>
          <w:rFonts w:ascii="Times New Roman" w:hAnsi="Times New Roman" w:cs="Times New Roman" w:eastAsia="Times New Roman"/>
        </w:rPr>
        <w:t xml:space="preserve">interchangeable for array imputation and the accuracy gain lives in the imputer.</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20"/>
        <w:gridCol w:w="1710"/>
        <w:gridCol w:w="1710"/>
        <w:gridCol w:w="1710"/>
        <w:gridCol w:w="1710"/>
      </w:tblGrid>
      <w:tr>
        <w:trPr>
          <w:tblHeader w:val="on"/>
        </w:trPr>
        <w:tc>
          <w:tcPr>
            <w:shd w:val="clear" w:color="auto" w:fill="595959"/>
            <w:vAlign w:val="center"/>
            <w:tcW w:type="dxa" w:w="2520"/>
          </w:tcPr>
          <w:p>
            <w:pPr>
              <w:pStyle w:val="Compact"/>
              <w:jc w:val="center"/>
            </w:pPr>
            <w:r>
              <w:rPr>
                <w:rFonts w:ascii="Times New Roman" w:hAnsi="Times New Roman" w:cs="Times New Roman" w:eastAsia="Times New Roman"/>
                <w:b/>
                <w:color w:val="FFFFFF"/>
                <w:sz w:val="20"/>
              </w:rPr>
              <w:t xml:space="preserve">Phasing / Imputer</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chr22 Beagle</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chr22 Selphi</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chr1 Beagle</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chr1 Selphi</w:t>
            </w:r>
          </w:p>
        </w:tc>
      </w:tr>
      <w:tr>
        <w:tc>
          <w:tcPr>
            <w:shd w:val="clear" w:color="auto" w:fill="FFFFFF"/>
            <w:vAlign w:val="center"/>
            <w:tcW w:type="dxa" w:w="2520"/>
          </w:tcPr>
          <w:p>
            <w:pPr>
              <w:pStyle w:val="Compact"/>
              <w:jc w:val="center"/>
            </w:pPr>
            <w:r>
              <w:rPr>
                <w:rFonts w:ascii="Times New Roman" w:hAnsi="Times New Roman" w:cs="Times New Roman" w:eastAsia="Times New Roman"/>
                <w:sz w:val="20"/>
              </w:rPr>
              <w:t xml:space="preserve">Selphi 2</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0.4723</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0.4821</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0.5655</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0.5730</w:t>
            </w:r>
          </w:p>
        </w:tc>
      </w:tr>
      <w:tr>
        <w:tc>
          <w:tcPr>
            <w:shd w:val="clear" w:color="auto" w:fill="E7E6E6"/>
            <w:vAlign w:val="center"/>
            <w:tcW w:type="dxa" w:w="2520"/>
          </w:tcPr>
          <w:p>
            <w:pPr>
              <w:pStyle w:val="Compact"/>
              <w:jc w:val="center"/>
            </w:pPr>
            <w:r>
              <w:rPr>
                <w:rFonts w:ascii="Times New Roman" w:hAnsi="Times New Roman" w:cs="Times New Roman" w:eastAsia="Times New Roman"/>
                <w:sz w:val="20"/>
              </w:rPr>
              <w:t xml:space="preserve">Beagle 5.5</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0.4815</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0.5639</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0.5710</w:t>
            </w:r>
          </w:p>
        </w:tc>
      </w:tr>
      <w:tr>
        <w:tc>
          <w:tcPr>
            <w:shd w:val="clear" w:color="auto" w:fill="FFFFFF"/>
            <w:vAlign w:val="center"/>
            <w:tcW w:type="dxa" w:w="2520"/>
          </w:tcPr>
          <w:p>
            <w:pPr>
              <w:pStyle w:val="Compact"/>
              <w:jc w:val="center"/>
            </w:pPr>
            <w:r>
              <w:rPr>
                <w:rFonts w:ascii="Times New Roman" w:hAnsi="Times New Roman" w:cs="Times New Roman" w:eastAsia="Times New Roman"/>
                <w:sz w:val="20"/>
              </w:rPr>
              <w:t xml:space="preserve">SHAPEIT5</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0.4728</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0.4834</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0.5646</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0.5726</w:t>
            </w:r>
          </w:p>
        </w:tc>
      </w:tr>
    </w:tbl>
    <w:p>
      <w:pPr>
        <w:pStyle w:val="Heading2"/>
        <w:jc w:val="both"/>
      </w:pPr>
      <w:r>
        <w:rPr>
          <w:rFonts w:ascii="Times New Roman" w:hAnsi="Times New Roman" w:cs="Times New Roman" w:eastAsia="Times New Roman"/>
        </w:rPr>
        <w:t xml:space="preserve">Table S8. Reference-panel re-phasing (chr22)</w:t>
      </w:r>
    </w:p>
    <w:p>
      <w:pPr>
        <w:pStyle w:val="FirstParagraph"/>
        <w:jc w:val="both"/>
      </w:pPr>
      <w:r>
        <w:rPr>
          <w:rFonts w:ascii="Times New Roman" w:hAnsi="Times New Roman" w:cs="Times New Roman" w:eastAsia="Times New Roman"/>
        </w:rPr>
        <w:t xml:space="preserve">The 1000 Genomes Phase 3 panel re-phased de-novo with Selphi 2 (</w:t>
      </w:r>
      <w:r>
        <w:rPr>
          <w:rFonts w:ascii="Times New Roman" w:hAnsi="Times New Roman" w:cs="Times New Roman" w:eastAsia="Times New Roman"/>
          <w:rStyle w:val="VerbatimChar"/>
        </w:rPr>
        <w:t xml:space="preserve">--phase-panel</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2,401 samples) versus its original published phasing; the same Selphi-phased</w:t>
      </w:r>
      <w:r>
        <w:rPr>
          <w:rFonts w:ascii="Times New Roman" w:hAnsi="Times New Roman" w:cs="Times New Roman" w:eastAsia="Times New Roman"/>
        </w:rPr>
        <w:t xml:space="preserve"> </w:t>
      </w:r>
      <w:r>
        <w:rPr>
          <w:rFonts w:ascii="Times New Roman" w:hAnsi="Times New Roman" w:cs="Times New Roman" w:eastAsia="Times New Roman"/>
        </w:rPr>
        <w:t xml:space="preserve">target is imputed against each panel. Re-phasing a well-phased panel is</w:t>
      </w:r>
      <w:r>
        <w:rPr>
          <w:rFonts w:ascii="Times New Roman" w:hAnsi="Times New Roman" w:cs="Times New Roman" w:eastAsia="Times New Roman"/>
        </w:rPr>
        <w:t xml:space="preserve"> </w:t>
      </w:r>
      <w:r>
        <w:rPr>
          <w:rFonts w:ascii="Times New Roman" w:hAnsi="Times New Roman" w:cs="Times New Roman" w:eastAsia="Times New Roman"/>
        </w:rPr>
        <w:t xml:space="preserve">net-negative on overall R², driven entirely by the rarest bins (it helps common</w:t>
      </w:r>
      <w:r>
        <w:rPr>
          <w:rFonts w:ascii="Times New Roman" w:hAnsi="Times New Roman" w:cs="Times New Roman" w:eastAsia="Times New Roman"/>
        </w:rPr>
        <w:t xml:space="preserve"> </w:t>
      </w:r>
      <w:r>
        <w:rPr>
          <w:rFonts w:ascii="Times New Roman" w:hAnsi="Times New Roman" w:cs="Times New Roman" w:eastAsia="Times New Roman"/>
        </w:rPr>
        <w:t xml:space="preserve">variants but loses rare-allele fidelity), so a panel's published phasing is best</w:t>
      </w:r>
      <w:r>
        <w:rPr>
          <w:rFonts w:ascii="Times New Roman" w:hAnsi="Times New Roman" w:cs="Times New Roman" w:eastAsia="Times New Roman"/>
        </w:rPr>
        <w:t xml:space="preserve"> </w:t>
      </w:r>
      <w:r>
        <w:rPr>
          <w:rFonts w:ascii="Times New Roman" w:hAnsi="Times New Roman" w:cs="Times New Roman" w:eastAsia="Times New Roman"/>
        </w:rPr>
        <w:t xml:space="preserve">retained.</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426"/>
        <w:gridCol w:w="1197"/>
        <w:gridCol w:w="1998"/>
        <w:gridCol w:w="1083"/>
        <w:gridCol w:w="1540"/>
        <w:gridCol w:w="2116"/>
      </w:tblGrid>
      <w:tr>
        <w:trPr>
          <w:tblHeader w:val="on"/>
        </w:trPr>
        <w:tc>
          <w:tcPr>
            <w:shd w:val="clear" w:color="auto" w:fill="595959"/>
            <w:vAlign w:val="center"/>
            <w:tcW w:type="dxa" w:w="1426"/>
          </w:tcPr>
          <w:p>
            <w:pPr>
              <w:pStyle w:val="Compact"/>
              <w:jc w:val="center"/>
            </w:pPr>
            <w:r>
              <w:rPr>
                <w:rFonts w:ascii="Times New Roman" w:hAnsi="Times New Roman" w:cs="Times New Roman" w:eastAsia="Times New Roman"/>
                <w:b/>
                <w:color w:val="FFFFFF"/>
                <w:sz w:val="20"/>
              </w:rPr>
              <w:t xml:space="preserve">Imputer</w:t>
            </w:r>
          </w:p>
        </w:tc>
        <w:tc>
          <w:tcPr>
            <w:shd w:val="clear" w:color="auto" w:fill="595959"/>
            <w:vAlign w:val="center"/>
            <w:tcW w:type="dxa" w:w="1197"/>
          </w:tcPr>
          <w:p>
            <w:pPr>
              <w:pStyle w:val="Compact"/>
              <w:jc w:val="center"/>
            </w:pPr>
            <w:r>
              <w:rPr>
                <w:rFonts w:ascii="Times New Roman" w:hAnsi="Times New Roman" w:cs="Times New Roman" w:eastAsia="Times New Roman"/>
                <w:b/>
                <w:color w:val="FFFFFF"/>
                <w:sz w:val="20"/>
              </w:rPr>
              <w:t xml:space="preserve">original panel</w:t>
            </w:r>
          </w:p>
        </w:tc>
        <w:tc>
          <w:tcPr>
            <w:shd w:val="clear" w:color="auto" w:fill="595959"/>
            <w:vAlign w:val="center"/>
            <w:tcW w:type="dxa" w:w="1998"/>
          </w:tcPr>
          <w:p>
            <w:pPr>
              <w:pStyle w:val="Compact"/>
              <w:jc w:val="center"/>
            </w:pPr>
            <w:r>
              <w:rPr>
                <w:rFonts w:ascii="Times New Roman" w:hAnsi="Times New Roman" w:cs="Times New Roman" w:eastAsia="Times New Roman"/>
                <w:b/>
                <w:color w:val="FFFFFF"/>
                <w:sz w:val="20"/>
              </w:rPr>
              <w:t xml:space="preserve">Selphi-rephased panel</w:t>
            </w:r>
          </w:p>
        </w:tc>
        <w:tc>
          <w:tcPr>
            <w:shd w:val="clear" w:color="auto" w:fill="595959"/>
            <w:vAlign w:val="center"/>
            <w:tcW w:type="dxa" w:w="1083"/>
          </w:tcPr>
          <w:p>
            <w:pPr>
              <w:pStyle w:val="Compact"/>
              <w:jc w:val="center"/>
            </w:pPr>
            <w:r>
              <w:rPr>
                <w:rFonts w:ascii="Times New Roman" w:hAnsi="Times New Roman" w:cs="Times New Roman" w:eastAsia="Times New Roman"/>
                <w:b/>
                <w:color w:val="FFFFFF"/>
                <w:sz w:val="20"/>
              </w:rPr>
              <w:t xml:space="preserve">Δ overall</w:t>
            </w:r>
          </w:p>
        </w:tc>
        <w:tc>
          <w:tcPr>
            <w:shd w:val="clear" w:color="auto" w:fill="595959"/>
            <w:vAlign w:val="center"/>
            <w:tcW w:type="dxa" w:w="1540"/>
          </w:tcPr>
          <w:p>
            <w:pPr>
              <w:pStyle w:val="Compact"/>
              <w:jc w:val="center"/>
            </w:pPr>
            <w:r>
              <w:rPr>
                <w:rFonts w:ascii="Times New Roman" w:hAnsi="Times New Roman" w:cs="Times New Roman" w:eastAsia="Times New Roman"/>
                <w:b/>
                <w:color w:val="FFFFFF"/>
                <w:sz w:val="20"/>
              </w:rPr>
              <w:t xml:space="preserve">rarest-bin Δ (0.05-0.1%)</w:t>
            </w:r>
          </w:p>
        </w:tc>
        <w:tc>
          <w:tcPr>
            <w:shd w:val="clear" w:color="auto" w:fill="595959"/>
            <w:vAlign w:val="center"/>
            <w:tcW w:type="dxa" w:w="2116"/>
          </w:tcPr>
          <w:p>
            <w:pPr>
              <w:pStyle w:val="Compact"/>
              <w:jc w:val="center"/>
            </w:pPr>
            <w:r>
              <w:rPr>
                <w:rFonts w:ascii="Times New Roman" w:hAnsi="Times New Roman" w:cs="Times New Roman" w:eastAsia="Times New Roman"/>
                <w:b/>
                <w:color w:val="FFFFFF"/>
                <w:sz w:val="20"/>
              </w:rPr>
              <w:t xml:space="preserve">common-bin Δ (0.5-50%)</w:t>
            </w:r>
          </w:p>
        </w:tc>
      </w:tr>
      <w:tr>
        <w:tc>
          <w:tcPr>
            <w:shd w:val="clear" w:color="auto" w:fill="FFFFFF"/>
            <w:vAlign w:val="center"/>
            <w:tcW w:type="dxa" w:w="1426"/>
          </w:tcPr>
          <w:p>
            <w:pPr>
              <w:pStyle w:val="Compact"/>
              <w:jc w:val="center"/>
            </w:pPr>
            <w:r>
              <w:rPr>
                <w:rFonts w:ascii="Times New Roman" w:hAnsi="Times New Roman" w:cs="Times New Roman" w:eastAsia="Times New Roman"/>
                <w:sz w:val="20"/>
              </w:rPr>
              <w:t xml:space="preserve">Beagle 5.5</w:t>
            </w:r>
          </w:p>
        </w:tc>
        <w:tc>
          <w:tcPr>
            <w:shd w:val="clear" w:color="auto" w:fill="FFFFFF"/>
            <w:vAlign w:val="center"/>
            <w:tcW w:type="dxa" w:w="1197"/>
          </w:tcPr>
          <w:p>
            <w:pPr>
              <w:pStyle w:val="Compact"/>
              <w:jc w:val="center"/>
            </w:pPr>
            <w:r>
              <w:rPr>
                <w:rFonts w:ascii="Times New Roman" w:hAnsi="Times New Roman" w:cs="Times New Roman" w:eastAsia="Times New Roman"/>
                <w:sz w:val="20"/>
              </w:rPr>
              <w:t xml:space="preserve">0.4723</w:t>
            </w:r>
          </w:p>
        </w:tc>
        <w:tc>
          <w:tcPr>
            <w:shd w:val="clear" w:color="auto" w:fill="FFFFFF"/>
            <w:vAlign w:val="center"/>
            <w:tcW w:type="dxa" w:w="1998"/>
          </w:tcPr>
          <w:p>
            <w:pPr>
              <w:pStyle w:val="Compact"/>
              <w:jc w:val="center"/>
            </w:pPr>
            <w:r>
              <w:rPr>
                <w:rFonts w:ascii="Times New Roman" w:hAnsi="Times New Roman" w:cs="Times New Roman" w:eastAsia="Times New Roman"/>
                <w:sz w:val="20"/>
              </w:rPr>
              <w:t xml:space="preserve">0.4696</w:t>
            </w:r>
          </w:p>
        </w:tc>
        <w:tc>
          <w:tcPr>
            <w:shd w:val="clear" w:color="auto" w:fill="FFFFFF"/>
            <w:vAlign w:val="center"/>
            <w:tcW w:type="dxa" w:w="1083"/>
          </w:tcPr>
          <w:p>
            <w:pPr>
              <w:pStyle w:val="Compact"/>
              <w:jc w:val="center"/>
            </w:pPr>
            <w:r>
              <w:rPr>
                <w:rFonts w:ascii="Times New Roman" w:hAnsi="Times New Roman" w:cs="Times New Roman" w:eastAsia="Times New Roman"/>
                <w:sz w:val="20"/>
              </w:rPr>
              <w:t xml:space="preserve">-0.0028</w:t>
            </w:r>
          </w:p>
        </w:tc>
        <w:tc>
          <w:tcPr>
            <w:shd w:val="clear" w:color="auto" w:fill="FFFFFF"/>
            <w:vAlign w:val="center"/>
            <w:tcW w:type="dxa" w:w="1540"/>
          </w:tcPr>
          <w:p>
            <w:pPr>
              <w:pStyle w:val="Compact"/>
              <w:jc w:val="center"/>
            </w:pPr>
            <w:r>
              <w:rPr>
                <w:rFonts w:ascii="Times New Roman" w:hAnsi="Times New Roman" w:cs="Times New Roman" w:eastAsia="Times New Roman"/>
                <w:sz w:val="20"/>
              </w:rPr>
              <w:t xml:space="preserve">-0.014</w:t>
            </w:r>
          </w:p>
        </w:tc>
        <w:tc>
          <w:tcPr>
            <w:shd w:val="clear" w:color="auto" w:fill="FFFFFF"/>
            <w:vAlign w:val="center"/>
            <w:tcW w:type="dxa" w:w="2116"/>
          </w:tcPr>
          <w:p>
            <w:pPr>
              <w:pStyle w:val="Compact"/>
              <w:jc w:val="center"/>
            </w:pPr>
            <w:r>
              <w:rPr>
                <w:rFonts w:ascii="Times New Roman" w:hAnsi="Times New Roman" w:cs="Times New Roman" w:eastAsia="Times New Roman"/>
                <w:sz w:val="20"/>
              </w:rPr>
              <w:t xml:space="preserve">+0.001 to +0.004</w:t>
            </w:r>
          </w:p>
        </w:tc>
      </w:tr>
      <w:tr>
        <w:tc>
          <w:tcPr>
            <w:shd w:val="clear" w:color="auto" w:fill="E7E6E6"/>
            <w:vAlign w:val="center"/>
            <w:tcW w:type="dxa" w:w="1426"/>
          </w:tcPr>
          <w:p>
            <w:pPr>
              <w:pStyle w:val="Compact"/>
              <w:jc w:val="center"/>
            </w:pPr>
            <w:r>
              <w:rPr>
                <w:rFonts w:ascii="Times New Roman" w:hAnsi="Times New Roman" w:cs="Times New Roman" w:eastAsia="Times New Roman"/>
                <w:sz w:val="20"/>
              </w:rPr>
              <w:t xml:space="preserve">Selphi 2</w:t>
            </w:r>
          </w:p>
        </w:tc>
        <w:tc>
          <w:tcPr>
            <w:shd w:val="clear" w:color="auto" w:fill="E7E6E6"/>
            <w:vAlign w:val="center"/>
            <w:tcW w:type="dxa" w:w="1197"/>
          </w:tcPr>
          <w:p>
            <w:pPr>
              <w:pStyle w:val="Compact"/>
              <w:jc w:val="center"/>
            </w:pPr>
            <w:r>
              <w:rPr>
                <w:rFonts w:ascii="Times New Roman" w:hAnsi="Times New Roman" w:cs="Times New Roman" w:eastAsia="Times New Roman"/>
                <w:sz w:val="20"/>
              </w:rPr>
              <w:t xml:space="preserve">0.4821</w:t>
            </w:r>
          </w:p>
        </w:tc>
        <w:tc>
          <w:tcPr>
            <w:shd w:val="clear" w:color="auto" w:fill="E7E6E6"/>
            <w:vAlign w:val="center"/>
            <w:tcW w:type="dxa" w:w="1998"/>
          </w:tcPr>
          <w:p>
            <w:pPr>
              <w:pStyle w:val="Compact"/>
              <w:jc w:val="center"/>
            </w:pPr>
            <w:r>
              <w:rPr>
                <w:rFonts w:ascii="Times New Roman" w:hAnsi="Times New Roman" w:cs="Times New Roman" w:eastAsia="Times New Roman"/>
                <w:sz w:val="20"/>
              </w:rPr>
              <w:t xml:space="preserve">0.4788</w:t>
            </w:r>
          </w:p>
        </w:tc>
        <w:tc>
          <w:tcPr>
            <w:shd w:val="clear" w:color="auto" w:fill="E7E6E6"/>
            <w:vAlign w:val="center"/>
            <w:tcW w:type="dxa" w:w="1083"/>
          </w:tcPr>
          <w:p>
            <w:pPr>
              <w:pStyle w:val="Compact"/>
              <w:jc w:val="center"/>
            </w:pPr>
            <w:r>
              <w:rPr>
                <w:rFonts w:ascii="Times New Roman" w:hAnsi="Times New Roman" w:cs="Times New Roman" w:eastAsia="Times New Roman"/>
                <w:sz w:val="20"/>
              </w:rPr>
              <w:t xml:space="preserve">-0.0033</w:t>
            </w:r>
          </w:p>
        </w:tc>
        <w:tc>
          <w:tcPr>
            <w:shd w:val="clear" w:color="auto" w:fill="E7E6E6"/>
            <w:vAlign w:val="center"/>
            <w:tcW w:type="dxa" w:w="1540"/>
          </w:tcPr>
          <w:p>
            <w:pPr>
              <w:pStyle w:val="Compact"/>
              <w:jc w:val="center"/>
            </w:pPr>
            <w:r>
              <w:rPr>
                <w:rFonts w:ascii="Times New Roman" w:hAnsi="Times New Roman" w:cs="Times New Roman" w:eastAsia="Times New Roman"/>
                <w:sz w:val="20"/>
              </w:rPr>
              <w:t xml:space="preserve">-0.013</w:t>
            </w:r>
          </w:p>
        </w:tc>
        <w:tc>
          <w:tcPr>
            <w:shd w:val="clear" w:color="auto" w:fill="E7E6E6"/>
            <w:vAlign w:val="center"/>
            <w:tcW w:type="dxa" w:w="2116"/>
          </w:tcPr>
          <w:p>
            <w:pPr>
              <w:pStyle w:val="Compact"/>
              <w:jc w:val="center"/>
            </w:pPr>
            <w:r>
              <w:rPr>
                <w:rFonts w:ascii="Times New Roman" w:hAnsi="Times New Roman" w:cs="Times New Roman" w:eastAsia="Times New Roman"/>
                <w:sz w:val="20"/>
              </w:rPr>
              <w:t xml:space="preserve">+0.001 to +0.003</w:t>
            </w:r>
          </w:p>
        </w:tc>
      </w:tr>
    </w:tbl>
    <w:p>
      <w:pPr>
        <w:pStyle w:val="Heading2"/>
        <w:jc w:val="both"/>
      </w:pPr>
      <w:r>
        <w:rPr>
          <w:rFonts w:ascii="Times New Roman" w:hAnsi="Times New Roman" w:cs="Times New Roman" w:eastAsia="Times New Roman"/>
        </w:rPr>
        <w:t xml:space="preserve">Table S9. Genome-wide per-MAF R² underlying Figure 2a (1KG, five-way, imputation-only)</w:t>
      </w:r>
    </w:p>
    <w:p>
      <w:pPr>
        <w:pStyle w:val="FirstParagraph"/>
        <w:jc w:val="both"/>
      </w:pPr>
      <w:r>
        <w:rPr>
          <w:rFonts w:ascii="Times New Roman" w:hAnsi="Times New Roman" w:cs="Times New Roman" w:eastAsia="Times New Roman"/>
        </w:rPr>
        <w:t xml:space="preserve">Source data for Figure 2a: n-weighted imputation R² by MAF bin, aggregated genome-wide</w:t>
      </w:r>
      <w:r>
        <w:rPr>
          <w:rFonts w:ascii="Times New Roman" w:hAnsi="Times New Roman" w:cs="Times New Roman" w:eastAsia="Times New Roman"/>
        </w:rPr>
        <w:t xml:space="preserve"> </w:t>
      </w:r>
      <w:r>
        <w:rPr>
          <w:rFonts w:ascii="Times New Roman" w:hAnsi="Times New Roman" w:cs="Times New Roman" w:eastAsia="Times New Roman"/>
        </w:rPr>
        <w:t xml:space="preserve">across 20 autosomes (chromosomes 8 and 11 excluded because Beagle aborted on a duplicate</w:t>
      </w:r>
      <w:r>
        <w:rPr>
          <w:rFonts w:ascii="Times New Roman" w:hAnsi="Times New Roman" w:cs="Times New Roman" w:eastAsia="Times New Roman"/>
        </w:rPr>
        <w:t xml:space="preserve"> </w:t>
      </w:r>
      <w:r>
        <w:rPr>
          <w:rFonts w:ascii="Times New Roman" w:hAnsi="Times New Roman" w:cs="Times New Roman" w:eastAsia="Times New Roman"/>
        </w:rPr>
        <w:t xml:space="preserve">panel marker, so all tools span the identical chromosome set). 801 held-out 1000 Genomes</w:t>
      </w:r>
      <w:r>
        <w:rPr>
          <w:rFonts w:ascii="Times New Roman" w:hAnsi="Times New Roman" w:cs="Times New Roman" w:eastAsia="Times New Roman"/>
        </w:rPr>
        <w:t xml:space="preserve"> </w:t>
      </w:r>
      <w:r>
        <w:rPr>
          <w:rFonts w:ascii="Times New Roman" w:hAnsi="Times New Roman" w:cs="Times New Roman" w:eastAsia="Times New Roman"/>
        </w:rPr>
        <w:t xml:space="preserve">samples imputed against the 1000 Genomes Phase 3 panel (2,401 samples / 4,802 haplotypes</w:t>
      </w:r>
      <w:r>
        <w:rPr>
          <w:rFonts w:ascii="Times New Roman" w:hAnsi="Times New Roman" w:cs="Times New Roman" w:eastAsia="Times New Roman"/>
        </w:rPr>
        <w:t xml:space="preserve"> </w:t>
      </w:r>
      <w:r>
        <w:rPr>
          <w:rFonts w:ascii="Times New Roman" w:hAnsi="Times New Roman" w:cs="Times New Roman" w:eastAsia="Times New Roman"/>
        </w:rPr>
        <w:t xml:space="preserve">per chromosome), scored against WGS truth. This is a like-for-like</w:t>
      </w:r>
      <w:r>
        <w:rPr>
          <w:rFonts w:ascii="Times New Roman" w:hAnsi="Times New Roman" w:cs="Times New Roman" w:eastAsia="Times New Roman"/>
        </w:rPr>
        <w:t xml:space="preserve"> </w:t>
      </w:r>
      <w:r>
        <w:rPr>
          <w:rFonts w:ascii="Times New Roman" w:hAnsi="Times New Roman" w:cs="Times New Roman" w:eastAsia="Times New Roman"/>
          <w:b/>
          <w:bCs/>
        </w:rPr>
        <w:t xml:space="preserve">imputation-only</w:t>
      </w:r>
      <w:r>
        <w:rPr>
          <w:rFonts w:ascii="Times New Roman" w:hAnsi="Times New Roman" w:cs="Times New Roman" w:eastAsia="Times New Roman"/>
        </w:rPr>
        <w:t xml:space="preserve"> </w:t>
      </w:r>
      <w:r>
        <w:rPr>
          <w:rFonts w:ascii="Times New Roman" w:hAnsi="Times New Roman" w:cs="Times New Roman" w:eastAsia="Times New Roman"/>
        </w:rPr>
        <w:t xml:space="preserve">comparison: every tool receives the</w:t>
      </w:r>
      <w:r>
        <w:rPr>
          <w:rFonts w:ascii="Times New Roman" w:hAnsi="Times New Roman" w:cs="Times New Roman" w:eastAsia="Times New Roman"/>
        </w:rPr>
        <w:t xml:space="preserve"> </w:t>
      </w:r>
      <w:r>
        <w:rPr>
          <w:rFonts w:ascii="Times New Roman" w:hAnsi="Times New Roman" w:cs="Times New Roman" w:eastAsia="Times New Roman"/>
          <w:i/>
          <w:iCs/>
        </w:rPr>
        <w:t xml:space="preserve">identical</w:t>
      </w:r>
      <w:r>
        <w:rPr>
          <w:rFonts w:ascii="Times New Roman" w:hAnsi="Times New Roman" w:cs="Times New Roman" w:eastAsia="Times New Roman"/>
        </w:rPr>
        <w:t xml:space="preserve"> </w:t>
      </w:r>
      <w:r>
        <w:rPr>
          <w:rFonts w:ascii="Times New Roman" w:hAnsi="Times New Roman" w:cs="Times New Roman" w:eastAsia="Times New Roman"/>
        </w:rPr>
        <w:t xml:space="preserve">phased target haplotypes (the same input</w:t>
      </w:r>
      <w:r>
        <w:rPr>
          <w:rFonts w:ascii="Times New Roman" w:hAnsi="Times New Roman" w:cs="Times New Roman" w:eastAsia="Times New Roman"/>
        </w:rPr>
        <w:t xml:space="preserve"> </w:t>
      </w:r>
      <w:r>
        <w:rPr>
          <w:rFonts w:ascii="Times New Roman" w:hAnsi="Times New Roman" w:cs="Times New Roman" w:eastAsia="Times New Roman"/>
        </w:rPr>
        <w:t xml:space="preserve">file) and the same reference panel, so the figure isolates the imputation step. All five</w:t>
      </w:r>
      <w:r>
        <w:rPr>
          <w:rFonts w:ascii="Times New Roman" w:hAnsi="Times New Roman" w:cs="Times New Roman" w:eastAsia="Times New Roman"/>
        </w:rPr>
        <w:t xml:space="preserve"> </w:t>
      </w:r>
      <w:r>
        <w:rPr>
          <w:rFonts w:ascii="Times New Roman" w:hAnsi="Times New Roman" w:cs="Times New Roman" w:eastAsia="Times New Roman"/>
        </w:rPr>
        <w:t xml:space="preserve">tools impute directly from the supplied phasing; because the target is fully phased and</w:t>
      </w:r>
      <w:r>
        <w:rPr>
          <w:rFonts w:ascii="Times New Roman" w:hAnsi="Times New Roman" w:cs="Times New Roman" w:eastAsia="Times New Roman"/>
        </w:rPr>
        <w:t xml:space="preserve"> </w:t>
      </w:r>
      <w:r>
        <w:rPr>
          <w:rFonts w:ascii="Times New Roman" w:hAnsi="Times New Roman" w:cs="Times New Roman" w:eastAsia="Times New Roman"/>
        </w:rPr>
        <w:t xml:space="preserve">contains no missing genotypes, Beagle 5.5 likewise imputes without re-estimating phase, so</w:t>
      </w:r>
      <w:r>
        <w:rPr>
          <w:rFonts w:ascii="Times New Roman" w:hAnsi="Times New Roman" w:cs="Times New Roman" w:eastAsia="Times New Roman"/>
        </w:rPr>
        <w:t xml:space="preserve"> </w:t>
      </w:r>
      <w:r>
        <w:rPr>
          <w:rFonts w:ascii="Times New Roman" w:hAnsi="Times New Roman" w:cs="Times New Roman" w:eastAsia="Times New Roman"/>
        </w:rPr>
        <w:t xml:space="preserve">every row reflects imputation from identical input haplotypes. Bold marks the per-row maximum. Selphi 2's full phase-and-</w:t>
      </w:r>
      <w:r>
        <w:rPr>
          <w:rFonts w:ascii="Times New Roman" w:hAnsi="Times New Roman" w:cs="Times New Roman" w:eastAsia="Times New Roman"/>
        </w:rPr>
        <w:t xml:space="preserve"> </w:t>
      </w:r>
      <w:r>
        <w:rPr>
          <w:rFonts w:ascii="Times New Roman" w:hAnsi="Times New Roman" w:cs="Times New Roman" w:eastAsia="Times New Roman"/>
        </w:rPr>
        <w:t xml:space="preserve">impute pipeline (its own internal phasing) reaches a higher genome-wide overall R² of</w:t>
      </w:r>
      <w:r>
        <w:rPr>
          <w:rFonts w:ascii="Times New Roman" w:hAnsi="Times New Roman" w:cs="Times New Roman" w:eastAsia="Times New Roman"/>
        </w:rPr>
        <w:t xml:space="preserve"> </w:t>
      </w:r>
      <w:r>
        <w:rPr>
          <w:rFonts w:ascii="Times New Roman" w:hAnsi="Times New Roman" w:cs="Times New Roman" w:eastAsia="Times New Roman"/>
        </w:rPr>
        <w:t xml:space="preserve">0.5838 (Table 1; Results); the 0.5808 here is Selphi 2 imputing from the shared external</w:t>
      </w:r>
      <w:r>
        <w:rPr>
          <w:rFonts w:ascii="Times New Roman" w:hAnsi="Times New Roman" w:cs="Times New Roman" w:eastAsia="Times New Roman"/>
        </w:rPr>
        <w:t xml:space="preserve"> </w:t>
      </w:r>
      <w:r>
        <w:rPr>
          <w:rFonts w:ascii="Times New Roman" w:hAnsi="Times New Roman" w:cs="Times New Roman" w:eastAsia="Times New Roman"/>
        </w:rPr>
        <w:t xml:space="preserve">phasing. The OVERALL row matches the genome-wide aggregate reported in Results.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891"/>
        <w:gridCol w:w="1395"/>
        <w:gridCol w:w="1395"/>
        <w:gridCol w:w="1395"/>
        <w:gridCol w:w="1724"/>
        <w:gridCol w:w="1560"/>
      </w:tblGrid>
      <w:tr>
        <w:trPr>
          <w:tblHeader w:val="on"/>
        </w:trPr>
        <w:tc>
          <w:tcPr>
            <w:shd w:val="clear" w:color="auto" w:fill="595959"/>
            <w:vAlign w:val="center"/>
            <w:tcW w:type="dxa" w:w="1891"/>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3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1395"/>
          </w:tcPr>
          <w:p>
            <w:pPr>
              <w:pStyle w:val="Compact"/>
              <w:jc w:val="center"/>
            </w:pPr>
            <w:r>
              <w:rPr>
                <w:rFonts w:ascii="Times New Roman" w:hAnsi="Times New Roman" w:cs="Times New Roman" w:eastAsia="Times New Roman"/>
                <w:b/>
                <w:color w:val="FFFFFF"/>
                <w:sz w:val="20"/>
              </w:rPr>
              <w:t xml:space="preserve">Selphi 1.5.3</w:t>
            </w:r>
          </w:p>
        </w:tc>
        <w:tc>
          <w:tcPr>
            <w:shd w:val="clear" w:color="auto" w:fill="595959"/>
            <w:vAlign w:val="center"/>
            <w:tcW w:type="dxa" w:w="1395"/>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1724"/>
          </w:tcPr>
          <w:p>
            <w:pPr>
              <w:pStyle w:val="Compact"/>
              <w:jc w:val="center"/>
            </w:pPr>
            <w:r>
              <w:rPr>
                <w:rFonts w:ascii="Times New Roman" w:hAnsi="Times New Roman" w:cs="Times New Roman" w:eastAsia="Times New Roman"/>
                <w:b/>
                <w:color w:val="FFFFFF"/>
                <w:sz w:val="20"/>
              </w:rPr>
              <w:t xml:space="preserve">Minimac4</w:t>
            </w:r>
          </w:p>
        </w:tc>
        <w:tc>
          <w:tcPr>
            <w:shd w:val="clear" w:color="auto" w:fill="595959"/>
            <w:vAlign w:val="center"/>
            <w:tcW w:type="dxa" w:w="1560"/>
          </w:tcPr>
          <w:p>
            <w:pPr>
              <w:pStyle w:val="Compact"/>
              <w:jc w:val="center"/>
            </w:pPr>
            <w:r>
              <w:rPr>
                <w:rFonts w:ascii="Times New Roman" w:hAnsi="Times New Roman" w:cs="Times New Roman" w:eastAsia="Times New Roman"/>
                <w:b/>
                <w:color w:val="FFFFFF"/>
                <w:sz w:val="20"/>
              </w:rPr>
              <w:t xml:space="preserve">IMPUTE5</w:t>
            </w:r>
          </w:p>
        </w:tc>
      </w:tr>
      <w:tr>
        <w:tc>
          <w:tcPr>
            <w:shd w:val="clear" w:color="auto" w:fill="FFFFFF"/>
            <w:vAlign w:val="center"/>
            <w:tcW w:type="dxa" w:w="1891"/>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0.3528</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0.3375</w:t>
            </w:r>
          </w:p>
        </w:tc>
        <w:tc>
          <w:tcPr>
            <w:shd w:val="clear" w:color="auto" w:fill="FFFFFF"/>
            <w:vAlign w:val="center"/>
            <w:tcW w:type="dxa" w:w="1395"/>
          </w:tcPr>
          <w:p>
            <w:pPr>
              <w:pStyle w:val="Compact"/>
              <w:jc w:val="center"/>
            </w:pPr>
            <w:r>
              <w:rPr>
                <w:rFonts w:ascii="Times New Roman" w:hAnsi="Times New Roman" w:cs="Times New Roman" w:eastAsia="Times New Roman"/>
                <w:b/>
                <w:bCs/>
                <w:sz w:val="20"/>
              </w:rPr>
              <w:t xml:space="preserve">0.3570</w:t>
            </w:r>
          </w:p>
        </w:tc>
        <w:tc>
          <w:tcPr>
            <w:shd w:val="clear" w:color="auto" w:fill="FFFFFF"/>
            <w:vAlign w:val="center"/>
            <w:tcW w:type="dxa" w:w="1724"/>
          </w:tcPr>
          <w:p>
            <w:pPr>
              <w:pStyle w:val="Compact"/>
              <w:jc w:val="center"/>
            </w:pPr>
            <w:r>
              <w:rPr>
                <w:rFonts w:ascii="Times New Roman" w:hAnsi="Times New Roman" w:cs="Times New Roman" w:eastAsia="Times New Roman"/>
                <w:sz w:val="20"/>
              </w:rPr>
              <w:t xml:space="preserve">0.3529</w:t>
            </w:r>
          </w:p>
        </w:tc>
        <w:tc>
          <w:tcPr>
            <w:shd w:val="clear" w:color="auto" w:fill="FFFFFF"/>
            <w:vAlign w:val="center"/>
            <w:tcW w:type="dxa" w:w="1560"/>
          </w:tcPr>
          <w:p>
            <w:pPr>
              <w:pStyle w:val="Compact"/>
              <w:jc w:val="center"/>
            </w:pPr>
            <w:r>
              <w:rPr>
                <w:rFonts w:ascii="Times New Roman" w:hAnsi="Times New Roman" w:cs="Times New Roman" w:eastAsia="Times New Roman"/>
                <w:sz w:val="20"/>
              </w:rPr>
              <w:t xml:space="preserve">0.3458</w:t>
            </w:r>
          </w:p>
        </w:tc>
      </w:tr>
      <w:tr>
        <w:tc>
          <w:tcPr>
            <w:shd w:val="clear" w:color="auto" w:fill="E7E6E6"/>
            <w:vAlign w:val="center"/>
            <w:tcW w:type="dxa" w:w="1891"/>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395"/>
          </w:tcPr>
          <w:p>
            <w:pPr>
              <w:pStyle w:val="Compact"/>
              <w:jc w:val="center"/>
            </w:pPr>
            <w:r>
              <w:rPr>
                <w:rFonts w:ascii="Times New Roman" w:hAnsi="Times New Roman" w:cs="Times New Roman" w:eastAsia="Times New Roman"/>
                <w:b/>
                <w:bCs/>
                <w:sz w:val="20"/>
              </w:rPr>
              <w:t xml:space="preserve">0.4222</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0.4106</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0.4151</w:t>
            </w:r>
          </w:p>
        </w:tc>
        <w:tc>
          <w:tcPr>
            <w:shd w:val="clear" w:color="auto" w:fill="E7E6E6"/>
            <w:vAlign w:val="center"/>
            <w:tcW w:type="dxa" w:w="1724"/>
          </w:tcPr>
          <w:p>
            <w:pPr>
              <w:pStyle w:val="Compact"/>
              <w:jc w:val="center"/>
            </w:pPr>
            <w:r>
              <w:rPr>
                <w:rFonts w:ascii="Times New Roman" w:hAnsi="Times New Roman" w:cs="Times New Roman" w:eastAsia="Times New Roman"/>
                <w:sz w:val="20"/>
              </w:rPr>
              <w:t xml:space="preserve">0.4132</w:t>
            </w:r>
          </w:p>
        </w:tc>
        <w:tc>
          <w:tcPr>
            <w:shd w:val="clear" w:color="auto" w:fill="E7E6E6"/>
            <w:vAlign w:val="center"/>
            <w:tcW w:type="dxa" w:w="1560"/>
          </w:tcPr>
          <w:p>
            <w:pPr>
              <w:pStyle w:val="Compact"/>
              <w:jc w:val="center"/>
            </w:pPr>
            <w:r>
              <w:rPr>
                <w:rFonts w:ascii="Times New Roman" w:hAnsi="Times New Roman" w:cs="Times New Roman" w:eastAsia="Times New Roman"/>
                <w:sz w:val="20"/>
              </w:rPr>
              <w:t xml:space="preserve">0.4062</w:t>
            </w:r>
          </w:p>
        </w:tc>
      </w:tr>
      <w:tr>
        <w:tc>
          <w:tcPr>
            <w:shd w:val="clear" w:color="auto" w:fill="FFFFFF"/>
            <w:vAlign w:val="center"/>
            <w:tcW w:type="dxa" w:w="1891"/>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395"/>
          </w:tcPr>
          <w:p>
            <w:pPr>
              <w:pStyle w:val="Compact"/>
              <w:jc w:val="center"/>
            </w:pPr>
            <w:r>
              <w:rPr>
                <w:rFonts w:ascii="Times New Roman" w:hAnsi="Times New Roman" w:cs="Times New Roman" w:eastAsia="Times New Roman"/>
                <w:b/>
                <w:bCs/>
                <w:sz w:val="20"/>
              </w:rPr>
              <w:t xml:space="preserve">0.5235</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0.5149</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0.5092</w:t>
            </w:r>
          </w:p>
        </w:tc>
        <w:tc>
          <w:tcPr>
            <w:shd w:val="clear" w:color="auto" w:fill="FFFFFF"/>
            <w:vAlign w:val="center"/>
            <w:tcW w:type="dxa" w:w="1724"/>
          </w:tcPr>
          <w:p>
            <w:pPr>
              <w:pStyle w:val="Compact"/>
              <w:jc w:val="center"/>
            </w:pPr>
            <w:r>
              <w:rPr>
                <w:rFonts w:ascii="Times New Roman" w:hAnsi="Times New Roman" w:cs="Times New Roman" w:eastAsia="Times New Roman"/>
                <w:sz w:val="20"/>
              </w:rPr>
              <w:t xml:space="preserve">0.5048</w:t>
            </w:r>
          </w:p>
        </w:tc>
        <w:tc>
          <w:tcPr>
            <w:shd w:val="clear" w:color="auto" w:fill="FFFFFF"/>
            <w:vAlign w:val="center"/>
            <w:tcW w:type="dxa" w:w="1560"/>
          </w:tcPr>
          <w:p>
            <w:pPr>
              <w:pStyle w:val="Compact"/>
              <w:jc w:val="center"/>
            </w:pPr>
            <w:r>
              <w:rPr>
                <w:rFonts w:ascii="Times New Roman" w:hAnsi="Times New Roman" w:cs="Times New Roman" w:eastAsia="Times New Roman"/>
                <w:sz w:val="20"/>
              </w:rPr>
              <w:t xml:space="preserve">0.5005</w:t>
            </w:r>
          </w:p>
        </w:tc>
      </w:tr>
      <w:tr>
        <w:tc>
          <w:tcPr>
            <w:shd w:val="clear" w:color="auto" w:fill="E7E6E6"/>
            <w:vAlign w:val="center"/>
            <w:tcW w:type="dxa" w:w="1891"/>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395"/>
          </w:tcPr>
          <w:p>
            <w:pPr>
              <w:pStyle w:val="Compact"/>
              <w:jc w:val="center"/>
            </w:pPr>
            <w:r>
              <w:rPr>
                <w:rFonts w:ascii="Times New Roman" w:hAnsi="Times New Roman" w:cs="Times New Roman" w:eastAsia="Times New Roman"/>
                <w:b/>
                <w:bCs/>
                <w:sz w:val="20"/>
              </w:rPr>
              <w:t xml:space="preserve">0.6250</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0.6207</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0.6083</w:t>
            </w:r>
          </w:p>
        </w:tc>
        <w:tc>
          <w:tcPr>
            <w:shd w:val="clear" w:color="auto" w:fill="E7E6E6"/>
            <w:vAlign w:val="center"/>
            <w:tcW w:type="dxa" w:w="1724"/>
          </w:tcPr>
          <w:p>
            <w:pPr>
              <w:pStyle w:val="Compact"/>
              <w:jc w:val="center"/>
            </w:pPr>
            <w:r>
              <w:rPr>
                <w:rFonts w:ascii="Times New Roman" w:hAnsi="Times New Roman" w:cs="Times New Roman" w:eastAsia="Times New Roman"/>
                <w:sz w:val="20"/>
              </w:rPr>
              <w:t xml:space="preserve">0.6013</w:t>
            </w:r>
          </w:p>
        </w:tc>
        <w:tc>
          <w:tcPr>
            <w:shd w:val="clear" w:color="auto" w:fill="E7E6E6"/>
            <w:vAlign w:val="center"/>
            <w:tcW w:type="dxa" w:w="1560"/>
          </w:tcPr>
          <w:p>
            <w:pPr>
              <w:pStyle w:val="Compact"/>
              <w:jc w:val="center"/>
            </w:pPr>
            <w:r>
              <w:rPr>
                <w:rFonts w:ascii="Times New Roman" w:hAnsi="Times New Roman" w:cs="Times New Roman" w:eastAsia="Times New Roman"/>
                <w:sz w:val="20"/>
              </w:rPr>
              <w:t xml:space="preserve">0.5991</w:t>
            </w:r>
          </w:p>
        </w:tc>
      </w:tr>
      <w:tr>
        <w:tc>
          <w:tcPr>
            <w:shd w:val="clear" w:color="auto" w:fill="FFFFFF"/>
            <w:vAlign w:val="center"/>
            <w:tcW w:type="dxa" w:w="1891"/>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395"/>
          </w:tcPr>
          <w:p>
            <w:pPr>
              <w:pStyle w:val="Compact"/>
              <w:jc w:val="center"/>
            </w:pPr>
            <w:r>
              <w:rPr>
                <w:rFonts w:ascii="Times New Roman" w:hAnsi="Times New Roman" w:cs="Times New Roman" w:eastAsia="Times New Roman"/>
                <w:b/>
                <w:bCs/>
                <w:sz w:val="20"/>
              </w:rPr>
              <w:t xml:space="preserve">0.6910</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0.6898</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0.6742</w:t>
            </w:r>
          </w:p>
        </w:tc>
        <w:tc>
          <w:tcPr>
            <w:shd w:val="clear" w:color="auto" w:fill="FFFFFF"/>
            <w:vAlign w:val="center"/>
            <w:tcW w:type="dxa" w:w="1724"/>
          </w:tcPr>
          <w:p>
            <w:pPr>
              <w:pStyle w:val="Compact"/>
              <w:jc w:val="center"/>
            </w:pPr>
            <w:r>
              <w:rPr>
                <w:rFonts w:ascii="Times New Roman" w:hAnsi="Times New Roman" w:cs="Times New Roman" w:eastAsia="Times New Roman"/>
                <w:sz w:val="20"/>
              </w:rPr>
              <w:t xml:space="preserve">0.6663</w:t>
            </w:r>
          </w:p>
        </w:tc>
        <w:tc>
          <w:tcPr>
            <w:shd w:val="clear" w:color="auto" w:fill="FFFFFF"/>
            <w:vAlign w:val="center"/>
            <w:tcW w:type="dxa" w:w="1560"/>
          </w:tcPr>
          <w:p>
            <w:pPr>
              <w:pStyle w:val="Compact"/>
              <w:jc w:val="center"/>
            </w:pPr>
            <w:r>
              <w:rPr>
                <w:rFonts w:ascii="Times New Roman" w:hAnsi="Times New Roman" w:cs="Times New Roman" w:eastAsia="Times New Roman"/>
                <w:sz w:val="20"/>
              </w:rPr>
              <w:t xml:space="preserve">0.6654</w:t>
            </w:r>
          </w:p>
        </w:tc>
      </w:tr>
      <w:tr>
        <w:tc>
          <w:tcPr>
            <w:shd w:val="clear" w:color="auto" w:fill="E7E6E6"/>
            <w:vAlign w:val="center"/>
            <w:tcW w:type="dxa" w:w="1891"/>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0.7618</w:t>
            </w:r>
          </w:p>
        </w:tc>
        <w:tc>
          <w:tcPr>
            <w:shd w:val="clear" w:color="auto" w:fill="E7E6E6"/>
            <w:vAlign w:val="center"/>
            <w:tcW w:type="dxa" w:w="1395"/>
          </w:tcPr>
          <w:p>
            <w:pPr>
              <w:pStyle w:val="Compact"/>
              <w:jc w:val="center"/>
            </w:pPr>
            <w:r>
              <w:rPr>
                <w:rFonts w:ascii="Times New Roman" w:hAnsi="Times New Roman" w:cs="Times New Roman" w:eastAsia="Times New Roman"/>
                <w:b/>
                <w:bCs/>
                <w:sz w:val="20"/>
              </w:rPr>
              <w:t xml:space="preserve">0.7629</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0.7460</w:t>
            </w:r>
          </w:p>
        </w:tc>
        <w:tc>
          <w:tcPr>
            <w:shd w:val="clear" w:color="auto" w:fill="E7E6E6"/>
            <w:vAlign w:val="center"/>
            <w:tcW w:type="dxa" w:w="1724"/>
          </w:tcPr>
          <w:p>
            <w:pPr>
              <w:pStyle w:val="Compact"/>
              <w:jc w:val="center"/>
            </w:pPr>
            <w:r>
              <w:rPr>
                <w:rFonts w:ascii="Times New Roman" w:hAnsi="Times New Roman" w:cs="Times New Roman" w:eastAsia="Times New Roman"/>
                <w:sz w:val="20"/>
              </w:rPr>
              <w:t xml:space="preserve">0.7367</w:t>
            </w:r>
          </w:p>
        </w:tc>
        <w:tc>
          <w:tcPr>
            <w:shd w:val="clear" w:color="auto" w:fill="E7E6E6"/>
            <w:vAlign w:val="center"/>
            <w:tcW w:type="dxa" w:w="1560"/>
          </w:tcPr>
          <w:p>
            <w:pPr>
              <w:pStyle w:val="Compact"/>
              <w:jc w:val="center"/>
            </w:pPr>
            <w:r>
              <w:rPr>
                <w:rFonts w:ascii="Times New Roman" w:hAnsi="Times New Roman" w:cs="Times New Roman" w:eastAsia="Times New Roman"/>
                <w:sz w:val="20"/>
              </w:rPr>
              <w:t xml:space="preserve">0.7381</w:t>
            </w:r>
          </w:p>
        </w:tc>
      </w:tr>
      <w:tr>
        <w:tc>
          <w:tcPr>
            <w:shd w:val="clear" w:color="auto" w:fill="FFFFFF"/>
            <w:vAlign w:val="center"/>
            <w:tcW w:type="dxa" w:w="1891"/>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0.8525</w:t>
            </w:r>
          </w:p>
        </w:tc>
        <w:tc>
          <w:tcPr>
            <w:shd w:val="clear" w:color="auto" w:fill="FFFFFF"/>
            <w:vAlign w:val="center"/>
            <w:tcW w:type="dxa" w:w="1395"/>
          </w:tcPr>
          <w:p>
            <w:pPr>
              <w:pStyle w:val="Compact"/>
              <w:jc w:val="center"/>
            </w:pPr>
            <w:r>
              <w:rPr>
                <w:rFonts w:ascii="Times New Roman" w:hAnsi="Times New Roman" w:cs="Times New Roman" w:eastAsia="Times New Roman"/>
                <w:b/>
                <w:bCs/>
                <w:sz w:val="20"/>
              </w:rPr>
              <w:t xml:space="preserve">0.8539</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0.8414</w:t>
            </w:r>
          </w:p>
        </w:tc>
        <w:tc>
          <w:tcPr>
            <w:shd w:val="clear" w:color="auto" w:fill="FFFFFF"/>
            <w:vAlign w:val="center"/>
            <w:tcW w:type="dxa" w:w="1724"/>
          </w:tcPr>
          <w:p>
            <w:pPr>
              <w:pStyle w:val="Compact"/>
              <w:jc w:val="center"/>
            </w:pPr>
            <w:r>
              <w:rPr>
                <w:rFonts w:ascii="Times New Roman" w:hAnsi="Times New Roman" w:cs="Times New Roman" w:eastAsia="Times New Roman"/>
                <w:sz w:val="20"/>
              </w:rPr>
              <w:t xml:space="preserve">0.8323</w:t>
            </w:r>
          </w:p>
        </w:tc>
        <w:tc>
          <w:tcPr>
            <w:shd w:val="clear" w:color="auto" w:fill="FFFFFF"/>
            <w:vAlign w:val="center"/>
            <w:tcW w:type="dxa" w:w="1560"/>
          </w:tcPr>
          <w:p>
            <w:pPr>
              <w:pStyle w:val="Compact"/>
              <w:jc w:val="center"/>
            </w:pPr>
            <w:r>
              <w:rPr>
                <w:rFonts w:ascii="Times New Roman" w:hAnsi="Times New Roman" w:cs="Times New Roman" w:eastAsia="Times New Roman"/>
                <w:sz w:val="20"/>
              </w:rPr>
              <w:t xml:space="preserve">0.8355</w:t>
            </w:r>
          </w:p>
        </w:tc>
      </w:tr>
      <w:tr>
        <w:tc>
          <w:tcPr>
            <w:shd w:val="clear" w:color="auto" w:fill="E7E6E6"/>
            <w:vAlign w:val="center"/>
            <w:tcW w:type="dxa" w:w="1891"/>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0.8962</w:t>
            </w:r>
          </w:p>
        </w:tc>
        <w:tc>
          <w:tcPr>
            <w:shd w:val="clear" w:color="auto" w:fill="E7E6E6"/>
            <w:vAlign w:val="center"/>
            <w:tcW w:type="dxa" w:w="1395"/>
          </w:tcPr>
          <w:p>
            <w:pPr>
              <w:pStyle w:val="Compact"/>
              <w:jc w:val="center"/>
            </w:pPr>
            <w:r>
              <w:rPr>
                <w:rFonts w:ascii="Times New Roman" w:hAnsi="Times New Roman" w:cs="Times New Roman" w:eastAsia="Times New Roman"/>
                <w:b/>
                <w:bCs/>
                <w:sz w:val="20"/>
              </w:rPr>
              <w:t xml:space="preserve">0.8973</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0.8885</w:t>
            </w:r>
          </w:p>
        </w:tc>
        <w:tc>
          <w:tcPr>
            <w:shd w:val="clear" w:color="auto" w:fill="E7E6E6"/>
            <w:vAlign w:val="center"/>
            <w:tcW w:type="dxa" w:w="1724"/>
          </w:tcPr>
          <w:p>
            <w:pPr>
              <w:pStyle w:val="Compact"/>
              <w:jc w:val="center"/>
            </w:pPr>
            <w:r>
              <w:rPr>
                <w:rFonts w:ascii="Times New Roman" w:hAnsi="Times New Roman" w:cs="Times New Roman" w:eastAsia="Times New Roman"/>
                <w:sz w:val="20"/>
              </w:rPr>
              <w:t xml:space="preserve">0.8803</w:t>
            </w:r>
          </w:p>
        </w:tc>
        <w:tc>
          <w:tcPr>
            <w:shd w:val="clear" w:color="auto" w:fill="E7E6E6"/>
            <w:vAlign w:val="center"/>
            <w:tcW w:type="dxa" w:w="1560"/>
          </w:tcPr>
          <w:p>
            <w:pPr>
              <w:pStyle w:val="Compact"/>
              <w:jc w:val="center"/>
            </w:pPr>
            <w:r>
              <w:rPr>
                <w:rFonts w:ascii="Times New Roman" w:hAnsi="Times New Roman" w:cs="Times New Roman" w:eastAsia="Times New Roman"/>
                <w:sz w:val="20"/>
              </w:rPr>
              <w:t xml:space="preserve">0.8840</w:t>
            </w:r>
          </w:p>
        </w:tc>
      </w:tr>
      <w:tr>
        <w:tc>
          <w:tcPr>
            <w:shd w:val="clear" w:color="auto" w:fill="FFFFFF"/>
            <w:vAlign w:val="center"/>
            <w:tcW w:type="dxa" w:w="1891"/>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0.9254</w:t>
            </w:r>
          </w:p>
        </w:tc>
        <w:tc>
          <w:tcPr>
            <w:shd w:val="clear" w:color="auto" w:fill="FFFFFF"/>
            <w:vAlign w:val="center"/>
            <w:tcW w:type="dxa" w:w="1395"/>
          </w:tcPr>
          <w:p>
            <w:pPr>
              <w:pStyle w:val="Compact"/>
              <w:jc w:val="center"/>
            </w:pPr>
            <w:r>
              <w:rPr>
                <w:rFonts w:ascii="Times New Roman" w:hAnsi="Times New Roman" w:cs="Times New Roman" w:eastAsia="Times New Roman"/>
                <w:b/>
                <w:bCs/>
                <w:sz w:val="20"/>
              </w:rPr>
              <w:t xml:space="preserve">0.9262</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0.9196</w:t>
            </w:r>
          </w:p>
        </w:tc>
        <w:tc>
          <w:tcPr>
            <w:shd w:val="clear" w:color="auto" w:fill="FFFFFF"/>
            <w:vAlign w:val="center"/>
            <w:tcW w:type="dxa" w:w="1724"/>
          </w:tcPr>
          <w:p>
            <w:pPr>
              <w:pStyle w:val="Compact"/>
              <w:jc w:val="center"/>
            </w:pPr>
            <w:r>
              <w:rPr>
                <w:rFonts w:ascii="Times New Roman" w:hAnsi="Times New Roman" w:cs="Times New Roman" w:eastAsia="Times New Roman"/>
                <w:sz w:val="20"/>
              </w:rPr>
              <w:t xml:space="preserve">0.9112</w:t>
            </w:r>
          </w:p>
        </w:tc>
        <w:tc>
          <w:tcPr>
            <w:shd w:val="clear" w:color="auto" w:fill="FFFFFF"/>
            <w:vAlign w:val="center"/>
            <w:tcW w:type="dxa" w:w="1560"/>
          </w:tcPr>
          <w:p>
            <w:pPr>
              <w:pStyle w:val="Compact"/>
              <w:jc w:val="center"/>
            </w:pPr>
            <w:r>
              <w:rPr>
                <w:rFonts w:ascii="Times New Roman" w:hAnsi="Times New Roman" w:cs="Times New Roman" w:eastAsia="Times New Roman"/>
                <w:sz w:val="20"/>
              </w:rPr>
              <w:t xml:space="preserve">0.9160</w:t>
            </w:r>
          </w:p>
        </w:tc>
      </w:tr>
      <w:tr>
        <w:tc>
          <w:tcPr>
            <w:shd w:val="clear" w:color="auto" w:fill="E7E6E6"/>
            <w:vAlign w:val="center"/>
            <w:tcW w:type="dxa" w:w="1891"/>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395"/>
          </w:tcPr>
          <w:p>
            <w:pPr>
              <w:pStyle w:val="Compact"/>
              <w:jc w:val="center"/>
            </w:pPr>
            <w:r>
              <w:rPr>
                <w:rFonts w:ascii="Times New Roman" w:hAnsi="Times New Roman" w:cs="Times New Roman" w:eastAsia="Times New Roman"/>
                <w:b/>
                <w:bCs/>
                <w:sz w:val="20"/>
              </w:rPr>
              <w:t xml:space="preserve">0.5808</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0.5739</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0.5739</w:t>
            </w:r>
          </w:p>
        </w:tc>
        <w:tc>
          <w:tcPr>
            <w:shd w:val="clear" w:color="auto" w:fill="E7E6E6"/>
            <w:vAlign w:val="center"/>
            <w:tcW w:type="dxa" w:w="1724"/>
          </w:tcPr>
          <w:p>
            <w:pPr>
              <w:pStyle w:val="Compact"/>
              <w:jc w:val="center"/>
            </w:pPr>
            <w:r>
              <w:rPr>
                <w:rFonts w:ascii="Times New Roman" w:hAnsi="Times New Roman" w:cs="Times New Roman" w:eastAsia="Times New Roman"/>
                <w:sz w:val="20"/>
              </w:rPr>
              <w:t xml:space="preserve">0.5668</w:t>
            </w:r>
          </w:p>
        </w:tc>
        <w:tc>
          <w:tcPr>
            <w:shd w:val="clear" w:color="auto" w:fill="E7E6E6"/>
            <w:vAlign w:val="center"/>
            <w:tcW w:type="dxa" w:w="1560"/>
          </w:tcPr>
          <w:p>
            <w:pPr>
              <w:pStyle w:val="Compact"/>
              <w:jc w:val="center"/>
            </w:pPr>
            <w:r>
              <w:rPr>
                <w:rFonts w:ascii="Times New Roman" w:hAnsi="Times New Roman" w:cs="Times New Roman" w:eastAsia="Times New Roman"/>
                <w:sz w:val="20"/>
              </w:rPr>
              <w:t xml:space="preserve">0.5635</w:t>
            </w:r>
          </w:p>
        </w:tc>
      </w:tr>
    </w:tbl>
    <w:p>
      <w:pPr>
        <w:pStyle w:val="Heading2"/>
        <w:jc w:val="both"/>
      </w:pPr>
      <w:r>
        <w:rPr>
          <w:rFonts w:ascii="Times New Roman" w:hAnsi="Times New Roman" w:cs="Times New Roman" w:eastAsia="Times New Roman"/>
        </w:rPr>
        <w:t xml:space="preserve">Table S10. Component ablation (1KG chromosome 22, 801 held-out samples)</w:t>
      </w:r>
    </w:p>
    <w:p>
      <w:pPr>
        <w:pStyle w:val="FirstParagraph"/>
        <w:jc w:val="both"/>
      </w:pPr>
      <w:r>
        <w:rPr>
          <w:rFonts w:ascii="Times New Roman" w:hAnsi="Times New Roman" w:cs="Times New Roman" w:eastAsia="Times New Roman"/>
        </w:rPr>
        <w:t xml:space="preserve">Each component is varied from the Selphi 2 default with phasing and everything else held</w:t>
      </w:r>
      <w:r>
        <w:rPr>
          <w:rFonts w:ascii="Times New Roman" w:hAnsi="Times New Roman" w:cs="Times New Roman" w:eastAsia="Times New Roman"/>
        </w:rPr>
        <w:t xml:space="preserve"> </w:t>
      </w:r>
      <w:r>
        <w:rPr>
          <w:rFonts w:ascii="Times New Roman" w:hAnsi="Times New Roman" w:cs="Times New Roman" w:eastAsia="Times New Roman"/>
        </w:rPr>
        <w:t xml:space="preserve">fixed (impute-only against the phased target, so the effect is isolated from phasing). The</w:t>
      </w:r>
      <w:r>
        <w:rPr>
          <w:rFonts w:ascii="Times New Roman" w:hAnsi="Times New Roman" w:cs="Times New Roman" w:eastAsia="Times New Roman"/>
        </w:rPr>
        <w:t xml:space="preserve"> </w:t>
      </w:r>
      <w:r>
        <w:rPr>
          <w:rFonts w:ascii="Times New Roman" w:hAnsi="Times New Roman" w:cs="Times New Roman" w:eastAsia="Times New Roman"/>
        </w:rPr>
        <w:t xml:space="preserve">"Default" row is identical to the chromosome-22 impute-only row of Table S1. The long-range</w:t>
      </w:r>
      <w:r>
        <w:rPr>
          <w:rFonts w:ascii="Times New Roman" w:hAnsi="Times New Roman" w:cs="Times New Roman" w:eastAsia="Times New Roman"/>
        </w:rPr>
        <w:t xml:space="preserve"> </w:t>
      </w:r>
      <w:r>
        <w:rPr>
          <w:rFonts w:ascii="Times New Roman" w:hAnsi="Times New Roman" w:cs="Times New Roman" w:eastAsia="Times New Roman"/>
        </w:rPr>
        <w:t xml:space="preserve">PBWT scan realized as an 80 cM window is worth +0.013 overall R² over a short IMPUTE5-like 8 cM</w:t>
      </w:r>
      <w:r>
        <w:rPr>
          <w:rFonts w:ascii="Times New Roman" w:hAnsi="Times New Roman" w:cs="Times New Roman" w:eastAsia="Times New Roman"/>
        </w:rPr>
        <w:t xml:space="preserve"> </w:t>
      </w:r>
      <w:r>
        <w:rPr>
          <w:rFonts w:ascii="Times New Roman" w:hAnsi="Times New Roman" w:cs="Times New Roman" w:eastAsia="Times New Roman"/>
        </w:rPr>
        <w:t xml:space="preserve">window; because chromosome 22 is shorter than 80 cM, the default 80 cM window already spans the</w:t>
      </w:r>
      <w:r>
        <w:rPr>
          <w:rFonts w:ascii="Times New Roman" w:hAnsi="Times New Roman" w:cs="Times New Roman" w:eastAsia="Times New Roman"/>
        </w:rPr>
        <w:t xml:space="preserve"> </w:t>
      </w:r>
      <w:r>
        <w:rPr>
          <w:rFonts w:ascii="Times New Roman" w:hAnsi="Times New Roman" w:cs="Times New Roman" w:eastAsia="Times New Roman"/>
        </w:rPr>
        <w:t xml:space="preserve">whole chromosome, so the 80 cM and whole-chromosome rows coincide by construction (confirming</w:t>
      </w:r>
      <w:r>
        <w:rPr>
          <w:rFonts w:ascii="Times New Roman" w:hAnsi="Times New Roman" w:cs="Times New Roman" w:eastAsia="Times New Roman"/>
        </w:rPr>
        <w:t xml:space="preserve"> </w:t>
      </w:r>
      <w:r>
        <w:rPr>
          <w:rFonts w:ascii="Times New Roman" w:hAnsi="Times New Roman" w:cs="Times New Roman" w:eastAsia="Times New Roman"/>
        </w:rPr>
        <w:t xml:space="preserve">that windowing at 80 cM imposes no penalty relative to Selphi 1's whole-chromosome pass on this</w:t>
      </w:r>
      <w:r>
        <w:rPr>
          <w:rFonts w:ascii="Times New Roman" w:hAnsi="Times New Roman" w:cs="Times New Roman" w:eastAsia="Times New Roman"/>
        </w:rPr>
        <w:t xml:space="preserve"> </w:t>
      </w:r>
      <w:r>
        <w:rPr>
          <w:rFonts w:ascii="Times New Roman" w:hAnsi="Times New Roman" w:cs="Times New Roman" w:eastAsia="Times New Roman"/>
        </w:rPr>
        <w:t xml:space="preserve">chromosome). The panel-adaptive effective population size is worth +0.008 over a fixed Ne = 20,000. The candidate-set-size component is ablated separately in Table 2b.</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5380"/>
        <w:gridCol w:w="995"/>
        <w:gridCol w:w="1205"/>
        <w:gridCol w:w="890"/>
        <w:gridCol w:w="890"/>
      </w:tblGrid>
      <w:tr>
        <w:trPr>
          <w:tblHeader w:val="on"/>
        </w:trPr>
        <w:tc>
          <w:tcPr>
            <w:shd w:val="clear" w:color="auto" w:fill="595959"/>
            <w:vAlign w:val="center"/>
            <w:tcW w:type="dxa" w:w="5380"/>
          </w:tcPr>
          <w:p>
            <w:pPr>
              <w:pStyle w:val="Compact"/>
              <w:jc w:val="center"/>
            </w:pPr>
            <w:r>
              <w:rPr>
                <w:rFonts w:ascii="Times New Roman" w:hAnsi="Times New Roman" w:cs="Times New Roman" w:eastAsia="Times New Roman"/>
                <w:b/>
                <w:color w:val="FFFFFF"/>
                <w:sz w:val="20"/>
              </w:rPr>
              <w:t xml:space="preserve">Configuration</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Overall R²</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0.05-0.1%</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0.5-1%</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20-50%</w:t>
            </w:r>
          </w:p>
        </w:tc>
      </w:tr>
      <w:tr>
        <w:tc>
          <w:tcPr>
            <w:shd w:val="clear" w:color="auto" w:fill="FFFFFF"/>
            <w:vAlign w:val="center"/>
            <w:tcW w:type="dxa" w:w="5380"/>
          </w:tcPr>
          <w:p>
            <w:pPr>
              <w:pStyle w:val="Compact"/>
              <w:jc w:val="left"/>
            </w:pPr>
            <w:r>
              <w:rPr>
                <w:rFonts w:ascii="Times New Roman" w:hAnsi="Times New Roman" w:cs="Times New Roman" w:eastAsia="Times New Roman"/>
                <w:sz w:val="20"/>
              </w:rPr>
              <w:t xml:space="preserve">Default (80 cM window, panel-adaptive Ne)</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0.4776</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0.2661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0.5033</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0.8418</w:t>
            </w:r>
          </w:p>
        </w:tc>
      </w:tr>
      <w:tr>
        <w:tc>
          <w:tcPr>
            <w:shd w:val="clear" w:color="auto" w:fill="E7E6E6"/>
            <w:vAlign w:val="center"/>
            <w:tcW w:type="dxa" w:w="5380"/>
          </w:tcPr>
          <w:p>
            <w:pPr>
              <w:pStyle w:val="Compact"/>
              <w:jc w:val="left"/>
            </w:pPr>
            <w:r>
              <w:rPr>
                <w:rFonts w:ascii="Times New Roman" w:hAnsi="Times New Roman" w:cs="Times New Roman" w:eastAsia="Times New Roman"/>
                <w:sz w:val="20"/>
              </w:rPr>
              <w:t xml:space="preserve">Short 8 cM window (IMPUTE5-like)</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0.4645</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0.2667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0.4759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0.8250</w:t>
            </w:r>
          </w:p>
        </w:tc>
      </w:tr>
      <w:tr>
        <w:tc>
          <w:tcPr>
            <w:shd w:val="clear" w:color="auto" w:fill="FFFFFF"/>
            <w:vAlign w:val="center"/>
            <w:tcW w:type="dxa" w:w="5380"/>
          </w:tcPr>
          <w:p>
            <w:pPr>
              <w:pStyle w:val="Compact"/>
              <w:jc w:val="left"/>
            </w:pPr>
            <w:r>
              <w:rPr>
                <w:rFonts w:ascii="Times New Roman" w:hAnsi="Times New Roman" w:cs="Times New Roman" w:eastAsia="Times New Roman"/>
                <w:sz w:val="20"/>
              </w:rPr>
              <w:t xml:space="preserve">Whole-chromosome window (Selphi 1 mode)</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0.4776</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0.2661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0.5033</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0.8418</w:t>
            </w:r>
          </w:p>
        </w:tc>
      </w:tr>
      <w:tr>
        <w:tc>
          <w:tcPr>
            <w:shd w:val="clear" w:color="auto" w:fill="E7E6E6"/>
            <w:vAlign w:val="center"/>
            <w:tcW w:type="dxa" w:w="5380"/>
          </w:tcPr>
          <w:p>
            <w:pPr>
              <w:pStyle w:val="Compact"/>
              <w:jc w:val="left"/>
            </w:pPr>
            <w:r>
              <w:rPr>
                <w:rFonts w:ascii="Times New Roman" w:hAnsi="Times New Roman" w:cs="Times New Roman" w:eastAsia="Times New Roman"/>
                <w:sz w:val="20"/>
              </w:rPr>
              <w:t xml:space="preserve">Fixed Ne = 20,000 (IMPUTE5 default)</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0.4696</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0.2687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0.4884</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0.8312</w:t>
            </w:r>
          </w:p>
        </w:tc>
      </w:tr>
    </w:tbl>
    <w:p>
      <w:pPr>
        <w:pStyle w:val="Heading2"/>
        <w:jc w:val="both"/>
      </w:pPr>
      <w:r>
        <w:rPr>
          <w:rFonts w:ascii="Times New Roman" w:hAnsi="Times New Roman" w:cs="Times New Roman" w:eastAsia="Times New Roman"/>
        </w:rPr>
        <w:t xml:space="preserve">Table S11. Biobank-scale MESA × TOPMed, per-MAF, four imputers</w:t>
      </w:r>
    </w:p>
    <w:p>
      <w:pPr>
        <w:pStyle w:val="FirstParagraph"/>
        <w:jc w:val="both"/>
      </w:pPr>
      <w:r>
        <w:rPr>
          <w:rFonts w:ascii="Times New Roman" w:hAnsi="Times New Roman" w:cs="Times New Roman" w:eastAsia="Times New Roman"/>
        </w:rPr>
        <w:t xml:space="preserve">MESA cohort (5,000 samples, chr20) imputed against the TOPMed Freeze 8 panel (171,054</w:t>
      </w:r>
      <w:r>
        <w:rPr>
          <w:rFonts w:ascii="Times New Roman" w:hAnsi="Times New Roman" w:cs="Times New Roman" w:eastAsia="Times New Roman"/>
        </w:rPr>
        <w:t xml:space="preserve"> </w:t>
      </w:r>
      <w:r>
        <w:rPr>
          <w:rFonts w:ascii="Times New Roman" w:hAnsi="Times New Roman" w:cs="Times New Roman" w:eastAsia="Times New Roman"/>
        </w:rPr>
        <w:t xml:space="preserve">haplotypes), scored on the identical set of 17,900,635 variants for all tools. Selphi 2 uses</w:t>
      </w:r>
      <w:r>
        <w:rPr>
          <w:rFonts w:ascii="Times New Roman" w:hAnsi="Times New Roman" w:cs="Times New Roman" w:eastAsia="Times New Roman"/>
        </w:rPr>
        <w:t xml:space="preserve"> </w:t>
      </w:r>
      <w:r>
        <w:rPr>
          <w:rFonts w:ascii="Times New Roman" w:hAnsi="Times New Roman" w:cs="Times New Roman" w:eastAsia="Times New Roman"/>
        </w:rPr>
        <w:t xml:space="preserve">its panel-adaptive candidate set (mc = 132,676); IMPUTE5 (L = 4 conditioning states) and</w:t>
      </w:r>
      <w:r>
        <w:rPr>
          <w:rFonts w:ascii="Times New Roman" w:hAnsi="Times New Roman" w:cs="Times New Roman" w:eastAsia="Times New Roman"/>
        </w:rPr>
        <w:t xml:space="preserve"> </w:t>
      </w:r>
      <w:r>
        <w:rPr>
          <w:rFonts w:ascii="Times New Roman" w:hAnsi="Times New Roman" w:cs="Times New Roman" w:eastAsia="Times New Roman"/>
        </w:rPr>
        <w:t xml:space="preserve">Minimac4 (block-based state reduction) use their default settings. Beagle 5.5 attains overall</w:t>
      </w:r>
      <w:r>
        <w:rPr>
          <w:rFonts w:ascii="Times New Roman" w:hAnsi="Times New Roman" w:cs="Times New Roman" w:eastAsia="Times New Roman"/>
        </w:rPr>
        <w:t xml:space="preserve"> </w:t>
      </w:r>
      <w:r>
        <w:rPr>
          <w:rFonts w:ascii="Times New Roman" w:hAnsi="Times New Roman" w:cs="Times New Roman" w:eastAsia="Times New Roman"/>
        </w:rPr>
        <w:t xml:space="preserve">R² 0.5921 on the same set (main text). Selphi 2 leads at every MAF bin.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693"/>
        <w:gridCol w:w="1988"/>
        <w:gridCol w:w="2222"/>
        <w:gridCol w:w="2457"/>
      </w:tblGrid>
      <w:tr>
        <w:trPr>
          <w:tblHeader w:val="on"/>
        </w:trPr>
        <w:tc>
          <w:tcPr>
            <w:shd w:val="clear" w:color="auto" w:fill="595959"/>
            <w:vAlign w:val="center"/>
            <w:tcW w:type="dxa" w:w="2693"/>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988"/>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222"/>
          </w:tcPr>
          <w:p>
            <w:pPr>
              <w:pStyle w:val="Compact"/>
              <w:jc w:val="center"/>
            </w:pPr>
            <w:r>
              <w:rPr>
                <w:rFonts w:ascii="Times New Roman" w:hAnsi="Times New Roman" w:cs="Times New Roman" w:eastAsia="Times New Roman"/>
                <w:b/>
                <w:color w:val="FFFFFF"/>
                <w:sz w:val="20"/>
              </w:rPr>
              <w:t xml:space="preserve">IMPUTE5</w:t>
            </w:r>
          </w:p>
        </w:tc>
        <w:tc>
          <w:tcPr>
            <w:shd w:val="clear" w:color="auto" w:fill="595959"/>
            <w:vAlign w:val="center"/>
            <w:tcW w:type="dxa" w:w="2457"/>
          </w:tcPr>
          <w:p>
            <w:pPr>
              <w:pStyle w:val="Compact"/>
              <w:jc w:val="center"/>
            </w:pPr>
            <w:r>
              <w:rPr>
                <w:rFonts w:ascii="Times New Roman" w:hAnsi="Times New Roman" w:cs="Times New Roman" w:eastAsia="Times New Roman"/>
                <w:b/>
                <w:color w:val="FFFFFF"/>
                <w:sz w:val="20"/>
              </w:rPr>
              <w:t xml:space="preserve">Minimac4</w:t>
            </w:r>
          </w:p>
        </w:tc>
      </w:tr>
      <w:tr>
        <w:tc>
          <w:tcPr>
            <w:shd w:val="clear" w:color="auto" w:fill="FFFFFF"/>
            <w:vAlign w:val="center"/>
            <w:tcW w:type="dxa" w:w="2693"/>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988"/>
          </w:tcPr>
          <w:p>
            <w:pPr>
              <w:pStyle w:val="Compact"/>
              <w:jc w:val="center"/>
            </w:pPr>
            <w:r>
              <w:rPr>
                <w:rFonts w:ascii="Times New Roman" w:hAnsi="Times New Roman" w:cs="Times New Roman" w:eastAsia="Times New Roman"/>
                <w:b/>
                <w:bCs/>
                <w:sz w:val="20"/>
              </w:rPr>
              <w:t xml:space="preserve">0.5224</w:t>
            </w:r>
          </w:p>
        </w:tc>
        <w:tc>
          <w:tcPr>
            <w:shd w:val="clear" w:color="auto" w:fill="FFFFFF"/>
            <w:vAlign w:val="center"/>
            <w:tcW w:type="dxa" w:w="2222"/>
          </w:tcPr>
          <w:p>
            <w:pPr>
              <w:pStyle w:val="Compact"/>
              <w:jc w:val="center"/>
            </w:pPr>
            <w:r>
              <w:rPr>
                <w:rFonts w:ascii="Times New Roman" w:hAnsi="Times New Roman" w:cs="Times New Roman" w:eastAsia="Times New Roman"/>
                <w:sz w:val="20"/>
              </w:rPr>
              <w:t xml:space="preserve">0.3819</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0.3693</w:t>
            </w:r>
          </w:p>
        </w:tc>
      </w:tr>
      <w:tr>
        <w:tc>
          <w:tcPr>
            <w:shd w:val="clear" w:color="auto" w:fill="E7E6E6"/>
            <w:vAlign w:val="center"/>
            <w:tcW w:type="dxa" w:w="2693"/>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988"/>
          </w:tcPr>
          <w:p>
            <w:pPr>
              <w:pStyle w:val="Compact"/>
              <w:jc w:val="center"/>
            </w:pPr>
            <w:r>
              <w:rPr>
                <w:rFonts w:ascii="Times New Roman" w:hAnsi="Times New Roman" w:cs="Times New Roman" w:eastAsia="Times New Roman"/>
                <w:b/>
                <w:bCs/>
                <w:sz w:val="20"/>
              </w:rPr>
              <w:t xml:space="preserve">0.5665</w:t>
            </w:r>
          </w:p>
        </w:tc>
        <w:tc>
          <w:tcPr>
            <w:shd w:val="clear" w:color="auto" w:fill="E7E6E6"/>
            <w:vAlign w:val="center"/>
            <w:tcW w:type="dxa" w:w="2222"/>
          </w:tcPr>
          <w:p>
            <w:pPr>
              <w:pStyle w:val="Compact"/>
              <w:jc w:val="center"/>
            </w:pPr>
            <w:r>
              <w:rPr>
                <w:rFonts w:ascii="Times New Roman" w:hAnsi="Times New Roman" w:cs="Times New Roman" w:eastAsia="Times New Roman"/>
                <w:sz w:val="20"/>
              </w:rPr>
              <w:t xml:space="preserve">0.4107</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0.3983</w:t>
            </w:r>
          </w:p>
        </w:tc>
      </w:tr>
      <w:tr>
        <w:tc>
          <w:tcPr>
            <w:shd w:val="clear" w:color="auto" w:fill="FFFFFF"/>
            <w:vAlign w:val="center"/>
            <w:tcW w:type="dxa" w:w="2693"/>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988"/>
          </w:tcPr>
          <w:p>
            <w:pPr>
              <w:pStyle w:val="Compact"/>
              <w:jc w:val="center"/>
            </w:pPr>
            <w:r>
              <w:rPr>
                <w:rFonts w:ascii="Times New Roman" w:hAnsi="Times New Roman" w:cs="Times New Roman" w:eastAsia="Times New Roman"/>
                <w:b/>
                <w:bCs/>
                <w:sz w:val="20"/>
              </w:rPr>
              <w:t xml:space="preserve">0.6131</w:t>
            </w:r>
          </w:p>
        </w:tc>
        <w:tc>
          <w:tcPr>
            <w:shd w:val="clear" w:color="auto" w:fill="FFFFFF"/>
            <w:vAlign w:val="center"/>
            <w:tcW w:type="dxa" w:w="2222"/>
          </w:tcPr>
          <w:p>
            <w:pPr>
              <w:pStyle w:val="Compact"/>
              <w:jc w:val="center"/>
            </w:pPr>
            <w:r>
              <w:rPr>
                <w:rFonts w:ascii="Times New Roman" w:hAnsi="Times New Roman" w:cs="Times New Roman" w:eastAsia="Times New Roman"/>
                <w:sz w:val="20"/>
              </w:rPr>
              <w:t xml:space="preserve">0.4689</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0.4531</w:t>
            </w:r>
          </w:p>
        </w:tc>
      </w:tr>
      <w:tr>
        <w:tc>
          <w:tcPr>
            <w:shd w:val="clear" w:color="auto" w:fill="E7E6E6"/>
            <w:vAlign w:val="center"/>
            <w:tcW w:type="dxa" w:w="2693"/>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988"/>
          </w:tcPr>
          <w:p>
            <w:pPr>
              <w:pStyle w:val="Compact"/>
              <w:jc w:val="center"/>
            </w:pPr>
            <w:r>
              <w:rPr>
                <w:rFonts w:ascii="Times New Roman" w:hAnsi="Times New Roman" w:cs="Times New Roman" w:eastAsia="Times New Roman"/>
                <w:b/>
                <w:bCs/>
                <w:sz w:val="20"/>
              </w:rPr>
              <w:t xml:space="preserve">0.6537</w:t>
            </w:r>
          </w:p>
        </w:tc>
        <w:tc>
          <w:tcPr>
            <w:shd w:val="clear" w:color="auto" w:fill="E7E6E6"/>
            <w:vAlign w:val="center"/>
            <w:tcW w:type="dxa" w:w="2222"/>
          </w:tcPr>
          <w:p>
            <w:pPr>
              <w:pStyle w:val="Compact"/>
              <w:jc w:val="center"/>
            </w:pPr>
            <w:r>
              <w:rPr>
                <w:rFonts w:ascii="Times New Roman" w:hAnsi="Times New Roman" w:cs="Times New Roman" w:eastAsia="Times New Roman"/>
                <w:sz w:val="20"/>
              </w:rPr>
              <w:t xml:space="preserve">0.5342</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0.5150</w:t>
            </w:r>
          </w:p>
        </w:tc>
      </w:tr>
      <w:tr>
        <w:tc>
          <w:tcPr>
            <w:shd w:val="clear" w:color="auto" w:fill="FFFFFF"/>
            <w:vAlign w:val="center"/>
            <w:tcW w:type="dxa" w:w="2693"/>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988"/>
          </w:tcPr>
          <w:p>
            <w:pPr>
              <w:pStyle w:val="Compact"/>
              <w:jc w:val="center"/>
            </w:pPr>
            <w:r>
              <w:rPr>
                <w:rFonts w:ascii="Times New Roman" w:hAnsi="Times New Roman" w:cs="Times New Roman" w:eastAsia="Times New Roman"/>
                <w:b/>
                <w:bCs/>
                <w:sz w:val="20"/>
              </w:rPr>
              <w:t xml:space="preserve">0.6698</w:t>
            </w:r>
          </w:p>
        </w:tc>
        <w:tc>
          <w:tcPr>
            <w:shd w:val="clear" w:color="auto" w:fill="FFFFFF"/>
            <w:vAlign w:val="center"/>
            <w:tcW w:type="dxa" w:w="2222"/>
          </w:tcPr>
          <w:p>
            <w:pPr>
              <w:pStyle w:val="Compact"/>
              <w:jc w:val="center"/>
            </w:pPr>
            <w:r>
              <w:rPr>
                <w:rFonts w:ascii="Times New Roman" w:hAnsi="Times New Roman" w:cs="Times New Roman" w:eastAsia="Times New Roman"/>
                <w:sz w:val="20"/>
              </w:rPr>
              <w:t xml:space="preserve">0.5695</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0.5494</w:t>
            </w:r>
          </w:p>
        </w:tc>
      </w:tr>
      <w:tr>
        <w:tc>
          <w:tcPr>
            <w:shd w:val="clear" w:color="auto" w:fill="E7E6E6"/>
            <w:vAlign w:val="center"/>
            <w:tcW w:type="dxa" w:w="2693"/>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988"/>
          </w:tcPr>
          <w:p>
            <w:pPr>
              <w:pStyle w:val="Compact"/>
              <w:jc w:val="center"/>
            </w:pPr>
            <w:r>
              <w:rPr>
                <w:rFonts w:ascii="Times New Roman" w:hAnsi="Times New Roman" w:cs="Times New Roman" w:eastAsia="Times New Roman"/>
                <w:b/>
                <w:bCs/>
                <w:sz w:val="20"/>
              </w:rPr>
              <w:t xml:space="preserve">0.6603</w:t>
            </w:r>
          </w:p>
        </w:tc>
        <w:tc>
          <w:tcPr>
            <w:shd w:val="clear" w:color="auto" w:fill="E7E6E6"/>
            <w:vAlign w:val="center"/>
            <w:tcW w:type="dxa" w:w="2222"/>
          </w:tcPr>
          <w:p>
            <w:pPr>
              <w:pStyle w:val="Compact"/>
              <w:jc w:val="center"/>
            </w:pPr>
            <w:r>
              <w:rPr>
                <w:rFonts w:ascii="Times New Roman" w:hAnsi="Times New Roman" w:cs="Times New Roman" w:eastAsia="Times New Roman"/>
                <w:sz w:val="20"/>
              </w:rPr>
              <w:t xml:space="preserve">0.5753</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0.5567</w:t>
            </w:r>
          </w:p>
        </w:tc>
      </w:tr>
      <w:tr>
        <w:tc>
          <w:tcPr>
            <w:shd w:val="clear" w:color="auto" w:fill="FFFFFF"/>
            <w:vAlign w:val="center"/>
            <w:tcW w:type="dxa" w:w="2693"/>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988"/>
          </w:tcPr>
          <w:p>
            <w:pPr>
              <w:pStyle w:val="Compact"/>
              <w:jc w:val="center"/>
            </w:pPr>
            <w:r>
              <w:rPr>
                <w:rFonts w:ascii="Times New Roman" w:hAnsi="Times New Roman" w:cs="Times New Roman" w:eastAsia="Times New Roman"/>
                <w:b/>
                <w:bCs/>
                <w:sz w:val="20"/>
              </w:rPr>
              <w:t xml:space="preserve">0.6780</w:t>
            </w:r>
          </w:p>
        </w:tc>
        <w:tc>
          <w:tcPr>
            <w:shd w:val="clear" w:color="auto" w:fill="FFFFFF"/>
            <w:vAlign w:val="center"/>
            <w:tcW w:type="dxa" w:w="2222"/>
          </w:tcPr>
          <w:p>
            <w:pPr>
              <w:pStyle w:val="Compact"/>
              <w:jc w:val="center"/>
            </w:pPr>
            <w:r>
              <w:rPr>
                <w:rFonts w:ascii="Times New Roman" w:hAnsi="Times New Roman" w:cs="Times New Roman" w:eastAsia="Times New Roman"/>
                <w:sz w:val="20"/>
              </w:rPr>
              <w:t xml:space="preserve">0.6084</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0.5909</w:t>
            </w:r>
          </w:p>
        </w:tc>
      </w:tr>
      <w:tr>
        <w:tc>
          <w:tcPr>
            <w:shd w:val="clear" w:color="auto" w:fill="E7E6E6"/>
            <w:vAlign w:val="center"/>
            <w:tcW w:type="dxa" w:w="2693"/>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988"/>
          </w:tcPr>
          <w:p>
            <w:pPr>
              <w:pStyle w:val="Compact"/>
              <w:jc w:val="center"/>
            </w:pPr>
            <w:r>
              <w:rPr>
                <w:rFonts w:ascii="Times New Roman" w:hAnsi="Times New Roman" w:cs="Times New Roman" w:eastAsia="Times New Roman"/>
                <w:b/>
                <w:bCs/>
                <w:sz w:val="20"/>
              </w:rPr>
              <w:t xml:space="preserve">0.7322</w:t>
            </w:r>
          </w:p>
        </w:tc>
        <w:tc>
          <w:tcPr>
            <w:shd w:val="clear" w:color="auto" w:fill="E7E6E6"/>
            <w:vAlign w:val="center"/>
            <w:tcW w:type="dxa" w:w="2222"/>
          </w:tcPr>
          <w:p>
            <w:pPr>
              <w:pStyle w:val="Compact"/>
              <w:jc w:val="center"/>
            </w:pPr>
            <w:r>
              <w:rPr>
                <w:rFonts w:ascii="Times New Roman" w:hAnsi="Times New Roman" w:cs="Times New Roman" w:eastAsia="Times New Roman"/>
                <w:sz w:val="20"/>
              </w:rPr>
              <w:t xml:space="preserve">0.6720</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0.6537</w:t>
            </w:r>
          </w:p>
        </w:tc>
      </w:tr>
      <w:tr>
        <w:tc>
          <w:tcPr>
            <w:shd w:val="clear" w:color="auto" w:fill="FFFFFF"/>
            <w:vAlign w:val="center"/>
            <w:tcW w:type="dxa" w:w="2693"/>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988"/>
          </w:tcPr>
          <w:p>
            <w:pPr>
              <w:pStyle w:val="Compact"/>
              <w:jc w:val="center"/>
            </w:pPr>
            <w:r>
              <w:rPr>
                <w:rFonts w:ascii="Times New Roman" w:hAnsi="Times New Roman" w:cs="Times New Roman" w:eastAsia="Times New Roman"/>
                <w:b/>
                <w:bCs/>
                <w:sz w:val="20"/>
              </w:rPr>
              <w:t xml:space="preserve">0.6631</w:t>
            </w:r>
          </w:p>
        </w:tc>
        <w:tc>
          <w:tcPr>
            <w:shd w:val="clear" w:color="auto" w:fill="FFFFFF"/>
            <w:vAlign w:val="center"/>
            <w:tcW w:type="dxa" w:w="2222"/>
          </w:tcPr>
          <w:p>
            <w:pPr>
              <w:pStyle w:val="Compact"/>
              <w:jc w:val="center"/>
            </w:pPr>
            <w:r>
              <w:rPr>
                <w:rFonts w:ascii="Times New Roman" w:hAnsi="Times New Roman" w:cs="Times New Roman" w:eastAsia="Times New Roman"/>
                <w:sz w:val="20"/>
              </w:rPr>
              <w:t xml:space="preserve">0.6249</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0.6084</w:t>
            </w:r>
          </w:p>
        </w:tc>
      </w:tr>
      <w:tr>
        <w:tc>
          <w:tcPr>
            <w:shd w:val="clear" w:color="auto" w:fill="E7E6E6"/>
            <w:vAlign w:val="center"/>
            <w:tcW w:type="dxa" w:w="2693"/>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988"/>
          </w:tcPr>
          <w:p>
            <w:pPr>
              <w:pStyle w:val="Compact"/>
              <w:jc w:val="center"/>
            </w:pPr>
            <w:r>
              <w:rPr>
                <w:rFonts w:ascii="Times New Roman" w:hAnsi="Times New Roman" w:cs="Times New Roman" w:eastAsia="Times New Roman"/>
                <w:b/>
                <w:bCs/>
                <w:sz w:val="20"/>
              </w:rPr>
              <w:t xml:space="preserve">0.6148</w:t>
            </w:r>
          </w:p>
        </w:tc>
        <w:tc>
          <w:tcPr>
            <w:shd w:val="clear" w:color="auto" w:fill="E7E6E6"/>
            <w:vAlign w:val="center"/>
            <w:tcW w:type="dxa" w:w="2222"/>
          </w:tcPr>
          <w:p>
            <w:pPr>
              <w:pStyle w:val="Compact"/>
              <w:jc w:val="center"/>
            </w:pPr>
            <w:r>
              <w:rPr>
                <w:rFonts w:ascii="Times New Roman" w:hAnsi="Times New Roman" w:cs="Times New Roman" w:eastAsia="Times New Roman"/>
                <w:sz w:val="20"/>
              </w:rPr>
              <w:t xml:space="preserve">0.4967</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0.4795</w:t>
            </w:r>
          </w:p>
        </w:tc>
      </w:tr>
    </w:tbl>
    <w:p>
      <w:pPr>
        <w:pStyle w:val="Heading2"/>
        <w:jc w:val="both"/>
      </w:pPr>
      <w:r>
        <w:rPr>
          <w:rFonts w:ascii="Times New Roman" w:hAnsi="Times New Roman" w:cs="Times New Roman" w:eastAsia="Times New Roman"/>
        </w:rPr>
        <w:t xml:space="preserve">Table S12. Selphi 2 vs Selphi 1.5.3, per-MAF (1KG Phase 3, impute-only)</w:t>
      </w:r>
    </w:p>
    <w:p>
      <w:pPr>
        <w:pStyle w:val="FirstParagraph"/>
        <w:jc w:val="both"/>
      </w:pPr>
      <w:r>
        <w:rPr>
          <w:rFonts w:ascii="Times New Roman" w:hAnsi="Times New Roman" w:cs="Times New Roman" w:eastAsia="Times New Roman"/>
        </w:rPr>
        <w:t xml:space="preserve">Both tools imputed the identical phased target (801 held-out samples) against the identical 1000</w:t>
      </w:r>
      <w:r>
        <w:rPr>
          <w:rFonts w:ascii="Times New Roman" w:hAnsi="Times New Roman" w:cs="Times New Roman" w:eastAsia="Times New Roman"/>
        </w:rPr>
        <w:t xml:space="preserve"> </w:t>
      </w:r>
      <w:r>
        <w:rPr>
          <w:rFonts w:ascii="Times New Roman" w:hAnsi="Times New Roman" w:cs="Times New Roman" w:eastAsia="Times New Roman"/>
        </w:rPr>
        <w:t xml:space="preserve">Genomes Phase 3 panel, impute-only — the mode in which the original Selphi 1.5.3, which requires</w:t>
      </w:r>
      <w:r>
        <w:rPr>
          <w:rFonts w:ascii="Times New Roman" w:hAnsi="Times New Roman" w:cs="Times New Roman" w:eastAsia="Times New Roman"/>
        </w:rPr>
        <w:t xml:space="preserve"> </w:t>
      </w:r>
      <w:r>
        <w:rPr>
          <w:rFonts w:ascii="Times New Roman" w:hAnsi="Times New Roman" w:cs="Times New Roman" w:eastAsia="Times New Roman"/>
        </w:rPr>
        <w:t xml:space="preserve">pre-phased input, is run — and scored on imputed-only sites. This isolates the imputer from</w:t>
      </w:r>
      <w:r>
        <w:rPr>
          <w:rFonts w:ascii="Times New Roman" w:hAnsi="Times New Roman" w:cs="Times New Roman" w:eastAsia="Times New Roman"/>
        </w:rPr>
        <w:t xml:space="preserve"> </w:t>
      </w:r>
      <w:r>
        <w:rPr>
          <w:rFonts w:ascii="Times New Roman" w:hAnsi="Times New Roman" w:cs="Times New Roman" w:eastAsia="Times New Roman"/>
        </w:rPr>
        <w:t xml:space="preserve">phasing. Selphi 2 matches or exceeds Selphi 1.5.3 overall and at every bin from the rarest through</w:t>
      </w:r>
      <w:r>
        <w:rPr>
          <w:rFonts w:ascii="Times New Roman" w:hAnsi="Times New Roman" w:cs="Times New Roman" w:eastAsia="Times New Roman"/>
        </w:rPr>
        <w:t xml:space="preserve"> </w:t>
      </w:r>
      <w:r>
        <w:rPr>
          <w:rFonts w:ascii="Times New Roman" w:hAnsi="Times New Roman" w:cs="Times New Roman" w:eastAsia="Times New Roman"/>
        </w:rPr>
        <w:t xml:space="preserve">low frequency; at the most common bins the two are within ≈0.001 (seed-level noise). Bold marks the</w:t>
      </w:r>
      <w:r>
        <w:rPr>
          <w:rFonts w:ascii="Times New Roman" w:hAnsi="Times New Roman" w:cs="Times New Roman" w:eastAsia="Times New Roman"/>
        </w:rPr>
        <w:t xml:space="preserve"> </w:t>
      </w:r>
      <w:r>
        <w:rPr>
          <w:rFonts w:ascii="Times New Roman" w:hAnsi="Times New Roman" w:cs="Times New Roman" w:eastAsia="Times New Roman"/>
        </w:rPr>
        <w:t xml:space="preserve">higher value in each chromosome group.</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368"/>
        <w:gridCol w:w="1748"/>
        <w:gridCol w:w="1748"/>
        <w:gridCol w:w="1748"/>
        <w:gridCol w:w="1748"/>
      </w:tblGrid>
      <w:tr>
        <w:trPr>
          <w:tblHeader w:val="on"/>
        </w:trPr>
        <w:tc>
          <w:tcPr>
            <w:shd w:val="clear" w:color="auto" w:fill="595959"/>
            <w:vAlign w:val="center"/>
            <w:tcW w:type="dxa" w:w="2368"/>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748"/>
          </w:tcPr>
          <w:p>
            <w:pPr>
              <w:pStyle w:val="Compact"/>
              <w:jc w:val="center"/>
            </w:pPr>
            <w:r>
              <w:rPr>
                <w:rFonts w:ascii="Times New Roman" w:hAnsi="Times New Roman" w:cs="Times New Roman" w:eastAsia="Times New Roman"/>
                <w:b/>
                <w:color w:val="FFFFFF"/>
                <w:sz w:val="20"/>
              </w:rPr>
              <w:t xml:space="preserve">chr22 Selphi 2</w:t>
            </w:r>
          </w:p>
        </w:tc>
        <w:tc>
          <w:tcPr>
            <w:shd w:val="clear" w:color="auto" w:fill="595959"/>
            <w:vAlign w:val="center"/>
            <w:tcW w:type="dxa" w:w="1748"/>
          </w:tcPr>
          <w:p>
            <w:pPr>
              <w:pStyle w:val="Compact"/>
              <w:jc w:val="center"/>
            </w:pPr>
            <w:r>
              <w:rPr>
                <w:rFonts w:ascii="Times New Roman" w:hAnsi="Times New Roman" w:cs="Times New Roman" w:eastAsia="Times New Roman"/>
                <w:b/>
                <w:color w:val="FFFFFF"/>
                <w:sz w:val="20"/>
              </w:rPr>
              <w:t xml:space="preserve">chr22 Selphi 1.5.3</w:t>
            </w:r>
          </w:p>
        </w:tc>
        <w:tc>
          <w:tcPr>
            <w:shd w:val="clear" w:color="auto" w:fill="595959"/>
            <w:vAlign w:val="center"/>
            <w:tcW w:type="dxa" w:w="1748"/>
          </w:tcPr>
          <w:p>
            <w:pPr>
              <w:pStyle w:val="Compact"/>
              <w:jc w:val="center"/>
            </w:pPr>
            <w:r>
              <w:rPr>
                <w:rFonts w:ascii="Times New Roman" w:hAnsi="Times New Roman" w:cs="Times New Roman" w:eastAsia="Times New Roman"/>
                <w:b/>
                <w:color w:val="FFFFFF"/>
                <w:sz w:val="20"/>
              </w:rPr>
              <w:t xml:space="preserve">chr1 Selphi 2</w:t>
            </w:r>
          </w:p>
        </w:tc>
        <w:tc>
          <w:tcPr>
            <w:shd w:val="clear" w:color="auto" w:fill="595959"/>
            <w:vAlign w:val="center"/>
            <w:tcW w:type="dxa" w:w="1748"/>
          </w:tcPr>
          <w:p>
            <w:pPr>
              <w:pStyle w:val="Compact"/>
              <w:jc w:val="center"/>
            </w:pPr>
            <w:r>
              <w:rPr>
                <w:rFonts w:ascii="Times New Roman" w:hAnsi="Times New Roman" w:cs="Times New Roman" w:eastAsia="Times New Roman"/>
                <w:b/>
                <w:color w:val="FFFFFF"/>
                <w:sz w:val="20"/>
              </w:rPr>
              <w:t xml:space="preserve">chr1 Selphi 1.5.3</w:t>
            </w:r>
          </w:p>
        </w:tc>
      </w:tr>
      <w:tr>
        <w:tc>
          <w:tcPr>
            <w:shd w:val="clear" w:color="auto" w:fill="FFFFFF"/>
            <w:vAlign w:val="center"/>
            <w:tcW w:type="dxa" w:w="2368"/>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0.2661</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0.2502</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0.3453</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0.3321</w:t>
            </w:r>
          </w:p>
        </w:tc>
      </w:tr>
      <w:tr>
        <w:tc>
          <w:tcPr>
            <w:shd w:val="clear" w:color="auto" w:fill="E7E6E6"/>
            <w:vAlign w:val="center"/>
            <w:tcW w:type="dxa" w:w="2368"/>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0.3166</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0.3051</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0.4014</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0.3910</w:t>
            </w:r>
          </w:p>
        </w:tc>
      </w:tr>
      <w:tr>
        <w:tc>
          <w:tcPr>
            <w:shd w:val="clear" w:color="auto" w:fill="FFFFFF"/>
            <w:vAlign w:val="center"/>
            <w:tcW w:type="dxa" w:w="2368"/>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0.4160</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0.4064</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0.5019</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0.4944</w:t>
            </w:r>
          </w:p>
        </w:tc>
      </w:tr>
      <w:tr>
        <w:tc>
          <w:tcPr>
            <w:shd w:val="clear" w:color="auto" w:fill="E7E6E6"/>
            <w:vAlign w:val="center"/>
            <w:tcW w:type="dxa" w:w="2368"/>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0.5033</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0.4986</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0.6077</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0.6036</w:t>
            </w:r>
          </w:p>
        </w:tc>
      </w:tr>
      <w:tr>
        <w:tc>
          <w:tcPr>
            <w:shd w:val="clear" w:color="auto" w:fill="FFFFFF"/>
            <w:vAlign w:val="center"/>
            <w:tcW w:type="dxa" w:w="2368"/>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0.5702</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0.5696</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0.6759</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0.6745</w:t>
            </w:r>
          </w:p>
        </w:tc>
      </w:tr>
      <w:tr>
        <w:tc>
          <w:tcPr>
            <w:shd w:val="clear" w:color="auto" w:fill="E7E6E6"/>
            <w:vAlign w:val="center"/>
            <w:tcW w:type="dxa" w:w="2368"/>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0.6749</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0.6753</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0.7521</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0.7528</w:t>
            </w:r>
          </w:p>
        </w:tc>
      </w:tr>
      <w:tr>
        <w:tc>
          <w:tcPr>
            <w:shd w:val="clear" w:color="auto" w:fill="FFFFFF"/>
            <w:vAlign w:val="center"/>
            <w:tcW w:type="dxa" w:w="2368"/>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0.7588</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0.7598</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0.8485</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0.8497</w:t>
            </w:r>
          </w:p>
        </w:tc>
      </w:tr>
      <w:tr>
        <w:tc>
          <w:tcPr>
            <w:shd w:val="clear" w:color="auto" w:fill="E7E6E6"/>
            <w:vAlign w:val="center"/>
            <w:tcW w:type="dxa" w:w="2368"/>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0.7962</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0.7972</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0.8999</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0.9007</w:t>
            </w:r>
          </w:p>
        </w:tc>
      </w:tr>
      <w:tr>
        <w:tc>
          <w:tcPr>
            <w:shd w:val="clear" w:color="auto" w:fill="FFFFFF"/>
            <w:vAlign w:val="center"/>
            <w:tcW w:type="dxa" w:w="2368"/>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0.8418</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0.8432</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0.9305</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0.9312</w:t>
            </w:r>
          </w:p>
        </w:tc>
      </w:tr>
      <w:tr>
        <w:tc>
          <w:tcPr>
            <w:shd w:val="clear" w:color="auto" w:fill="E7E6E6"/>
            <w:vAlign w:val="center"/>
            <w:tcW w:type="dxa" w:w="2368"/>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0.4776</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0.4703</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0.5643</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0.5581</w:t>
            </w:r>
          </w:p>
        </w:tc>
      </w:tr>
    </w:tbl>
    <w:p>
      <w:pPr>
        <w:pStyle w:val="Heading2"/>
        <w:jc w:val="both"/>
      </w:pPr>
      <w:r>
        <w:rPr>
          <w:rFonts w:ascii="Times New Roman" w:hAnsi="Times New Roman" w:cs="Times New Roman" w:eastAsia="Times New Roman"/>
        </w:rPr>
        <w:t xml:space="preserve">Table S13. Per-MAF imputation R² versus effective population size (1KG Phase 3 chr22)</w:t>
      </w:r>
    </w:p>
    <w:p>
      <w:pPr>
        <w:pStyle w:val="FirstParagraph"/>
        <w:jc w:val="both"/>
      </w:pPr>
      <w:r>
        <w:rPr>
          <w:rFonts w:ascii="Times New Roman" w:hAnsi="Times New Roman" w:cs="Times New Roman" w:eastAsia="Times New Roman"/>
        </w:rPr>
        <w:t xml:space="preserve">801 held-out samples, impute-only against the 4,802-haplotype panel, at a fixed base effective</w:t>
      </w:r>
      <w:r>
        <w:rPr>
          <w:rFonts w:ascii="Times New Roman" w:hAnsi="Times New Roman" w:cs="Times New Roman" w:eastAsia="Times New Roman"/>
        </w:rPr>
        <w:t xml:space="preserve"> </w:t>
      </w:r>
      <w:r>
        <w:rPr>
          <w:rFonts w:ascii="Times New Roman" w:hAnsi="Times New Roman" w:cs="Times New Roman" w:eastAsia="Times New Roman"/>
        </w:rPr>
        <w:t xml:space="preserve">population size (</w:t>
      </w:r>
      <w:r>
        <w:rPr>
          <w:rFonts w:ascii="Times New Roman" w:hAnsi="Times New Roman" w:cs="Times New Roman" w:eastAsia="Times New Roman"/>
          <w:rStyle w:val="VerbatimChar"/>
        </w:rPr>
        <w:t xml:space="preserve">--est-ne</w:t>
      </w:r>
      <w:r>
        <w:rPr>
          <w:rFonts w:ascii="Times New Roman" w:hAnsi="Times New Roman" w:cs="Times New Roman" w:eastAsia="Times New Roman"/>
        </w:rPr>
        <w:t xml:space="preserve">). The panel-adaptive formula selects Ne = 36.4 × n_ref ≈ 175,000 for</w:t>
      </w:r>
      <w:r>
        <w:rPr>
          <w:rFonts w:ascii="Times New Roman" w:hAnsi="Times New Roman" w:cs="Times New Roman" w:eastAsia="Times New Roman"/>
        </w:rPr>
        <w:t xml:space="preserve"> </w:t>
      </w:r>
      <w:r>
        <w:rPr>
          <w:rFonts w:ascii="Times New Roman" w:hAnsi="Times New Roman" w:cs="Times New Roman" w:eastAsia="Times New Roman"/>
        </w:rPr>
        <w:t xml:space="preserve">this panel (the "auto" row, byte-identical to the Ne = 175,000 row). Overall R² is maximised at</w:t>
      </w:r>
      <w:r>
        <w:rPr>
          <w:rFonts w:ascii="Times New Roman" w:hAnsi="Times New Roman" w:cs="Times New Roman" w:eastAsia="Times New Roman"/>
        </w:rPr>
        <w:t xml:space="preserve"> </w:t>
      </w:r>
      <w:r>
        <w:rPr>
          <w:rFonts w:ascii="Times New Roman" w:hAnsi="Times New Roman" w:cs="Times New Roman" w:eastAsia="Times New Roman"/>
        </w:rPr>
        <w:t xml:space="preserve">the formula's value; rare variants favour a lower Ne (≈50,000) and common variants a higher one</w:t>
      </w:r>
      <w:r>
        <w:rPr>
          <w:rFonts w:ascii="Times New Roman" w:hAnsi="Times New Roman" w:cs="Times New Roman" w:eastAsia="Times New Roman"/>
        </w:rPr>
        <w:t xml:space="preserve"> </w:t>
      </w:r>
      <w:r>
        <w:rPr>
          <w:rFonts w:ascii="Times New Roman" w:hAnsi="Times New Roman" w:cs="Times New Roman" w:eastAsia="Times New Roman"/>
        </w:rPr>
        <w:t xml:space="preserve">(≈350,000), so the formula's choice balances the rare-common tradeoff. Bold marks each column's</w:t>
      </w:r>
      <w:r>
        <w:rPr>
          <w:rFonts w:ascii="Times New Roman" w:hAnsi="Times New Roman" w:cs="Times New Roman" w:eastAsia="Times New Roman"/>
        </w:rPr>
        <w:t xml:space="preserve"> </w:t>
      </w:r>
      <w:r>
        <w:rPr>
          <w:rFonts w:ascii="Times New Roman" w:hAnsi="Times New Roman" w:cs="Times New Roman" w:eastAsia="Times New Roman"/>
        </w:rPr>
        <w:t xml:space="preserve">maximum.</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280"/>
        <w:gridCol w:w="1205"/>
        <w:gridCol w:w="890"/>
        <w:gridCol w:w="890"/>
        <w:gridCol w:w="1100"/>
        <w:gridCol w:w="995"/>
      </w:tblGrid>
      <w:tr>
        <w:trPr>
          <w:tblHeader w:val="on"/>
        </w:trPr>
        <w:tc>
          <w:tcPr>
            <w:shd w:val="clear" w:color="auto" w:fill="595959"/>
            <w:vAlign w:val="center"/>
            <w:tcW w:type="dxa" w:w="4280"/>
          </w:tcPr>
          <w:p>
            <w:pPr>
              <w:pStyle w:val="Compact"/>
              <w:jc w:val="center"/>
            </w:pPr>
            <w:r>
              <w:rPr>
                <w:rFonts w:ascii="Times New Roman" w:hAnsi="Times New Roman" w:cs="Times New Roman" w:eastAsia="Times New Roman"/>
                <w:b/>
                <w:color w:val="FFFFFF"/>
                <w:sz w:val="20"/>
              </w:rPr>
              <w:t xml:space="preserve">Ne</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0.05-0.1% (rare)</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0.5-1%</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2-5%</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20-50% (common)</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OVERALL</w:t>
            </w:r>
          </w:p>
        </w:tc>
      </w:tr>
      <w:tr>
        <w:tc>
          <w:tcPr>
            <w:shd w:val="clear" w:color="auto" w:fill="FFFFFF"/>
            <w:vAlign w:val="center"/>
            <w:tcW w:type="dxa" w:w="4280"/>
          </w:tcPr>
          <w:p>
            <w:pPr>
              <w:pStyle w:val="Compact"/>
              <w:jc w:val="left"/>
            </w:pPr>
            <w:r>
              <w:rPr>
                <w:rFonts w:ascii="Times New Roman" w:hAnsi="Times New Roman" w:cs="Times New Roman" w:eastAsia="Times New Roman"/>
                <w:sz w:val="20"/>
              </w:rPr>
              <w:t xml:space="preserve">20,000</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0.2687</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0.4884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0.6603</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0.8312</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0.4696</w:t>
            </w:r>
          </w:p>
        </w:tc>
      </w:tr>
      <w:tr>
        <w:tc>
          <w:tcPr>
            <w:shd w:val="clear" w:color="auto" w:fill="E7E6E6"/>
            <w:vAlign w:val="center"/>
            <w:tcW w:type="dxa" w:w="4280"/>
          </w:tcPr>
          <w:p>
            <w:pPr>
              <w:pStyle w:val="Compact"/>
              <w:jc w:val="left"/>
            </w:pPr>
            <w:r>
              <w:rPr>
                <w:rFonts w:ascii="Times New Roman" w:hAnsi="Times New Roman" w:cs="Times New Roman" w:eastAsia="Times New Roman"/>
                <w:sz w:val="20"/>
              </w:rPr>
              <w:t xml:space="preserve">50,000</w:t>
            </w:r>
          </w:p>
        </w:tc>
        <w:tc>
          <w:tcPr>
            <w:shd w:val="clear" w:color="auto" w:fill="E7E6E6"/>
            <w:vAlign w:val="center"/>
            <w:tcW w:type="dxa" w:w="1205"/>
          </w:tcPr>
          <w:p>
            <w:pPr>
              <w:pStyle w:val="Compact"/>
              <w:jc w:val="center"/>
            </w:pPr>
            <w:r>
              <w:rPr>
                <w:rFonts w:ascii="Times New Roman" w:hAnsi="Times New Roman" w:cs="Times New Roman" w:eastAsia="Times New Roman"/>
                <w:b/>
                <w:bCs/>
                <w:sz w:val="20"/>
              </w:rPr>
              <w:t xml:space="preserve">0.2696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0.4959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0.6671</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0.8361</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0.4742</w:t>
            </w:r>
          </w:p>
        </w:tc>
      </w:tr>
      <w:tr>
        <w:tc>
          <w:tcPr>
            <w:shd w:val="clear" w:color="auto" w:fill="FFFFFF"/>
            <w:vAlign w:val="center"/>
            <w:tcW w:type="dxa" w:w="4280"/>
          </w:tcPr>
          <w:p>
            <w:pPr>
              <w:pStyle w:val="Compact"/>
              <w:jc w:val="left"/>
            </w:pPr>
            <w:r>
              <w:rPr>
                <w:rFonts w:ascii="Times New Roman" w:hAnsi="Times New Roman" w:cs="Times New Roman" w:eastAsia="Times New Roman"/>
                <w:sz w:val="20"/>
              </w:rPr>
              <w:t xml:space="preserve">100,000</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0.2688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0.5009</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0.6719</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0.8396</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0.4769</w:t>
            </w:r>
          </w:p>
        </w:tc>
      </w:tr>
      <w:tr>
        <w:tc>
          <w:tcPr>
            <w:shd w:val="clear" w:color="auto" w:fill="E7E6E6"/>
            <w:vAlign w:val="center"/>
            <w:tcW w:type="dxa" w:w="4280"/>
          </w:tcPr>
          <w:p>
            <w:pPr>
              <w:pStyle w:val="Compact"/>
              <w:jc w:val="left"/>
            </w:pPr>
            <w:r>
              <w:rPr>
                <w:rFonts w:ascii="Times New Roman" w:hAnsi="Times New Roman" w:cs="Times New Roman" w:eastAsia="Times New Roman"/>
                <w:sz w:val="20"/>
              </w:rPr>
              <w:t xml:space="preserve">175,000 (formula / auto)</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0.2661</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0.5033</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0.6749</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0.8418</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0.4776</w:t>
            </w:r>
          </w:p>
        </w:tc>
      </w:tr>
      <w:tr>
        <w:tc>
          <w:tcPr>
            <w:shd w:val="clear" w:color="auto" w:fill="FFFFFF"/>
            <w:vAlign w:val="center"/>
            <w:tcW w:type="dxa" w:w="4280"/>
          </w:tcPr>
          <w:p>
            <w:pPr>
              <w:pStyle w:val="Compact"/>
              <w:jc w:val="left"/>
            </w:pPr>
            <w:r>
              <w:rPr>
                <w:rFonts w:ascii="Times New Roman" w:hAnsi="Times New Roman" w:cs="Times New Roman" w:eastAsia="Times New Roman"/>
                <w:sz w:val="20"/>
              </w:rPr>
              <w:t xml:space="preserve">350,000</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0.2587</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0.5026</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0.6762</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0.8430</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0.4749</w:t>
            </w:r>
          </w:p>
        </w:tc>
      </w:tr>
      <w:tr>
        <w:tc>
          <w:tcPr>
            <w:shd w:val="clear" w:color="auto" w:fill="E7E6E6"/>
            <w:vAlign w:val="center"/>
            <w:tcW w:type="dxa" w:w="4280"/>
          </w:tcPr>
          <w:p>
            <w:pPr>
              <w:pStyle w:val="Compact"/>
              <w:jc w:val="left"/>
            </w:pPr>
            <w:r>
              <w:rPr>
                <w:rFonts w:ascii="Times New Roman" w:hAnsi="Times New Roman" w:cs="Times New Roman" w:eastAsia="Times New Roman"/>
                <w:sz w:val="20"/>
              </w:rPr>
              <w:t xml:space="preserve">700,000</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0.2452</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0.4963</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0.6741</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0.8424</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0.4670</w:t>
            </w:r>
          </w:p>
        </w:tc>
      </w:tr>
      <w:tr>
        <w:tc>
          <w:tcPr>
            <w:shd w:val="clear" w:color="auto" w:fill="FFFFFF"/>
            <w:vAlign w:val="center"/>
            <w:tcW w:type="dxa" w:w="4280"/>
          </w:tcPr>
          <w:p>
            <w:pPr>
              <w:pStyle w:val="Compact"/>
              <w:jc w:val="left"/>
            </w:pPr>
            <w:r>
              <w:rPr>
                <w:rFonts w:ascii="Times New Roman" w:hAnsi="Times New Roman" w:cs="Times New Roman" w:eastAsia="Times New Roman"/>
                <w:sz w:val="20"/>
              </w:rPr>
              <w:t xml:space="preserve">1,400,000</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0.2282</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0.4858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0.6690</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0.8403</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0.4554</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ascii="Times New Roman" w:hAnsi="Times New Roman" w:cs="Times New Roman" w:eastAsia="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eastAsia="Times New Roman"/>
    </w:rPr>
  </w:style>
  <w:style w:styleId="BodyText" w:type="paragraph">
    <w:name w:val="Body Text"/>
    <w:basedOn w:val="Normal"/>
    <w:link w:val="BodyTextChar"/>
    <w:qFormat/>
    <w:pPr>
      <w:spacing w:after="180" w:before="180"/>
    </w:pPr>
    <w:rPr>
      <w:rFonts w:ascii="Times New Roman" w:hAnsi="Times New Roman" w:cs="Times New Roman" w:eastAsia="Times New Roman"/>
    </w:rPr>
  </w:style>
  <w:style w:customStyle="1" w:styleId="FirstParagraph" w:type="paragraph">
    <w:name w:val="First Paragraph"/>
    <w:basedOn w:val="BodyText"/>
    <w:next w:val="BodyText"/>
    <w:qFormat/>
    <w:rPr>
      <w:rFonts w:ascii="Times New Roman" w:hAnsi="Times New Roman" w:cs="Times New Roman" w:eastAsia="Times New Roman"/>
    </w:rPr>
  </w:style>
  <w:style w:customStyle="1" w:styleId="Compact" w:type="paragraph">
    <w:name w:val="Compact"/>
    <w:basedOn w:val="BodyText"/>
    <w:qFormat/>
    <w:pPr>
      <w:spacing w:after="36" w:before="36"/>
    </w:pPr>
    <w:rPr>
      <w:rFonts w:ascii="Times New Roman" w:hAnsi="Times New Roman" w:cs="Times New Roman" w:eastAsia="Times New Roman"/>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s="Times New Roman" w:eastAsia="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Times New Roman" w:hAnsi="Times New Roman" w:cs="Times New Roman" w:eastAsia="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s="Times New Roman" w:eastAsia="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ascii="Times New Roman" w:hAnsi="Times New Roman" w:cs="Times New Roman" w:eastAsia="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sz w:val="24"/>
      <w:szCs w:val="24"/>
    </w:rPr>
  </w:style>
  <w:style w:styleId="Date" w:type="paragraph">
    <w:name w:val="Date"/>
    <w:basedOn w:val="Title"/>
    <w:next w:val="BodyText"/>
    <w:qFormat/>
    <w:pPr>
      <w:keepNext/>
      <w:keepLines/>
    </w:pPr>
    <w:rPr>
      <w:rFonts w:ascii="Times New Roman" w:hAnsi="Times New Roman" w:cs="Times New Roman" w:eastAsia="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s="Times New Roman" w:eastAsia="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cs="Times New Roman" w:eastAsia="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s="Times New Roman" w:eastAsia="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cs="Times New Roman" w:eastAsia="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cs="Times New Roman" w:eastAsia="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cs="Times New Roman" w:eastAsia="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cs="Times New Roman" w:eastAsia="Times New Roman"/>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cs="Times New Roman" w:eastAsia="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cs="Times New Roman" w:eastAsia="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cs="Times New Roman" w:eastAsia="Times New Roman"/>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cs="Times New Roman" w:eastAsia="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cs="Times New Roman" w:eastAsia="Times New Roman"/>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cs="Times New Roman" w:eastAsia="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cs="Times New Roman" w:eastAsia="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rPr>
      <w:rFonts w:ascii="Times New Roman" w:hAnsi="Times New Roman" w:cs="Times New Roman" w:eastAsia="Times New Roman"/>
    </w:r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pPr>
    <w:rPr>
      <w:rFonts w:ascii="Times New Roman" w:hAnsi="Times New Roman" w:cs="Times New Roman" w:eastAsia="Times New Roman"/>
    </w:rPr>
  </w:style>
  <w:style w:customStyle="1" w:styleId="ImageCaption" w:type="paragraph">
    <w:name w:val="Image Caption"/>
    <w:basedOn w:val="Caption"/>
    <w:rPr>
      <w:rFonts w:ascii="Times New Roman" w:hAnsi="Times New Roman" w:cs="Times New Roman" w:eastAsia="Times New Roman"/>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Times New Roman" w:hAnsi="Times New Roman" w:cs="Times New Roman" w:eastAsia="Times New Roman"/>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rFonts w:ascii="Times New Roman" w:hAnsi="Times New Roman" w:cs="Times New Roman" w:eastAsia="Times New Roman"/>
      <w:b/>
      <w:color w:val="007020"/>
    </w:rPr>
  </w:style>
  <w:style w:type="character" w:customStyle="1" w:styleId="DataTypeTok">
    <w:name w:val="DataTypeTok"/>
    <w:basedOn w:val="VerbatimChar"/>
    <w:rPr>
      <w:rFonts w:ascii="Times New Roman" w:hAnsi="Times New Roman" w:cs="Times New Roman" w:eastAsia="Times New Roman"/>
      <w:color w:val="902000"/>
    </w:rPr>
  </w:style>
  <w:style w:type="character" w:customStyle="1" w:styleId="DecValTok">
    <w:name w:val="DecValTok"/>
    <w:basedOn w:val="VerbatimChar"/>
    <w:rPr>
      <w:rFonts w:ascii="Times New Roman" w:hAnsi="Times New Roman" w:cs="Times New Roman" w:eastAsia="Times New Roman"/>
      <w:color w:val="40a070"/>
    </w:rPr>
  </w:style>
  <w:style w:type="character" w:customStyle="1" w:styleId="BaseNTok">
    <w:name w:val="BaseNTok"/>
    <w:basedOn w:val="VerbatimChar"/>
    <w:rPr>
      <w:rFonts w:ascii="Times New Roman" w:hAnsi="Times New Roman" w:cs="Times New Roman" w:eastAsia="Times New Roman"/>
      <w:color w:val="40a070"/>
    </w:rPr>
  </w:style>
  <w:style w:type="character" w:customStyle="1" w:styleId="FloatTok">
    <w:name w:val="FloatTok"/>
    <w:basedOn w:val="VerbatimChar"/>
    <w:rPr>
      <w:rFonts w:ascii="Times New Roman" w:hAnsi="Times New Roman" w:cs="Times New Roman" w:eastAsia="Times New Roman"/>
      <w:color w:val="40a070"/>
    </w:rPr>
  </w:style>
  <w:style w:type="character" w:customStyle="1" w:styleId="ConstantTok">
    <w:name w:val="ConstantTok"/>
    <w:basedOn w:val="VerbatimChar"/>
    <w:rPr>
      <w:rFonts w:ascii="Times New Roman" w:hAnsi="Times New Roman" w:cs="Times New Roman" w:eastAsia="Times New Roman"/>
      <w:color w:val="880000"/>
    </w:rPr>
  </w:style>
  <w:style w:type="character" w:customStyle="1" w:styleId="CharTok">
    <w:name w:val="CharTok"/>
    <w:basedOn w:val="VerbatimChar"/>
    <w:rPr>
      <w:rFonts w:ascii="Times New Roman" w:hAnsi="Times New Roman" w:cs="Times New Roman" w:eastAsia="Times New Roman"/>
      <w:color w:val="4070a0"/>
    </w:rPr>
  </w:style>
  <w:style w:type="character" w:customStyle="1" w:styleId="SpecialCharTok">
    <w:name w:val="SpecialCharTok"/>
    <w:basedOn w:val="VerbatimChar"/>
    <w:rPr>
      <w:rFonts w:ascii="Times New Roman" w:hAnsi="Times New Roman" w:cs="Times New Roman" w:eastAsia="Times New Roman"/>
      <w:color w:val="4070a0"/>
    </w:rPr>
  </w:style>
  <w:style w:type="character" w:customStyle="1" w:styleId="StringTok">
    <w:name w:val="StringTok"/>
    <w:basedOn w:val="VerbatimChar"/>
    <w:rPr>
      <w:rFonts w:ascii="Times New Roman" w:hAnsi="Times New Roman" w:cs="Times New Roman" w:eastAsia="Times New Roman"/>
      <w:color w:val="4070a0"/>
    </w:rPr>
  </w:style>
  <w:style w:type="character" w:customStyle="1" w:styleId="VerbatimStringTok">
    <w:name w:val="VerbatimStringTok"/>
    <w:basedOn w:val="VerbatimChar"/>
    <w:rPr>
      <w:rFonts w:ascii="Times New Roman" w:hAnsi="Times New Roman" w:cs="Times New Roman" w:eastAsia="Times New Roman"/>
      <w:color w:val="4070a0"/>
    </w:rPr>
  </w:style>
  <w:style w:type="character" w:customStyle="1" w:styleId="SpecialStringTok">
    <w:name w:val="SpecialStringTok"/>
    <w:basedOn w:val="VerbatimChar"/>
    <w:rPr>
      <w:rFonts w:ascii="Times New Roman" w:hAnsi="Times New Roman" w:cs="Times New Roman" w:eastAsia="Times New Roman"/>
      <w:color w:val="bb6688"/>
    </w:rPr>
  </w:style>
  <w:style w:type="character" w:customStyle="1" w:styleId="ImportTok">
    <w:name w:val="ImportTok"/>
    <w:basedOn w:val="VerbatimChar"/>
    <w:rPr>
      <w:rFonts w:ascii="Times New Roman" w:hAnsi="Times New Roman" w:cs="Times New Roman" w:eastAsia="Times New Roman"/>
      <w:b/>
      <w:color w:val="008000"/>
    </w:rPr>
  </w:style>
  <w:style w:type="character" w:customStyle="1" w:styleId="CommentTok">
    <w:name w:val="CommentTok"/>
    <w:basedOn w:val="VerbatimChar"/>
    <w:rPr>
      <w:rFonts w:ascii="Times New Roman" w:hAnsi="Times New Roman" w:cs="Times New Roman" w:eastAsia="Times New Roman"/>
      <w:i/>
      <w:color w:val="60a0b0"/>
    </w:rPr>
  </w:style>
  <w:style w:type="character" w:customStyle="1" w:styleId="DocumentationTok">
    <w:name w:val="DocumentationTok"/>
    <w:basedOn w:val="VerbatimChar"/>
    <w:rPr>
      <w:rFonts w:ascii="Times New Roman" w:hAnsi="Times New Roman" w:cs="Times New Roman" w:eastAsia="Times New Roman"/>
      <w:i/>
      <w:color w:val="ba2121"/>
    </w:rPr>
  </w:style>
  <w:style w:type="character" w:customStyle="1" w:styleId="AnnotationTok">
    <w:name w:val="AnnotationTok"/>
    <w:basedOn w:val="VerbatimChar"/>
    <w:rPr>
      <w:rFonts w:ascii="Times New Roman" w:hAnsi="Times New Roman" w:cs="Times New Roman" w:eastAsia="Times New Roman"/>
      <w:b/>
      <w:i/>
      <w:color w:val="60a0b0"/>
    </w:rPr>
  </w:style>
  <w:style w:type="character" w:customStyle="1" w:styleId="CommentVarTok">
    <w:name w:val="CommentVarTok"/>
    <w:basedOn w:val="VerbatimChar"/>
    <w:rPr>
      <w:rFonts w:ascii="Times New Roman" w:hAnsi="Times New Roman" w:cs="Times New Roman" w:eastAsia="Times New Roman"/>
      <w:b/>
      <w:i/>
      <w:color w:val="60a0b0"/>
    </w:rPr>
  </w:style>
  <w:style w:type="character" w:customStyle="1" w:styleId="OtherTok">
    <w:name w:val="OtherTok"/>
    <w:basedOn w:val="VerbatimChar"/>
    <w:rPr>
      <w:rFonts w:ascii="Times New Roman" w:hAnsi="Times New Roman" w:cs="Times New Roman" w:eastAsia="Times New Roman"/>
      <w:color w:val="007020"/>
    </w:rPr>
  </w:style>
  <w:style w:type="character" w:customStyle="1" w:styleId="FunctionTok">
    <w:name w:val="FunctionTok"/>
    <w:basedOn w:val="VerbatimChar"/>
    <w:rPr>
      <w:rFonts w:ascii="Times New Roman" w:hAnsi="Times New Roman" w:cs="Times New Roman" w:eastAsia="Times New Roman"/>
      <w:color w:val="06287e"/>
    </w:rPr>
  </w:style>
  <w:style w:type="character" w:customStyle="1" w:styleId="VariableTok">
    <w:name w:val="VariableTok"/>
    <w:basedOn w:val="VerbatimChar"/>
    <w:rPr>
      <w:rFonts w:ascii="Times New Roman" w:hAnsi="Times New Roman" w:cs="Times New Roman" w:eastAsia="Times New Roman"/>
      <w:color w:val="19177c"/>
    </w:rPr>
  </w:style>
  <w:style w:type="character" w:customStyle="1" w:styleId="ControlFlowTok">
    <w:name w:val="ControlFlowTok"/>
    <w:basedOn w:val="VerbatimChar"/>
    <w:rPr>
      <w:rFonts w:ascii="Times New Roman" w:hAnsi="Times New Roman" w:cs="Times New Roman" w:eastAsia="Times New Roman"/>
      <w:b/>
      <w:color w:val="007020"/>
    </w:rPr>
  </w:style>
  <w:style w:type="character" w:customStyle="1" w:styleId="OperatorTok">
    <w:name w:val="OperatorTok"/>
    <w:basedOn w:val="VerbatimChar"/>
    <w:rPr>
      <w:rFonts w:ascii="Times New Roman" w:hAnsi="Times New Roman" w:cs="Times New Roman" w:eastAsia="Times New Roman"/>
      <w:color w:val="666666"/>
    </w:rPr>
  </w:style>
  <w:style w:type="character" w:customStyle="1" w:styleId="BuiltInTok">
    <w:name w:val="BuiltInTok"/>
    <w:basedOn w:val="VerbatimChar"/>
    <w:rPr>
      <w:rFonts w:ascii="Times New Roman" w:hAnsi="Times New Roman" w:cs="Times New Roman" w:eastAsia="Times New Roman"/>
      <w:color w:val="008000"/>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color w:val="bc7a00"/>
    </w:rPr>
  </w:style>
  <w:style w:type="character" w:customStyle="1" w:styleId="AttributeTok">
    <w:name w:val="AttributeTok"/>
    <w:basedOn w:val="VerbatimChar"/>
    <w:rPr>
      <w:rFonts w:ascii="Times New Roman" w:hAnsi="Times New Roman" w:cs="Times New Roman" w:eastAsia="Times New Roman"/>
      <w:color w:val="7d9029"/>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color w:val="60a0b0"/>
    </w:rPr>
  </w:style>
  <w:style w:type="character" w:customStyle="1" w:styleId="WarningTok">
    <w:name w:val="WarningTok"/>
    <w:basedOn w:val="VerbatimChar"/>
    <w:rPr>
      <w:rFonts w:ascii="Times New Roman" w:hAnsi="Times New Roman" w:cs="Times New Roman" w:eastAsia="Times New Roman"/>
      <w:b/>
      <w:i/>
      <w:color w:val="60a0b0"/>
    </w:rPr>
  </w:style>
  <w:style w:type="character" w:customStyle="1" w:styleId="AlertTok">
    <w:name w:val="AlertTok"/>
    <w:basedOn w:val="VerbatimChar"/>
    <w:rPr>
      <w:rFonts w:ascii="Times New Roman" w:hAnsi="Times New Roman" w:cs="Times New Roman" w:eastAsia="Times New Roman"/>
      <w:b/>
      <w:color w:val="ff0000"/>
    </w:rPr>
  </w:style>
  <w:style w:type="character" w:customStyle="1" w:styleId="ErrorTok">
    <w:name w:val="ErrorTok"/>
    <w:basedOn w:val="VerbatimChar"/>
    <w:rPr>
      <w:rFonts w:ascii="Times New Roman" w:hAnsi="Times New Roman" w:cs="Times New Roman" w:eastAsia="Times New Roman"/>
      <w:b/>
      <w:color w:val="ff0000"/>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31" Type="http://schemas.openxmlformats.org/officeDocument/2006/relationships/image" Target="media/rId31.png"/><Relationship Id="rId38" Type="http://schemas.openxmlformats.org/officeDocument/2006/relationships/image" Target="media/rId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2026-08-11T02:22:53Z</dcterms:created>
  <dcterms:modified xsi:type="dcterms:W3CDTF">2026-08-11T02:22:53Z</dcterms:modified>
</cp:coreProperties>
</file>

<file path=docProps/custom.xml><?xml version="1.0" encoding="utf-8"?>
<Properties xmlns="http://schemas.openxmlformats.org/officeDocument/2006/custom-properties" xmlns:vt="http://schemas.openxmlformats.org/officeDocument/2006/docPropsVTypes"/>
</file>