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integrated phasing and whole-genome genotype imputation in a single Rust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 which averages a small intra-run phase ensemble for one extra imputation pass and no extra phasing —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14% of raw calls (e.g. 5.09M → 4.66M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both Selphi 2 and Selphi 1.5.3 were given Beagle’s phase-only output as their phased input, isolating the imputation step from phasing quality; the</w:t>
      </w:r>
      <w:r>
        <w:rPr>
          <w:rFonts w:ascii="Times New Roman" w:hAnsi="Times New Roman" w:cs="Times New Roman" w:eastAsia="Times New Roman"/>
        </w:rPr>
        <w:t xml:space="preserve"> </w:t>
      </w:r>
      <w:r>
        <w:rPr>
          <w:rFonts w:ascii="Times New Roman" w:hAnsi="Times New Roman" w:cs="Times New Roman" w:eastAsia="Times New Roman"/>
        </w:rPr>
        <w:t xml:space="preserve">“haploid”</w:t>
      </w:r>
      <w:r>
        <w:rPr>
          <w:rFonts w:ascii="Times New Roman" w:hAnsi="Times New Roman" w:cs="Times New Roman" w:eastAsia="Times New Roman"/>
        </w:rPr>
        <w:t xml:space="preserve">/</w:t>
      </w:r>
      <w:r>
        <w:rPr>
          <w:rFonts w:ascii="Times New Roman" w:hAnsi="Times New Roman" w:cs="Times New Roman" w:eastAsia="Times New Roman"/>
        </w:rPr>
        <w:t xml:space="preserve">“diploid”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with all four tools imputing the identical phased target against the identical 1000 Genomes reference panel.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31"/>
        <w:gridCol w:w="1131"/>
        <w:gridCol w:w="1131"/>
        <w:gridCol w:w="1131"/>
        <w:gridCol w:w="1131"/>
        <w:gridCol w:w="1131"/>
        <w:gridCol w:w="1131"/>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0.6157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+0.0236).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a marginal additional gain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0.6162, +0.0005 over the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and confirms the diminishing-returns regime captured by the formula.</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1–2%</w:t>
            </w:r>
          </w:p>
        </w:tc>
        <w:tc>
          <w:tcPr>
            <w:shd w:val="clear" w:color="auto" w:fill="E7E6E6"/>
            <w:vAlign w:val="center"/>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1–2%</w:t>
            </w:r>
          </w:p>
        </w:tc>
        <w:tc>
          <w:tcPr>
            <w:shd w:val="clear" w:color="auto" w:fill="FFFFFF"/>
            <w:vAlign w:val="center"/>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2–5%</w:t>
            </w:r>
          </w:p>
        </w:tc>
        <w:tc>
          <w:tcPr>
            <w:shd w:val="clear" w:color="auto" w:fill="E7E6E6"/>
            <w:vAlign w:val="center"/>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Oceanian, not in panel (30)</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Middle-Eastern, not in panel (157)</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African (107)</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East-Asian (233)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Central/South-Asian (183)</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European (153)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Admixed-American (62)</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All (925)</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w:t>
      </w:r>
      <w:r>
        <w:rPr>
          <w:rFonts w:ascii="Times New Roman" w:hAnsi="Times New Roman" w:cs="Times New Roman" w:eastAsia="Times New Roman"/>
        </w:rPr>
        <w:t xml:space="preserve"> </w:t>
      </w:r>
      <w:r>
        <w:rPr>
          <w:rFonts w:ascii="Times New Roman" w:hAnsi="Times New Roman" w:cs="Times New Roman" w:eastAsia="Times New Roman"/>
        </w:rPr>
        <w:t xml:space="preserve">“Beagle-phased”</w:t>
      </w:r>
      <w:r>
        <w:rPr>
          <w:rFonts w:ascii="Times New Roman" w:hAnsi="Times New Roman" w:cs="Times New Roman" w:eastAsia="Times New Roman"/>
        </w:rPr>
        <w:t xml:space="preserve"> </w:t>
      </w:r>
      <w:r>
        <w:rPr>
          <w:rFonts w:ascii="Times New Roman" w:hAnsi="Times New Roman" w:cs="Times New Roman" w:eastAsia="Times New Roman"/>
        </w:rPr>
        <w:t xml:space="preserve">rows feed both imputers the identical Beagle phase-only output (isolating the imputation step);</w:t>
      </w:r>
      <w:r>
        <w:rPr>
          <w:rFonts w:ascii="Times New Roman" w:hAnsi="Times New Roman" w:cs="Times New Roman" w:eastAsia="Times New Roman"/>
        </w:rPr>
        <w:t xml:space="preserve"> </w:t>
      </w:r>
      <w:r>
        <w:rPr>
          <w:rFonts w:ascii="Times New Roman" w:hAnsi="Times New Roman" w:cs="Times New Roman" w:eastAsia="Times New Roman"/>
        </w:rPr>
        <w:t xml:space="preserve">“haploid/diploid”</w:t>
      </w:r>
      <w:r>
        <w:rPr>
          <w:rFonts w:ascii="Times New Roman" w:hAnsi="Times New Roman" w:cs="Times New Roman" w:eastAsia="Times New Roman"/>
        </w:rPr>
        <w:t xml:space="preserve"> </w:t>
      </w:r>
      <w:r>
        <w:rPr>
          <w:rFonts w:ascii="Times New Roman" w:hAnsi="Times New Roman" w:cs="Times New Roman" w:eastAsia="Times New Roman"/>
        </w:rP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Pipeline (phasing → imputation)</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(Beagle-phased)</w:t>
            </w:r>
          </w:p>
        </w:tc>
        <w:tc>
          <w:tcPr>
            <w:shd w:val="clear" w:color="auto" w:fill="FFFFFF"/>
            <w:vAlign w:val="center"/>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Selphi 1.5.3 (Beagle-phased)</w:t>
            </w:r>
          </w:p>
        </w:tc>
        <w:tc>
          <w:tcPr>
            <w:shd w:val="clear" w:color="auto" w:fill="E7E6E6"/>
            <w:vAlign w:val="center"/>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Beagle 5.5 (phase + impute)</w:t>
            </w:r>
          </w:p>
        </w:tc>
        <w:tc>
          <w:tcPr>
            <w:shd w:val="clear" w:color="auto" w:fill="FFFFFF"/>
            <w:vAlign w:val="center"/>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Selphi 2 (haploid engine, internal phasing)</w:t>
            </w:r>
          </w:p>
        </w:tc>
        <w:tc>
          <w:tcPr>
            <w:shd w:val="clear" w:color="auto" w:fill="E7E6E6"/>
            <w:vAlign w:val="center"/>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 engine, internal phasing)</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(default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 (phase + impute)</w:t>
            </w:r>
          </w:p>
        </w:tc>
        <w:tc>
          <w:tcPr>
            <w:shd w:val="clear" w:color="auto" w:fill="E7E6E6"/>
            <w:vAlign w:val="center"/>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w:t>
      </w:r>
      <w:r>
        <w:rPr>
          <w:rFonts w:ascii="Times New Roman" w:hAnsi="Times New Roman" w:cs="Times New Roman" w:eastAsia="Times New Roman"/>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31"/>
        <w:gridCol w:w="1131"/>
        <w:gridCol w:w="1131"/>
        <w:gridCol w:w="1131"/>
        <w:gridCol w:w="1131"/>
        <w:gridCol w:w="1131"/>
        <w:gridCol w:w="1131"/>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Pr>
          <w:p>
            <w:pPr>
              <w:pStyle w:val="Compact"/>
              <w:jc w:val="center"/>
            </w:pPr>
            <w:r>
              <w:rPr>
                <w:rFonts w:ascii="Times New Roman" w:hAnsi="Times New Roman" w:cs="Times New Roman" w:eastAsia="Times New Roman"/>
                <w:b/>
                <w:bCs/>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haploid</w:t>
            </w:r>
          </w:p>
        </w:tc>
        <w:tc>
          <w:tcPr>
            <w:shd w:val="clear" w:color="auto" w:fill="FFFFFF"/>
            <w:vAlign w:val="center"/>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SHAPEIT5 v5.1.1 (full)</w:t>
            </w:r>
          </w:p>
        </w:tc>
        <w:tc>
          <w:tcPr>
            <w:shd w:val="clear" w:color="auto" w:fill="E7E6E6"/>
            <w:vAlign w:val="center"/>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 a 66% reduction —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SHAPEIT5 v5.1.1 (full)</w:t>
            </w:r>
          </w:p>
        </w:tc>
        <w:tc>
          <w:tcPr>
            <w:shd w:val="clear" w:color="auto" w:fill="FFFFFF"/>
            <w:vAlign w:val="center"/>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584"/>
        <w:gridCol w:w="1584"/>
        <w:gridCol w:w="1584"/>
        <w:gridCol w:w="1584"/>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chr22 1KG 801s (impute-only, phased input)</w:t>
            </w:r>
          </w:p>
        </w:tc>
        <w:tc>
          <w:tcPr>
            <w:shd w:val="clear" w:color="auto" w:fill="FFFFFF"/>
            <w:vAlign w:val="center"/>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Pr>
          <w:p>
            <w:pPr>
              <w:pStyle w:val="Compact"/>
              <w:jc w:val="center"/>
            </w:pPr>
            <w:r>
              <w:rPr>
                <w:rFonts w:ascii="Times New Roman" w:hAnsi="Times New Roman" w:cs="Times New Roman" w:eastAsia="Times New Roman"/>
                <w:sz w:val="20"/>
              </w:rPr>
              <w:t xml:space="preserve">1,532 s / 15.6 GB</w:t>
            </w:r>
          </w:p>
        </w:tc>
        <w:tc>
          <w:tcPr>
            <w:shd w:val="clear" w:color="auto" w:fill="FFFFFF"/>
            <w:vAlign w:val="center"/>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chr1 1KG 801s (impute-only, phased input)</w:t>
            </w:r>
          </w:p>
        </w:tc>
        <w:tc>
          <w:tcPr>
            <w:shd w:val="clear" w:color="auto" w:fill="E7E6E6"/>
            <w:vAlign w:val="center"/>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Pr>
          <w:p>
            <w:pPr>
              <w:pStyle w:val="Compact"/>
              <w:jc w:val="center"/>
            </w:pPr>
            <w:r>
              <w:rPr>
                <w:rFonts w:ascii="Times New Roman" w:hAnsi="Times New Roman" w:cs="Times New Roman" w:eastAsia="Times New Roman"/>
                <w:sz w:val="20"/>
              </w:rPr>
              <w:t xml:space="preserve">15,338 s / 32.6 GB</w:t>
            </w:r>
          </w:p>
        </w:tc>
        <w:tc>
          <w:tcPr>
            <w:shd w:val="clear" w:color="auto" w:fill="E7E6E6"/>
            <w:vAlign w:val="center"/>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chr21 GIAB 6 samples (impute-only)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Pr>
          <w:p>
            <w:pPr>
              <w:pStyle w:val="Compact"/>
              <w:jc w:val="center"/>
            </w:pPr>
            <w:r>
              <w:rPr>
                <w:rFonts w:ascii="Times New Roman" w:hAnsi="Times New Roman" w:cs="Times New Roman" w:eastAsia="Times New Roman"/>
                <w:sz w:val="20"/>
              </w:rPr>
              <w:t xml:space="preserve">112.8 s / 7.1 GB</w:t>
            </w:r>
          </w:p>
        </w:tc>
        <w:tc>
          <w:tcPr>
            <w:shd w:val="clear" w:color="auto" w:fill="FFFFFF"/>
            <w:vAlign w:val="center"/>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chr1 GIAB 6 samples (impute-only)</w:t>
            </w:r>
          </w:p>
        </w:tc>
        <w:tc>
          <w:tcPr>
            <w:shd w:val="clear" w:color="auto" w:fill="E7E6E6"/>
            <w:vAlign w:val="center"/>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Pr>
          <w:p>
            <w:pPr>
              <w:pStyle w:val="Compact"/>
              <w:jc w:val="center"/>
            </w:pPr>
            <w:r>
              <w:rPr>
                <w:rFonts w:ascii="Times New Roman" w:hAnsi="Times New Roman" w:cs="Times New Roman" w:eastAsia="Times New Roman"/>
                <w:sz w:val="20"/>
              </w:rPr>
              <w:t xml:space="preserve">1923 s / 22.1 GB</w:t>
            </w:r>
          </w:p>
        </w:tc>
        <w:tc>
          <w:tcPr>
            <w:shd w:val="clear" w:color="auto" w:fill="E7E6E6"/>
            <w:vAlign w:val="center"/>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Pr>
          <w:p>
            <w:pPr>
              <w:pStyle w:val="Compact"/>
              <w:jc w:val="center"/>
            </w:pPr>
            <w:r>
              <w:rPr>
                <w:rFonts w:ascii="Times New Roman" w:hAnsi="Times New Roman" w:cs="Times New Roman" w:eastAsia="Times New Roman"/>
                <w:sz w:val="20"/>
              </w:rPr>
              <w:t xml:space="preserve">~15,480 s / ~98 GB (impute-only)</w:t>
            </w:r>
          </w:p>
        </w:tc>
        <w:tc>
          <w:tcPr>
            <w:shd w:val="clear" w:color="auto" w:fill="FFFFFF"/>
            <w:vAlign w:val="center"/>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is concentrated on the rare-variant bins.</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Pr>
          <w:p>
            <w:pPr>
              <w:pStyle w:val="Compact"/>
              <w:jc w:val="center"/>
            </w:pPr>
            <m:oMath>
              <m:r>
                <m:rPr>
                  <m:sty m:val="p"/>
                </m:rPr>
                <m:t>Δ</m:t>
              </m:r>
            </m:oMath>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 which raises the Li-Stephens recombination rate to GLIMPSE2’s reference value at rare sites only, letting a copied haplotype recombine onto a true rare-allele carrier —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ayout w:type="autofit"/>
        <w:tblLook w:firstRow="1" w:lastRow="0" w:firstColumn="0" w:lastColumn="0" w:noHBand="0" w:noVBand="0" w:val="0020"/>
        <w:tblW w:type="pct" w:w="500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0.024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 a small gain on common variants offset by a loss at the rarest bin — so a panel’s published phasing is best retained.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 0.9588 from the no-call fix, then →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2023;55(7):1088-1096.</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2026;17:524.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2026-07-01T16:54:12Z</dcterms:created>
  <dcterms:modified xsi:type="dcterms:W3CDTF">2026-07-01T16:54:12Z</dcterms:modified>
</cp:coreProperties>
</file>

<file path=docProps/custom.xml><?xml version="1.0" encoding="utf-8"?>
<Properties xmlns="http://schemas.openxmlformats.org/officeDocument/2006/custom-properties" xmlns:vt="http://schemas.openxmlformats.org/officeDocument/2006/docPropsVTypes"/>
</file>