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53df677085d04bb9b18ca3ae3a4da78dee3c1"/>
    <w:p>
      <w:pPr>
        <w:pStyle w:val="Heading1"/>
      </w:pPr>
      <w:r>
        <w:rPr>
          <w:b/>
          <w:bCs/>
        </w:rPr>
        <w:t xml:space="preserve">Selphi 2: genotype-likelihood imputation for low-coverage and capture sequencing, unified with array phasing and imputation in one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t xml:space="preserve"> </w:t>
      </w:r>
      <w: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t xml:space="preserve"> </w:t>
      </w:r>
      <w:r>
        <w:t xml:space="preserve">faster (104 versus 327 s, 16 threads). On 30</w:t>
      </w:r>
      <m:oMath>
        <m:r>
          <m:rPr>
            <m:sty m:val="p"/>
          </m:rPr>
          <m:t>×</m:t>
        </m:r>
      </m:oMath>
      <w:r>
        <w:t xml:space="preserve"> </w:t>
      </w:r>
      <w:r>
        <w:t xml:space="preserve">GIAB genomes downsampled to ~1.8</w:t>
      </w:r>
      <m:oMath>
        <m:r>
          <m:rPr>
            <m:sty m:val="p"/>
          </m:rPr>
          <m:t>×</m:t>
        </m:r>
      </m:oMath>
      <w:r>
        <w:t xml:space="preserve">, its per-sample dosage</w:t>
      </w:r>
      <w:r>
        <w:t xml:space="preserve"> </w:t>
      </w:r>
      <m:oMath>
        <m:sSup>
          <m:e>
            <m:r>
              <m:t>R</m:t>
            </m:r>
          </m:e>
          <m:sup>
            <m:r>
              <m:t>2</m:t>
            </m:r>
          </m:sup>
        </m:sSup>
      </m:oMath>
      <w:r>
        <w:t xml:space="preserve"> </w:t>
      </w:r>
      <w:r>
        <w:t xml:space="preserve">exceeds GLIMPSE2’s in five of six samples (0.9493 versus 0.9455), and across a 0.5-4</w:t>
      </w:r>
      <m:oMath>
        <m:r>
          <m:rPr>
            <m:sty m:val="p"/>
          </m:rPr>
          <m:t>×</m:t>
        </m:r>
      </m:oMath>
      <w:r>
        <w:t xml:space="preserve"> </w:t>
      </w:r>
      <w:r>
        <w:t xml:space="preserve">sweep it leads GLIMPSE2 and QUILT2 in overall</w:t>
      </w:r>
      <w:r>
        <w:t xml:space="preserve"> </w:t>
      </w:r>
      <m:oMath>
        <m:sSup>
          <m:e>
            <m:r>
              <m:t>R</m:t>
            </m:r>
          </m:e>
          <m:sup>
            <m:r>
              <m:t>2</m:t>
            </m:r>
          </m:sup>
        </m:sSup>
      </m:oMath>
      <w:r>
        <w:t xml:space="preserve"> </w:t>
      </w:r>
      <w: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half Beagle’s wall time at a fifth of its peak memory. It ships as one self-contained x86-64 and ARM64 binary writing five output formats from a single pass.</w:t>
      </w:r>
    </w:p>
    <w:bookmarkEnd w:id="10"/>
    <w:bookmarkStart w:id="14" w:name="introduction"/>
    <w:p>
      <w:pPr>
        <w:pStyle w:val="Heading1"/>
      </w:pPr>
      <w:r>
        <w:rPr>
          <w:b/>
          <w:bCs/>
        </w:rPr>
        <w:t xml:space="preserve">Introduction</w:t>
      </w:r>
    </w:p>
    <w:p>
      <w:pPr>
        <w:pStyle w:val="FirstParagrap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rPr>
          <w:vertAlign w:val="superscript"/>
        </w:rPr>
        <w:t xml:space="preserve">1</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pPr>
      <w: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pPr>
      <w:r>
        <w:t xml:space="preserve">The dominant computational framework for genotype imputation is the Li and Stephens hidden Markov model (HMM)</w:t>
      </w:r>
      <w:r>
        <w:rPr>
          <w:vertAlign w:val="superscript"/>
        </w:rPr>
        <w:t xml:space="preserve">2</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rPr>
          <w:vertAlign w:val="superscript"/>
        </w:rPr>
        <w:t xml:space="preserve">3</w:t>
      </w:r>
      <w:r>
        <w:t xml:space="preserve"> </w:t>
      </w:r>
      <w:r>
        <w:t xml:space="preserve">for haplotype matching. Three widely used tools anchor imputation software: IMPUTE5</w:t>
      </w:r>
      <w:r>
        <w:rPr>
          <w:vertAlign w:val="superscript"/>
        </w:rPr>
        <w:t xml:space="preserve">4</w:t>
      </w:r>
      <w:r>
        <w:t xml:space="preserve"> </w:t>
      </w:r>
      <w:r>
        <w:t xml:space="preserve">uses PBWT-based haplotype selection to achieve sub-linear scaling with panel size; Beagle</w:t>
      </w:r>
      <w:r>
        <w:rPr>
          <w:vertAlign w:val="superscript"/>
        </w:rPr>
        <w:t xml:space="preserve">5</w:t>
      </w:r>
      <w:r>
        <w:t xml:space="preserve"> </w:t>
      </w:r>
      <w:r>
        <w:t xml:space="preserve">(used here at version 5.5) combines integrated phasing</w:t>
      </w:r>
      <w:r>
        <w:rPr>
          <w:vertAlign w:val="superscript"/>
        </w:rPr>
        <w:t xml:space="preserve">6</w:t>
      </w:r>
      <w:r>
        <w:t xml:space="preserve"> </w:t>
      </w:r>
      <w:r>
        <w:t xml:space="preserve">with haplotype clustering for computational efficiency; and Minimac4</w:t>
      </w:r>
      <w:r>
        <w:rPr>
          <w:vertAlign w:val="superscript"/>
        </w:rPr>
        <w:t xml:space="preserve">7</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pPr>
      <w:r>
        <w:t xml:space="preserve">The array-imputation ecosystem, meanwhile, is fragmented across multiple specialized tools. A standard end-to-end workflow phases the target with a dedicated phaser such as Eagle2</w:t>
      </w:r>
      <w:r>
        <w:rPr>
          <w:vertAlign w:val="superscript"/>
        </w:rPr>
        <w:t xml:space="preserve">8</w:t>
      </w:r>
      <w:r>
        <w:t xml:space="preserve">, SHAPEIT5</w:t>
      </w:r>
      <w:r>
        <w:rPr>
          <w:vertAlign w:val="superscript"/>
        </w:rPr>
        <w:t xml:space="preserve">9</w:t>
      </w:r>
      <w:r>
        <w:t xml:space="preserve">, or an earlier biobank-scale haplotype estimator</w:t>
      </w:r>
      <w:r>
        <w:rPr>
          <w:vertAlign w:val="superscript"/>
        </w:rPr>
        <w:t xml:space="preserve">10</w:t>
      </w:r>
      <w:r>
        <w:t xml:space="preserve">, imputes the phased target with Beagle 5.5</w:t>
      </w:r>
      <w:r>
        <w:rPr>
          <w:vertAlign w:val="superscript"/>
        </w:rPr>
        <w:t xml:space="preserve">5</w:t>
      </w:r>
      <w:r>
        <w:t xml:space="preserve">, IMPUTE5</w:t>
      </w:r>
      <w:r>
        <w:rPr>
          <w:vertAlign w:val="superscript"/>
        </w:rPr>
        <w:t xml:space="preserve">4</w:t>
      </w:r>
      <w:r>
        <w:t xml:space="preserve">, or Minimac4</w:t>
      </w:r>
      <w:r>
        <w:rPr>
          <w:vertAlign w:val="superscript"/>
        </w:rPr>
        <w:t xml:space="preserve">7</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rPr>
          <w:vertAlign w:val="superscript"/>
        </w:rPr>
        <w:t xml:space="preserve">11</w:t>
      </w:r>
      <w:r>
        <w:t xml:space="preserve">) with external writers. Each handoff requires intermediate files, shell glue, and per-chromosome bookkeeping. Beagle 5.5</w:t>
      </w:r>
      <w:r>
        <w:rPr>
          <w:vertAlign w:val="superscript"/>
        </w:rPr>
        <w:t xml:space="preserve">5</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pPr>
      <w:r>
        <w:t xml:space="preserve">The original Selphi</w:t>
      </w:r>
      <w:r>
        <w:rPr>
          <w:vertAlign w:val="superscript"/>
        </w:rPr>
        <w:t xml:space="preserve">12</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pPr>
      <w:r>
        <w:t xml:space="preserve">Recent methodological advances have addressed some of these challenges in isolation. SHAPEIT5</w:t>
      </w:r>
      <w:r>
        <w:rPr>
          <w:vertAlign w:val="superscript"/>
        </w:rPr>
        <w:t xml:space="preserve">9</w:t>
      </w:r>
      <w:r>
        <w:t xml:space="preserve"> </w:t>
      </w:r>
      <w:r>
        <w:t xml:space="preserve">cut low-frequency switch-error rates in large cohorts by splitting phasing into two passes: a confident backbone built from common variants, onto which rare alleles are then placed one at a time. GLIMPSE2</w:t>
      </w:r>
      <w:r>
        <w:rPr>
          <w:vertAlign w:val="superscript"/>
        </w:rPr>
        <w:t xml:space="preserve">15</w:t>
      </w:r>
      <w:r>
        <w:t xml:space="preserve"> </w:t>
      </w:r>
      <w:r>
        <w:t xml:space="preserve">made whole-genome low-coverage imputation tractable by storing the panel compactly, using dense bitmaps for frequent alleles and per-site carrier lists for the rare ones. QUILT2</w:t>
      </w:r>
      <w:r>
        <w:rPr>
          <w:vertAlign w:val="superscript"/>
        </w:rPr>
        <w:t xml:space="preserve">16</w:t>
      </w:r>
      <w:r>
        <w:t xml:space="preserve"> </w:t>
      </w:r>
      <w: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pPr>
      <w:r>
        <w:t xml:space="preserve">Here we present Selphi 2, a Rust tool built around a genotype-likelihood-aware Li-Stephens engine that imputes directly from Phred-scaled likelihoods or from aligned reads with a native pileup (</w:t>
      </w:r>
      <w:r>
        <w:rPr>
          <w:rStyle w:val="VerbatimChar"/>
        </w:rPr>
        <w:t xml:space="preserve">--lcwgs</w:t>
      </w:r>
      <w: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pPr>
      <w:r>
        <w:t xml:space="preserve">In this paper, we describe the algorithmic components of Selphi 2 (Methods), benchmark the likelihood engine on real capture-plus-low-pass Genome in a Bottle libraries</w:t>
      </w:r>
      <w:r>
        <w:rPr>
          <w:vertAlign w:val="superscript"/>
        </w:rPr>
        <w:t xml:space="preserve">17</w:t>
      </w:r>
      <w:r>
        <w:t xml:space="preserve"> </w:t>
      </w:r>
      <w:r>
        <w:t xml:space="preserve">against the array-equivalent route and against GLIMPSE2</w:t>
      </w:r>
      <w:r>
        <w:rPr>
          <w:vertAlign w:val="superscript"/>
        </w:rPr>
        <w:t xml:space="preserve">15</w:t>
      </w:r>
      <w:r>
        <w:t xml:space="preserve">, and on uniformly downsampled Genome in a Bottle genomes against GLIMPSE2 and QUILT2</w:t>
      </w:r>
      <w:r>
        <w:rPr>
          <w:vertAlign w:val="superscript"/>
        </w:rPr>
        <w:t xml:space="preserve">16</w:t>
      </w:r>
      <w:r>
        <w:t xml:space="preserve">; then benchmark the array pipeline’s imputation accuracy and resource consumption against Selphi 1</w:t>
      </w:r>
      <w:r>
        <w:rPr>
          <w:vertAlign w:val="superscript"/>
        </w:rPr>
        <w:t xml:space="preserve">12</w:t>
      </w:r>
      <w:r>
        <w:t xml:space="preserve"> </w:t>
      </w:r>
      <w:r>
        <w:t xml:space="preserve">and Beagle 5.5</w:t>
      </w:r>
      <w:r>
        <w:rPr>
          <w:vertAlign w:val="superscript"/>
        </w:rPr>
        <w:t xml:space="preserve">5</w:t>
      </w:r>
      <w:r>
        <w:t xml:space="preserve"> </w:t>
      </w:r>
      <w:r>
        <w:t xml:space="preserve">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reference panels, and its phasing accuracy against SHAPEIT5</w:t>
      </w:r>
      <w:r>
        <w:rPr>
          <w:vertAlign w:val="superscript"/>
        </w:rPr>
        <w:t xml:space="preserve">9</w:t>
      </w:r>
      <w:r>
        <w:t xml:space="preserve"> </w:t>
      </w:r>
      <w:r>
        <w:t xml:space="preserve">on the 1000 Genomes trio dataset (Results).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t xml:space="preserve"> </w:t>
      </w:r>
      <w:r>
        <w:t xml:space="preserve">low-pass genomes, or capture libraries with a low-pass off-target background),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bookmarkEnd w:id="14"/>
    <w:bookmarkStart w:id="29" w:name="methods"/>
    <w:p>
      <w:pPr>
        <w:pStyle w:val="Heading1"/>
      </w:pPr>
      <w:r>
        <w:rPr>
          <w:b/>
          <w:bCs/>
        </w:rPr>
        <w:t xml:space="preserve">Methods</w:t>
      </w:r>
    </w:p>
    <w:bookmarkStart w:id="28"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bookmarkEnd w:id="15"/>
    <w:bookmarkStart w:id="16" w:name="phasing-engines"/>
    <w:p>
      <w:pPr>
        <w:pStyle w:val="Heading3"/>
      </w:pPr>
      <w:r>
        <w:rPr>
          <w:b/>
          <w:bCs/>
        </w:rPr>
        <w:t xml:space="preserve">Phasing engines</w:t>
      </w:r>
    </w:p>
    <w:p>
      <w:pPr>
        <w:pStyle w:val="FirstParagrap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pPr>
      <w:r>
        <w:rPr>
          <w:b/>
          <w:bCs/>
        </w:rPr>
        <w:t xml:space="preserve">Haploid engine.</w:t>
      </w:r>
    </w:p>
    <w:p>
      <w:pPr>
        <w:pStyle w:val="BodyText"/>
      </w:pPr>
      <w:r>
        <w:t xml:space="preserve">The haploid phasing engine models each haplotype independently through a composite HMM with a greedy swap criterion, following the approach of Browning and Browning</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pPr>
      <w:r>
        <w:t xml:space="preserve">At each iteration, a coded-step PBWT</w:t>
      </w:r>
      <w:r>
        <w:rPr>
          <w:vertAlign w:val="superscript"/>
        </w:rPr>
        <w:t xml:space="preserve">4</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rPr>
          <w:vertAlign w:val="superscript"/>
        </w:rPr>
        <w:t xml:space="preserve">9</w:t>
      </w:r>
      <w:r>
        <w:t xml:space="preserve">, but operates within a single iterative framework rather than as separate stages.</w:t>
      </w:r>
    </w:p>
    <w:p>
      <w:pPr>
        <w:pStyle w:val="BodyText"/>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pPr>
      <w: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pPr>
      <w:r>
        <w:t xml:space="preserve">EM parameter estimation</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pair of haplotypes jointly through a genotype graph, following the approach of SHAPEIT4</w:t>
      </w:r>
      <w:r>
        <w:rPr>
          <w:vertAlign w:val="superscript"/>
        </w:rPr>
        <w:t xml:space="preserve">21</w:t>
      </w:r>
      <w:r>
        <w:t xml:space="preserve"> </w:t>
      </w:r>
      <w:r>
        <w:t xml:space="preserve">and SHAPEIT5</w:t>
      </w:r>
      <w:r>
        <w:rPr>
          <w:vertAlign w:val="superscript"/>
        </w:rPr>
        <w:t xml:space="preserve">9</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t xml:space="preserve"> </w:t>
      </w:r>
      <m:oMath>
        <m:sSup>
          <m:e>
            <m:r>
              <m:t>10</m:t>
            </m:r>
          </m:e>
          <m:sup>
            <m:r>
              <m:rPr>
                <m:sty m:val="p"/>
              </m:rPr>
              <m:t>−</m:t>
            </m:r>
            <m:r>
              <m:t>6</m:t>
            </m:r>
          </m:sup>
        </m:sSup>
      </m:oMath>
      <w:r>
        <w:t xml:space="preserve"> </w:t>
      </w:r>
      <w:r>
        <w:t xml:space="preserve">in per-sample</w:t>
      </w:r>
      <w:r>
        <w:t xml:space="preserve"> </w:t>
      </w:r>
      <m:oMath>
        <m:sSup>
          <m:e>
            <m:r>
              <m:t>R</m:t>
            </m:r>
          </m:e>
          <m:sup>
            <m:r>
              <m:t>2</m:t>
            </m:r>
          </m:sup>
        </m:sSup>
      </m:oMath>
      <w:r>
        <w:t xml:space="preserve"> </w:t>
      </w:r>
      <w:r>
        <w:t xml:space="preserve">on the chromosome-22 benchmark.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the current release measures 0.9609; Results, Table 5).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pPr>
      <w:r>
        <w:t xml:space="preserve">During burn-in iterations the effective population size (</w:t>
      </w:r>
      <m:oMath>
        <m:sSub>
          <m:e>
            <m:r>
              <m:t>N</m:t>
            </m:r>
          </m:e>
          <m:sub>
            <m:r>
              <m:t>e</m:t>
            </m:r>
          </m:sub>
        </m:sSub>
      </m:oMath>
      <w:r>
        <w:t xml:space="preserve">) is re-estimated from the genotype graphs, inverting the Li-Stephens relation</w:t>
      </w:r>
      <w:r>
        <w:rPr>
          <w:vertAlign w:val="superscript"/>
        </w:rPr>
        <w:t xml:space="preserve">2</w:t>
      </w:r>
      <w: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w:t>
      </w:r>
      <w:r>
        <w:t xml:space="preserve"> </w:t>
      </w:r>
      <m:oMath>
        <m:r>
          <m:t>d</m:t>
        </m:r>
      </m:oMath>
      <w:r>
        <w:t xml:space="preserve"> </w:t>
      </w:r>
      <w: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t xml:space="preserve"> </w:t>
      </w:r>
      <m:oMath>
        <m:sSub>
          <m:e>
            <m:r>
              <m:t>N</m:t>
            </m:r>
          </m:e>
          <m:sub>
            <m:r>
              <m:t>e</m:t>
            </m:r>
          </m:sub>
        </m:sSub>
      </m:oMath>
      <w:r>
        <w:t xml:space="preserve">: it is</w:t>
      </w:r>
      <w: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t xml:space="preserve"> </w:t>
      </w:r>
      <w:r>
        <w:t xml:space="preserve">with a floor of 1,000, so the per-cM switch rate is held constant for panels below 12,904 haplotypes and decays as</w:t>
      </w:r>
      <w:r>
        <w:t xml:space="preserve"> </w:t>
      </w:r>
      <m:oMath>
        <m:r>
          <m:t>1</m:t>
        </m:r>
        <m:r>
          <m:rPr>
            <m:sty m:val="p"/>
          </m:rPr>
          <m:t>/</m:t>
        </m:r>
        <m:sSub>
          <m:e>
            <m:r>
              <m:t>n</m:t>
            </m:r>
          </m:e>
          <m:sub>
            <m:r>
              <m:rPr>
                <m:nor/>
                <m:sty m:val="p"/>
              </m:rPr>
              <m:t>haps</m:t>
            </m:r>
          </m:sub>
        </m:sSub>
      </m:oMath>
      <w:r>
        <w:t xml:space="preserve"> </w:t>
      </w:r>
      <w:r>
        <w:t xml:space="preserve">above. An update is applied only when it moves</w:t>
      </w:r>
      <w:r>
        <w:t xml:space="preserve"> </w:t>
      </w:r>
      <m:oMath>
        <m:sSub>
          <m:e>
            <m:r>
              <m:t>N</m:t>
            </m:r>
          </m:e>
          <m:sub>
            <m:r>
              <m:t>e</m:t>
            </m:r>
          </m:sub>
        </m:sSub>
      </m:oMath>
      <w:r>
        <w:t xml:space="preserve"> </w:t>
      </w:r>
      <w:r>
        <w:t xml:space="preserve">by more than 5%.</w:t>
      </w:r>
    </w:p>
    <w:p>
      <w:pPr>
        <w:pStyle w:val="BodyText"/>
      </w:pPr>
      <w:r>
        <w:rPr>
          <w:b/>
          <w:bCs/>
        </w:rPr>
        <w:t xml:space="preserve">Rare variant phasing (diploid).</w:t>
      </w:r>
    </w:p>
    <w:p>
      <w:pPr>
        <w:pStyle w:val="BodyText"/>
      </w:pPr>
      <w: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r>
        <w:rPr>
          <w:vertAlign w:val="superscript"/>
        </w:rPr>
        <w:t xml:space="preserve">9</w:t>
      </w:r>
      <w:r>
        <w:t xml:space="preserve">, whose rare pass conditions on the cohort only.</w:t>
      </w:r>
    </w:p>
    <w:p>
      <w:pPr>
        <w:pStyle w:val="BodyText"/>
      </w:pPr>
      <w:r>
        <w:t xml:space="preserve">The algorithm proceeds in three steps. First, an IBD2 scan identifies sample pairs sharing both haplotypes identical-by-descent across scaffold sites</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pPr>
      <w: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r>
        <w:rPr>
          <w:vertAlign w:val="superscript"/>
        </w:rPr>
        <w:t xml:space="preserve">9</w:t>
      </w:r>
      <w:r>
        <w:t xml:space="preserve">, a recent allele sits on the more recently diverged haplotype, obtained here from PBWT divergence rather than from a coalescent HMM.</w:t>
      </w:r>
    </w:p>
    <w:p>
      <w:pPr>
        <w:pStyle w:val="BodyText"/>
      </w:pPr>
      <w:r>
        <w:rPr>
          <w:b/>
          <w:bCs/>
        </w:rPr>
        <w:t xml:space="preserve">Pedigree scaffolding.</w:t>
      </w:r>
    </w:p>
    <w:p>
      <w:pPr>
        <w:pStyle w:val="BodyText"/>
      </w:pPr>
      <w: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r>
        <w:rPr>
          <w:vertAlign w:val="superscript"/>
        </w:rPr>
        <w:t xml:space="preserve">9</w:t>
      </w:r>
      <w: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r>
        <w:rPr>
          <w:vertAlign w:val="superscript"/>
        </w:rPr>
        <w:t xml:space="preserve">5</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The imputation component uses a coded-step PBWT</w:t>
      </w:r>
      <w:r>
        <w:rPr>
          <w:vertAlign w:val="superscript"/>
        </w:rPr>
        <w:t xml:space="preserve">4</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bookmarkEnd w:id="17"/>
    <w:bookmarkStart w:id="18" w:name="candidate-selection-and-hmm"/>
    <w:p>
      <w:pPr>
        <w:pStyle w:val="Heading3"/>
      </w:pPr>
      <w:r>
        <w:rPr>
          <w:b/>
          <w:bCs/>
        </w:rPr>
        <w:t xml:space="preserve">Candidate selection and HMM</w:t>
      </w:r>
    </w:p>
    <w:p>
      <w:pPr>
        <w:pStyle w:val="FirstParagrap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pPr>
      <w: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r>
        <w:rPr>
          <w:vertAlign w:val="superscript"/>
        </w:rPr>
        <w:t xml:space="preserve">2</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single value that does not scale with reference panel size (Beagle, for example, uses a default</w:t>
      </w:r>
      <w:r>
        <w:t xml:space="preserve"> </w:t>
      </w:r>
      <m:oMath>
        <m:sSub>
          <m:e>
            <m:r>
              <m:t>N</m:t>
            </m:r>
          </m:e>
          <m:sub>
            <m:r>
              <m:t>e</m:t>
            </m:r>
          </m:sub>
        </m:sSub>
      </m:oMath>
      <w:r>
        <w:t xml:space="preserve"> </w:t>
      </w:r>
      <w:r>
        <w:t xml:space="preserve">= 100,000 for both its phasing and imputation HMMs, optionally re-estimated once per run by EM</w:t>
      </w:r>
      <w:r>
        <w:rPr>
          <w:vertAlign w:val="superscript"/>
        </w:rPr>
        <w:t xml:space="preserve">5</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rPr>
          <w:vertAlign w:val="superscript"/>
        </w:rPr>
        <w:t xml:space="preserve">23</w:t>
      </w:r>
      <w:r>
        <w:t xml:space="preserve"> </w:t>
      </w:r>
      <w:r>
        <w:t xml:space="preserve">and 1000 Genomes composite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t xml:space="preserve"> </w:t>
      </w:r>
      <m:oMath>
        <m:sSup>
          <m:e>
            <m:r>
              <m:t>R</m:t>
            </m:r>
          </m:e>
          <m:sup>
            <m:r>
              <m:t>2</m:t>
            </m:r>
          </m:sup>
        </m:sSup>
      </m:oMath>
      <w:r>
        <w:t xml:space="preserve"> </w:t>
      </w:r>
      <w:r>
        <w:t xml:space="preserve">is maximised at the formula’s</w:t>
      </w:r>
      <w:r>
        <w:t xml:space="preserve"> </w:t>
      </w:r>
      <m:oMath>
        <m:sSub>
          <m:e>
            <m:r>
              <m:t>N</m:t>
            </m:r>
          </m:e>
          <m:sub>
            <m:r>
              <m:t>e</m:t>
            </m:r>
          </m:sub>
        </m:sSub>
        <m:r>
          <m:rPr>
            <m:sty m:val="p"/>
          </m:rPr>
          <m:t>≈</m:t>
        </m:r>
        <m:r>
          <m:t>175</m:t>
        </m:r>
        <m:r>
          <m:rPr>
            <m:sty m:val="p"/>
          </m:rPr>
          <m:t>,</m:t>
        </m:r>
        <m:r>
          <m:t>000</m:t>
        </m:r>
      </m:oMath>
      <w:r>
        <w:t xml:space="preserve">, while rare variants favour a lower</w:t>
      </w:r>
      <w:r>
        <w:t xml:space="preserve"> </w:t>
      </w:r>
      <m:oMath>
        <m:sSub>
          <m:e>
            <m:r>
              <m:t>N</m:t>
            </m:r>
          </m:e>
          <m:sub>
            <m:r>
              <m:t>e</m:t>
            </m:r>
          </m:sub>
        </m:sSub>
      </m:oMath>
      <w:r>
        <w:t xml:space="preserve"> </w:t>
      </w:r>
      <w:r>
        <w:t xml:space="preserve">(≈50,000) and common variants a higher one (≈350,000), so the single formula value balances a genuine rare-versus-common tradeoff rather than sitting at either extreme.</w:t>
      </w:r>
    </w:p>
    <w:p>
      <w:pPr>
        <w:pStyle w:val="BodyText"/>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linear ramp in MAF between the two thresholds. When the haploid phasing engine is used, the per-window</w:t>
      </w:r>
      <w:r>
        <w:t xml:space="preserve"> </w:t>
      </w:r>
      <m:oMath>
        <m:sSub>
          <m:e>
            <m:r>
              <m:t>N</m:t>
            </m:r>
          </m:e>
          <m:sub>
            <m:r>
              <m:t>e</m:t>
            </m:r>
          </m:sub>
        </m:sSub>
      </m:oMath>
      <w:r>
        <w:t xml:space="preserve"> </w:t>
      </w:r>
      <w:r>
        <w:t xml:space="preserve">it estimates during phasing replaces this scheme in the imputation HMM unless disabled; with the default diploid engine the MAF-adaptive scheme applies as written.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pPr>
      <w:r>
        <w:rPr>
          <w:b/>
          <w:bCs/>
        </w:rPr>
        <w:t xml:space="preserve">Adaptive candidate-set sizing.</w:t>
      </w:r>
      <w:r>
        <w:t xml:space="preserve"> </w:t>
      </w:r>
      <w:r>
        <w:t xml:space="preserve">Selphi 1 retained conditioning haplotypes with fixed per-variant match caps, independent of reference panel size: a forward top-</w:t>
      </w:r>
      <m:oMath>
        <m:sSub>
          <m:e>
            <m:r>
              <m:t>K</m:t>
            </m:r>
          </m:e>
          <m:sub>
            <m:r>
              <m:t>1</m:t>
            </m:r>
          </m:sub>
        </m:sSub>
      </m:oMath>
      <w:r>
        <w:t xml:space="preserve"> </w:t>
      </w:r>
      <w:r>
        <w:t xml:space="preserve">= 450, reduced to</w:t>
      </w:r>
      <w:r>
        <w:t xml:space="preserve"> </w:t>
      </w:r>
      <m:oMath>
        <m:sSub>
          <m:e>
            <m:r>
              <m:t>K</m:t>
            </m:r>
          </m:e>
          <m:sub>
            <m:r>
              <m:t>2</m:t>
            </m:r>
          </m:sub>
        </m:sSub>
      </m:oMath>
      <w:r>
        <w:t xml:space="preserve"> </w:t>
      </w:r>
      <w:r>
        <w:t xml:space="preserve">= 60 matches per variant in a backward re-scoring pass, then a top-</w:t>
      </w:r>
      <m:oMath>
        <m:sSub>
          <m:e>
            <m:r>
              <m:t>K</m:t>
            </m:r>
          </m:e>
          <m:sub>
            <m:r>
              <m:t>3</m:t>
            </m:r>
          </m:sub>
        </m:sSub>
      </m:oMath>
      <w:r>
        <w:t xml:space="preserve"> </w:t>
      </w:r>
      <w:r>
        <w:t xml:space="preserve">= 50 filter. Selphi 2 instead sizes the per-target candidate set adaptively. 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w:t>
      </w:r>
      <w:r>
        <w:t xml:space="preserve">(for example</w:t>
      </w:r>
      <w:r>
        <w:t xml:space="preserve"> </w:t>
      </w:r>
      <m:oMath>
        <m:sSub>
          <m:e>
            <m:r>
              <m:t>m</m:t>
            </m:r>
          </m:e>
          <m:sub>
            <m:r>
              <m:t>c</m:t>
            </m:r>
          </m:sub>
        </m:sSub>
        <m:r>
          <m:rPr>
            <m:sty m:val="p"/>
          </m:rPr>
          <m:t>=</m:t>
        </m:r>
        <m:r>
          <m:t>2</m:t>
        </m:r>
        <m:r>
          <m:rPr>
            <m:sty m:val="p"/>
          </m:rPr>
          <m:t>,</m:t>
        </m:r>
        <m:r>
          <m:t>500</m:t>
        </m:r>
      </m:oMath>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shared-variant positions (chip sites), imputed dosages at reference-panel-only positions are computed by linear interpolation of the HMM-derived haplotype weights, following the standard approach</w:t>
      </w:r>
      <w:r>
        <w:rPr>
          <w:vertAlign w:val="superscript"/>
        </w:rPr>
        <w:t xml:space="preserve">4,7</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pPr>
      <w:r>
        <w:t xml:space="preserve">The per-variant dosage R-squared (DR2) quality metric</w:t>
      </w:r>
      <w:r>
        <w:rPr>
          <w:vertAlign w:val="superscript"/>
        </w:rPr>
        <w:t xml:space="preserve">24</w:t>
      </w:r>
      <w:r>
        <w:t xml:space="preserve"> </w:t>
      </w:r>
      <w:r>
        <w:t xml:space="preserve">is computed using a numerically stable two-pass method:</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pPr>
      <w:r>
        <w:t xml:space="preserve">VCF output formatting performs no floating-point-to-string conversion at all. Dosages are quantized to the emitted precision (three decimals for DS, two for AP) and the quantized values index byte-slice lookup tables rendered once at start-up: a 2</w:t>
      </w:r>
      <w:r>
        <w:t xml:space="preserve"> </w:t>
      </w:r>
      <m:oMath>
        <m:r>
          <m:rPr>
            <m:sty m:val="p"/>
          </m:rPr>
          <m:t>×</m:t>
        </m:r>
      </m:oMath>
      <w:r>
        <w:t xml:space="preserve"> </w:t>
      </w:r>
      <w:r>
        <w:t xml:space="preserve">2</w:t>
      </w:r>
      <w:r>
        <w:t xml:space="preserve"> </w:t>
      </w:r>
      <m:oMath>
        <m:r>
          <m:rPr>
            <m:sty m:val="p"/>
          </m:rPr>
          <m:t>×</m:t>
        </m:r>
      </m:oMath>
      <w:r>
        <w:t xml:space="preserve"> </w:t>
      </w:r>
      <w:r>
        <w:t xml:space="preserve">2,001-entry table over (haplotype-1 call, haplotype-2 call, dosage index) emits an entire</w:t>
      </w:r>
      <w:r>
        <w:t xml:space="preserve"> </w:t>
      </w:r>
      <w:r>
        <w:rPr>
          <w:rStyle w:val="VerbatimChar"/>
        </w:rPr>
        <w:t xml:space="preserve">GT:DS</w:t>
      </w:r>
      <w:r>
        <w:t xml:space="preserve"> </w:t>
      </w:r>
      <w:r>
        <w:t xml:space="preserve">field as a single memory copy, and a 101</w:t>
      </w:r>
      <w:r>
        <w:t xml:space="preserve"> </w:t>
      </w:r>
      <m:oMath>
        <m:r>
          <m:rPr>
            <m:sty m:val="p"/>
          </m:rPr>
          <m:t>×</m:t>
        </m:r>
      </m:oMath>
      <w:r>
        <w:t xml:space="preserve"> </w:t>
      </w:r>
      <w:r>
        <w:t xml:space="preserve">101-entry table does the same for the paired</w:t>
      </w:r>
      <w:r>
        <w:t xml:space="preserve"> </w:t>
      </w:r>
      <w:r>
        <w:rPr>
          <w:rStyle w:val="VerbatimChar"/>
        </w:rPr>
        <w:t xml:space="preserve">AP1:AP2</w:t>
      </w:r>
      <w:r>
        <w:t xml:space="preserve"> </w:t>
      </w:r>
      <w:r>
        <w:t xml:space="preserve">field. Every sample at every variant takes this path, so per-sample formatting cost is constant and independent of the dosage value.</w:t>
      </w:r>
    </w:p>
    <w:p>
      <w:pPr>
        <w:pStyle w:val="BodyText"/>
      </w:pPr>
      <w:r>
        <w:t xml:space="preserve">Selphi 2 supports five output formats from a single interpolation pass: VCF.gz (multi-threaded BGZF compression), native BCF 2.2</w:t>
      </w:r>
      <w:r>
        <w:rPr>
          <w:vertAlign w:val="superscript"/>
        </w:rPr>
        <w:t xml:space="preserve">25</w:t>
      </w:r>
      <w:r>
        <w:t xml:space="preserve">, Apache Parquet (zstd-compressed, variant-major columnar layout), PLINK2 PGEN</w:t>
      </w:r>
      <w:r>
        <w:rPr>
          <w:vertAlign w:val="superscript"/>
        </w:rPr>
        <w:t xml:space="preserve">11</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t xml:space="preserve"> </w:t>
      </w:r>
      <w: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rPr>
          <w:vertAlign w:val="superscript"/>
        </w:rPr>
        <w:t xml:space="preserve">15</w:t>
      </w:r>
      <w:r>
        <w:t xml:space="preserve"> </w:t>
      </w:r>
      <w:r>
        <w:t xml:space="preserve">established that this regime is best addressed by imputing directly from genotype likelihoods rather than from hard calls; we benchmark against it in Results.</w:t>
      </w:r>
    </w:p>
    <w:p>
      <w:pPr>
        <w:pStyle w:val="BodyText"/>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(defaults MAPQ ≥ 20, base quality ≥ 20, at most 250 reads per site;</w:t>
      </w:r>
      <w:r>
        <w:t xml:space="preserve"> </w:t>
      </w:r>
      <w:r>
        <w:rPr>
          <w:rStyle w:val="VerbatimChar"/>
        </w:rPr>
        <w:t xml:space="preserve">LCWGS_MIN_MAPQ</w:t>
      </w:r>
      <w:r>
        <w:t xml:space="preserve">,</w:t>
      </w:r>
      <w:r>
        <w:t xml:space="preserve"> </w:t>
      </w:r>
      <w:r>
        <w:rPr>
          <w:rStyle w:val="VerbatimChar"/>
        </w:rPr>
        <w:t xml:space="preserve">LCWGS_MIN_BQ</w:t>
      </w:r>
      <w:r>
        <w:t xml:space="preserve">,</w:t>
      </w:r>
      <w:r>
        <w:t xml:space="preserve"> </w:t>
      </w:r>
      <w:r>
        <w:rPr>
          <w:rStyle w:val="VerbatimChar"/>
        </w:rPr>
        <w:t xml:space="preserve">LCWGS_MAX_DEPTH</w:t>
      </w:r>
      <w:r>
        <w:t xml:space="preserve">);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The selected set is capped at 2,000 haplotypes per sample (</w:t>
      </w:r>
      <w:r>
        <w:rPr>
          <w:rStyle w:val="VerbatimChar"/>
        </w:rPr>
        <w:t xml:space="preserve">LCWGS_KPBWT</w:t>
      </w:r>
      <w:r>
        <w:t xml:space="preserve">). With the default storage-site spacing of 0.002 cM the union of PBWT neighbours across a 16 cM chunk covers nearly the whole panel (5,708 to 6,332 of the 6,332 haplotypes of the coverage-sweep panel; 3,956 to 4,796 of the 4,796 of the capture-library panel), and the cap, applied in haplotype-index order, retains an almost fixed low-index subset, exactly haplotypes 0 to 1,999 in several measured chunks. The target-specific part of the conditioning set is therefore the per-haplotype rare-carrier augmentation described below, not the PBWT ranking itself. A cap in PBWT match-rank order (</w:t>
      </w:r>
      <w:r>
        <w:rPr>
          <w:rStyle w:val="VerbatimChar"/>
        </w:rPr>
        <w:t xml:space="preserve">LCWGS_QUAL_TRUNC</w:t>
      </w:r>
      <w:r>
        <w:t xml:space="preserve">;</w:t>
      </w:r>
      <w:r>
        <w:t xml:space="preserve"> </w:t>
      </w:r>
      <w:r>
        <w:rPr>
          <w:rStyle w:val="VerbatimChar"/>
        </w:rPr>
        <w:t xml:space="preserve">g2</w:t>
      </w:r>
      <w:r>
        <w:t xml:space="preserve"> </w:t>
      </w:r>
      <w:r>
        <w:t xml:space="preserve">reproduces GLIMPSE2’s order) raises the 0.5</w:t>
      </w:r>
      <m:oMath>
        <m:r>
          <m:rPr>
            <m:sty m:val="p"/>
          </m:rPr>
          <m:t>×</m:t>
        </m:r>
      </m:oMath>
      <w:r>
        <w:t xml:space="preserve"> </w:t>
      </w:r>
      <w:r>
        <w:t xml:space="preserve">ultra-rare bin of Table 2b from 0.8994 to 0.9059, above GLIMPSE2’s 0.9023, on each of three seeds, but lowers the 5-10% bin at 0.5</w:t>
      </w:r>
      <m:oMath>
        <m:r>
          <m:rPr>
            <m:sty m:val="p"/>
          </m:rPr>
          <m:t>×</m:t>
        </m:r>
      </m:oMath>
      <w:r>
        <w:t xml:space="preserve"> </w:t>
      </w:r>
      <w:r>
        <w:t xml:space="preserve">and the ultra-rare and 1-2% bins at 1</w:t>
      </w:r>
      <m:oMath>
        <m:r>
          <m:rPr>
            <m:sty m:val="p"/>
          </m:rPr>
          <m:t>×</m:t>
        </m:r>
      </m:oMath>
      <w:r>
        <w:t xml:space="preserve">, where the default already leads, so the index-order cap remains the default.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pPr>
      <w:r>
        <w:rPr>
          <w:i/>
          <w:iCs/>
        </w:rPr>
        <w:t xml:space="preserve">Base alignment quality.</w:t>
      </w:r>
      <w:r>
        <w:t xml:space="preserve"> </w:t>
      </w:r>
      <w:r>
        <w:t xml:space="preserve">The native pileup applies base alignment quality (BAQ)</w:t>
      </w:r>
      <w:r>
        <w:rPr>
          <w:vertAlign w:val="superscript"/>
        </w:rPr>
        <w:t xml:space="preserve">26</w:t>
      </w:r>
      <w:r>
        <w:t xml:space="preserve"> </w:t>
      </w:r>
      <w:r>
        <w:t xml:space="preserve">exactly as</w:t>
      </w:r>
      <w:r>
        <w:t xml:space="preserve"> </w:t>
      </w:r>
      <w:r>
        <w:rPr>
          <w:rStyle w:val="VerbatimChar"/>
        </w:rPr>
        <w:t xml:space="preserve">bcftools mpileup</w:t>
      </w:r>
      <w:r>
        <w:t xml:space="preserve"> </w:t>
      </w:r>
      <w:r>
        <w:t xml:space="preserve">does by default. Extended BAQ is computed by a bit-exact port of the htslib</w:t>
      </w:r>
      <w:r>
        <w:t xml:space="preserve"> </w:t>
      </w:r>
      <w:r>
        <w:rPr>
          <w:rStyle w:val="VerbatimChar"/>
        </w:rPr>
        <w:t xml:space="preserve">probaln_glocal</w:t>
      </w:r>
      <w:r>
        <w:t xml:space="preserve"> </w:t>
      </w:r>
      <w:r>
        <w:t xml:space="preserve">and</w:t>
      </w:r>
      <w:r>
        <w:t xml:space="preserve"> </w:t>
      </w:r>
      <w:r>
        <w:rPr>
          <w:rStyle w:val="VerbatimChar"/>
        </w:rPr>
        <w:t xml:space="preserve">sam_prob_realn</w:t>
      </w:r>
      <w:r>
        <w:t xml:space="preserve"> </w:t>
      </w:r>
      <w:r>
        <w:t xml:space="preserve">routines (on these libraries 28,596 of 28,596 reads receive base qualities identical to</w:t>
      </w:r>
      <w:r>
        <w:t xml:space="preserve"> </w:t>
      </w:r>
      <w:r>
        <w:rPr>
          <w:rStyle w:val="VerbatimChar"/>
        </w:rPr>
        <w:t xml:space="preserve">samtools calmd -r -E</w:t>
      </w:r>
      <w: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pPr>
      <w:r>
        <w:rPr>
          <w:i/>
          <w:iCs/>
        </w:rPr>
        <w:t xml:space="preserve">Gibbs schedule, phasing and recombination model.</w:t>
      </w:r>
      <w:r>
        <w:t xml:space="preserve"> </w:t>
      </w:r>
      <w:r>
        <w:t xml:space="preserve">The engine imputes each target sample independently against the reference panel with a genotype-likelihood-aware Li-Stephens forward-backward: sparse-PBWT conditioning-set selection (capped as described above), an eight-founder phasing HMM re-committed at each Gibbs iteration (opt-out</w:t>
      </w:r>
      <w:r>
        <w:t xml:space="preserve"> </w:t>
      </w:r>
      <w:r>
        <w:rPr>
          <w:rStyle w:val="VerbatimChar"/>
        </w:rPr>
        <w:t xml:space="preserve">LCWGS_NO_FOUNDER_PHASE=1</w:t>
      </w:r>
      <w: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t xml:space="preserve"> </w:t>
      </w:r>
      <w:r>
        <w:rPr>
          <w:rStyle w:val="VerbatimChar"/>
        </w:rPr>
        <w:t xml:space="preserve">LCWGS_RECOMB_DENOM=max</w:t>
      </w:r>
      <w:r>
        <w:t xml:space="preserve">. A rare-carrier-aware augmentation is applied at every Gibbs iteration (opt-out</w:t>
      </w:r>
      <w:r>
        <w:t xml:space="preserve"> </w:t>
      </w:r>
      <w:r>
        <w:rPr>
          <w:rStyle w:val="VerbatimChar"/>
        </w:rPr>
        <w:t xml:space="preserve">LCWGS_NO_RARE_CARRIER</w:t>
      </w:r>
      <w: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t xml:space="preserve"> </w:t>
      </w:r>
      <m:oMath>
        <m:rad>
          <m:radPr>
            <m:degHide m:val="on"/>
          </m:radPr>
          <m:deg/>
          <m:e>
            <m:r>
              <m:t>n</m:t>
            </m:r>
          </m:e>
        </m:rad>
      </m:oMath>
      <w:r>
        <w:t xml:space="preserve"> </w:t>
      </w:r>
      <w:r>
        <w:t xml:space="preserve">checkpoint columns and recomputed per block during the backward pass. The Gibbs iteration count and the cM window size are explicit accuracy/speed controls.</w:t>
      </w:r>
    </w:p>
    <w:p>
      <w:pPr>
        <w:pStyle w:val="BodyText"/>
      </w:pPr>
      <w:r>
        <w:rPr>
          <w:i/>
          <w:iCs/>
        </w:rPr>
        <w:t xml:space="preserve">Likelihood-file input.</w:t>
      </w:r>
      <w:r>
        <w:t xml:space="preserve"> </w:t>
      </w:r>
      <w:r>
        <w:t xml:space="preserve">Records without a</w:t>
      </w:r>
      <w:r>
        <w:t xml:space="preserve"> </w:t>
      </w:r>
      <w:r>
        <w:rPr>
          <w:rStyle w:val="VerbatimChar"/>
        </w:rPr>
        <w:t xml:space="preserve">PL</w:t>
      </w:r>
      <w:r>
        <w:t xml:space="preserve"> </w:t>
      </w:r>
      <w:r>
        <w:t xml:space="preserve">field (for example the indel records that</w:t>
      </w:r>
      <w:r>
        <w:t xml:space="preserve"> </w:t>
      </w:r>
      <w:r>
        <w:rPr>
          <w:rStyle w:val="VerbatimChar"/>
        </w:rPr>
        <w:t xml:space="preserve">bcftools call -C alleles</w:t>
      </w:r>
      <w:r>
        <w:t xml:space="preserve"> </w:t>
      </w:r>
      <w:r>
        <w:t xml:space="preserve">emits genotype-only when the alleles file contains indels but</w:t>
      </w:r>
      <w:r>
        <w:t xml:space="preserve"> </w:t>
      </w:r>
      <w:r>
        <w:rPr>
          <w:rStyle w:val="VerbatimChar"/>
        </w:rPr>
        <w:t xml:space="preserve">mpileup</w:t>
      </w:r>
      <w:r>
        <w:t xml:space="preserve"> </w:t>
      </w:r>
      <w:r>
        <w:t xml:space="preserve">ran with</w:t>
      </w:r>
      <w:r>
        <w:t xml:space="preserve"> </w:t>
      </w:r>
      <w:r>
        <w:rPr>
          <w:rStyle w:val="VerbatimChar"/>
        </w:rPr>
        <w:t xml:space="preserve">-I</w:t>
      </w:r>
      <w:r>
        <w:t xml:space="preserve">) are currently read as flat-likelihood target sites; a</w:t>
      </w:r>
      <w:r>
        <w:t xml:space="preserve"> </w:t>
      </w:r>
      <w:r>
        <w:rPr>
          <w:rStyle w:val="VerbatimChar"/>
        </w:rPr>
        <w:t xml:space="preserve">PL</w:t>
      </w:r>
      <w:r>
        <w:t xml:space="preserve"> </w:t>
      </w:r>
      <w:r>
        <w:t xml:space="preserve">VCF should therefore be restricted to records carrying likelihoods (</w:t>
      </w:r>
      <w:r>
        <w:rPr>
          <w:rStyle w:val="VerbatimChar"/>
        </w:rPr>
        <w:t xml:space="preserve">bcftools view -v snps</w:t>
      </w:r>
      <w:r>
        <w:t xml:space="preserve">), as in every likelihood-file run reported here, or the BAM path used instead (Limitations).</w:t>
      </w:r>
    </w:p>
    <w:p>
      <w:pPr>
        <w:pStyle w:val="BodyText"/>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t xml:space="preserve">panel matrix, so its memory is independent of panel haplotype count.</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pPr>
      <w:r>
        <w:t xml:space="preserve">SRP creation is fully streaming: source data (BCF, VCF, or BREF3</w:t>
      </w:r>
      <w:r>
        <w:rPr>
          <w:vertAlign w:val="superscript"/>
        </w:rPr>
        <w:t xml:space="preserve">5</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 is lossless, reproducing the panel genotypes byte-for-byte on an SRP round-trip (Results).</w:t>
      </w:r>
    </w:p>
    <w:p>
      <w:pPr>
        <w:pStyle w:val="BodyText"/>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bookmarkEnd w:id="21"/>
    <w:bookmarkStart w:id="22" w:name="multi-chromosome-processing"/>
    <w:p>
      <w:pPr>
        <w:pStyle w:val="Heading3"/>
      </w:pPr>
      <w:r>
        <w:rPr>
          <w:b/>
          <w:bCs/>
        </w:rPr>
        <w:t xml:space="preserve">Multi-chromosome processing</w:t>
      </w:r>
    </w:p>
    <w:p>
      <w:pPr>
        <w:pStyle w:val="FirstParagrap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pPr>
      <w:r>
        <w:t xml:space="preserve">Output is written to a single VCF/BCF file across all chromosomes, with per-chromosome BGZF blocks concatenated natively (preserving block alignment for tabix/CSI indexing).</w:t>
      </w:r>
    </w:p>
    <w:bookmarkEnd w:id="22"/>
    <w:bookmarkStart w:id="23" w:name="ld-correction"/>
    <w:p>
      <w:pPr>
        <w:pStyle w:val="Heading3"/>
      </w:pPr>
      <w:r>
        <w:rPr>
          <w:b/>
          <w:bCs/>
        </w:rPr>
        <w:t xml:space="preserve">LD correction</w:t>
      </w:r>
    </w:p>
    <w:p>
      <w:pPr>
        <w:pStyle w:val="FirstParagraph"/>
      </w:pPr>
      <w:r>
        <w:t xml:space="preserve">Genetic map distances used in the HMM transition probabilities are corrected for local linkage disequilibrium (LD) patterns</w:t>
      </w:r>
      <w:r>
        <w:rPr>
          <w:vertAlign w:val="superscript"/>
        </w:rPr>
        <w:t xml:space="preserve">27</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bookmarkEnd w:id="23"/>
    <w:bookmarkStart w:id="24" w:name="reference-panels-and-relatedness"/>
    <w:p>
      <w:pPr>
        <w:pStyle w:val="Heading3"/>
      </w:pPr>
      <w:r>
        <w:rPr>
          <w:b/>
          <w:bCs/>
        </w:rPr>
        <w:t xml:space="preserve">Reference panels and relatedness</w:t>
      </w:r>
    </w:p>
    <w:p>
      <w:pPr>
        <w:pStyle w:val="FirstParagraph"/>
      </w:pPr>
      <w:r>
        <w:t xml:space="preserve">Six reference panels are used. The</w:t>
      </w:r>
      <w:r>
        <w:t xml:space="preserve"> </w:t>
      </w:r>
      <w:r>
        <w:rPr>
          <w:b/>
          <w:bCs/>
        </w:rPr>
        <w:t xml:space="preserve">1000 Genomes Phase 3</w:t>
      </w:r>
      <w:r>
        <w:t xml:space="preserve"> </w:t>
      </w:r>
      <w:r>
        <w:t xml:space="preserve">panel (2,401 samples, 4,802 haplotypes) is used with its published phasing; the 801 evaluation targets are a disjoint held-out subset. The</w:t>
      </w:r>
      <w:r>
        <w:t xml:space="preserve"> </w:t>
      </w:r>
      <w:r>
        <w:rPr>
          <w:b/>
          <w:bCs/>
        </w:rPr>
        <w:t xml:space="preserve">no-trios</w:t>
      </w:r>
      <w:r>
        <w:t xml:space="preserve"> </w:t>
      </w:r>
      <w:r>
        <w:t xml:space="preserve">panel (2,239 samples, 4,478 haplotypes), used for the phasing benchmark and the downsampled low-coverage benchmark (Table 2), is the 1000 Genomes cohort with all declared trio offspring and parents removed. The</w:t>
      </w:r>
      <w:r>
        <w:t xml:space="preserve"> </w:t>
      </w:r>
      <w:r>
        <w:rPr>
          <w:b/>
          <w:bCs/>
        </w:rPr>
        <w:t xml:space="preserve">out-of-panel</w:t>
      </w:r>
      <w:r>
        <w:t xml:space="preserve"> </w:t>
      </w:r>
      <w:r>
        <w:t xml:space="preserve">benchmark uses the 3,166 1000 Genomes samples of the gnomAD Human Genome Diversity Project and 1000 Genomes harmonized callset (6,332 haplotypes) as the panel and the 925 HGDP individuals as targets; the same panel serves the coverage sweep (Table 2b). The</w:t>
      </w:r>
      <w:r>
        <w:t xml:space="preserve"> </w:t>
      </w:r>
      <w:r>
        <w:rPr>
          <w:b/>
          <w:bCs/>
        </w:rPr>
        <w:t xml:space="preserve">75,552-haplotype</w:t>
      </w:r>
      <w:r>
        <w:t xml:space="preserve"> </w:t>
      </w:r>
      <w:r>
        <w:t xml:space="preserve">panel (37,776 samples) combines 34,582 UK Biobank whole-genome sequences, ancestry-balanced by down-sampling the majority European-ancestry set, with the full 1000 Genomes cohort (3,194 samples), phased with SHAPEIT5</w:t>
      </w:r>
      <w:r>
        <w:rPr>
          <w:vertAlign w:val="superscript"/>
        </w:rPr>
        <w:t xml:space="preserve">9</w:t>
      </w:r>
      <w:r>
        <w:t xml:space="preserve">; its ancestry composition is approximately 49% European, 22% South Asian, 19% African, 10% East Asian and 1% admixed-American. The</w:t>
      </w:r>
      <w:r>
        <w:t xml:space="preserve"> </w:t>
      </w:r>
      <w:r>
        <w:rPr>
          <w:b/>
          <w:bCs/>
        </w:rPr>
        <w:t xml:space="preserve">TOPMed Freeze 8</w:t>
      </w:r>
      <w:r>
        <w:t xml:space="preserve"> </w:t>
      </w:r>
      <w:r>
        <w:t xml:space="preserve">panel (171,054 haplotypes, 85,527 samples) is a TOPMed Freeze 8 reference panel from which the MESA study samples were removed, so the 5,000 MESA evaluation targets are held out from it. The</w:t>
      </w:r>
      <w:r>
        <w:t xml:space="preserve"> </w:t>
      </w:r>
      <w:r>
        <w:rPr>
          <w:b/>
          <w:bCs/>
        </w:rPr>
        <w:t xml:space="preserve">NA12878-trio-removed 1000 Genomes</w:t>
      </w:r>
      <w:r>
        <w:t xml:space="preserve"> </w:t>
      </w:r>
      <w:r>
        <w:t xml:space="preserve">panel (2,398 samples, 4,796 haplotypes) is the NYGC 30</w:t>
      </w:r>
      <m:oMath>
        <m:r>
          <m:rPr>
            <m:sty m:val="p"/>
          </m:rPr>
          <m:t>×</m:t>
        </m:r>
      </m:oMath>
      <w:r>
        <w:t xml:space="preserve"> </w:t>
      </w:r>
      <w: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pPr>
      <w: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t xml:space="preserve"> </w:t>
      </w:r>
      <w:r>
        <w:rPr>
          <w:i/>
          <w:iCs/>
        </w:rPr>
        <w:t xml:space="preserve">evaluation targets</w:t>
      </w:r>
      <w: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bookmarkEnd w:id="24"/>
    <w:bookmarkStart w:id="25"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w:t>
      </w:r>
      <w:r>
        <w:t xml:space="preserve"> </w:t>
      </w:r>
      <w:r>
        <w:rPr>
          <w:i/>
          <w:iCs/>
        </w:rPr>
        <w:t xml:space="preserve">Imputation accuracy on consumer arrays against high-coverage WGS truth</w:t>
      </w:r>
      <w: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13% of raw calls on average across the six samples (9% to 14% per sample; e.g. 4.98M to 4.34M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bookmarkEnd w:id="25"/>
    <w:bookmarkStart w:id="26" w:name="Xa5f5f858e84e2ea9a54af716240de0f20cf5b8d"/>
    <w:p>
      <w:pPr>
        <w:pStyle w:val="Heading3"/>
      </w:pPr>
      <w:r>
        <w:rPr>
          <w:b/>
          <w:bCs/>
        </w:rPr>
        <w:t xml:space="preserve">Capture-plus-low-pass GIAB benchmark: data, processing and evaluation</w:t>
      </w:r>
    </w:p>
    <w:p>
      <w:pPr>
        <w:pStyle w:val="FirstParagraph"/>
      </w:pPr>
      <w:r>
        <w:rPr>
          <w:i/>
          <w:iCs/>
        </w:rPr>
        <w:t xml:space="preserve">Libraries.</w:t>
      </w:r>
      <w:r>
        <w:t xml:space="preserve"> </w:t>
      </w:r>
      <w:r>
        <w:t xml:space="preserve">Six GIAB reference samples (HG002-HG007; HG002 = NA24385, HG003 = NA24149, HG004 = NA24143, HG005 = NA24631, HG006 = NA24694, HG007 = NA24695) were sequenced by Gene by Gene, Ltd. (Houston, TX, USA) on an MGI DNBSEQ instrument (2</w:t>
      </w:r>
      <w:r>
        <w:t xml:space="preserve"> </w:t>
      </w:r>
      <m:oMath>
        <m:r>
          <m:rPr>
            <m:sty m:val="p"/>
          </m:rPr>
          <m:t>×</m:t>
        </m:r>
      </m:oMath>
      <w:r>
        <w:t xml:space="preserve"> </w:t>
      </w:r>
      <w:r>
        <w:t xml:space="preserve">150 bp; adapters pre-trimmed; 27-46 M read pairs per sample) from a hybridization-capture library whose baits target the 613,711 autosomal biallelic Global Screening Array (GSA) SNP sites. Reads were aligned with bwa-mem 0.7.19-r1273 (</w:t>
      </w:r>
      <w:r>
        <w:rPr>
          <w:rStyle w:val="VerbatimChar"/>
        </w:rPr>
        <w:t xml:space="preserve">-K 100000000 -Y</w:t>
      </w:r>
      <w:r>
        <w:t xml:space="preserve">) to GRCh38_full_analysis_set_plus_decoy_hla and processed with samtools 1.22</w:t>
      </w:r>
      <w:r>
        <w:t xml:space="preserve"> </w:t>
      </w:r>
      <w:r>
        <w:rPr>
          <w:rStyle w:val="VerbatimChar"/>
        </w:rPr>
        <w:t xml:space="preserve">fixmate</w:t>
      </w:r>
      <w:r>
        <w:t xml:space="preserve">,</w:t>
      </w:r>
      <w:r>
        <w:t xml:space="preserve"> </w:t>
      </w:r>
      <w:r>
        <w:rPr>
          <w:rStyle w:val="VerbatimChar"/>
        </w:rPr>
        <w:t xml:space="preserve">sort</w:t>
      </w:r>
      <w:r>
        <w:t xml:space="preserve"> </w:t>
      </w:r>
      <w:r>
        <w:t xml:space="preserve">and</w:t>
      </w:r>
      <w:r>
        <w:t xml:space="preserve"> </w:t>
      </w:r>
      <w:r>
        <w:rPr>
          <w:rStyle w:val="VerbatimChar"/>
        </w:rPr>
        <w:t xml:space="preserve">markdup</w:t>
      </w:r>
      <w:r>
        <w:t xml:space="preserve"> </w:t>
      </w:r>
      <w:r>
        <w:t xml:space="preserve">(duplicates marked, not removed; 4.8% in HG002); coverage was profiled with mosdepth 0.3.10. Between 71% and 73% of reads fall within ±150 bp of an array site; on-target depth is 28.1-52.1</w:t>
      </w:r>
      <m:oMath>
        <m:r>
          <m:rPr>
            <m:sty m:val="p"/>
          </m:rPr>
          <m:t>×</m:t>
        </m:r>
      </m:oMath>
      <w:r>
        <w:t xml:space="preserve">, the off-target background 1.6-2.7</w:t>
      </w:r>
      <m:oMath>
        <m:r>
          <m:rPr>
            <m:sty m:val="p"/>
          </m:rPr>
          <m:t>×</m:t>
        </m:r>
      </m:oMath>
      <w:r>
        <w:t xml:space="preserve">, and the autosome-wide mean 2.68-4.71</w:t>
      </w:r>
      <m:oMath>
        <m:r>
          <m:rPr>
            <m:sty m:val="p"/>
          </m:rPr>
          <m:t>×</m:t>
        </m:r>
      </m:oMath>
      <w:r>
        <w:t xml:space="preserve"> </w:t>
      </w:r>
      <w:r>
        <w:t xml:space="preserve">including on-target reads (chromosome 22: 2.38-4.17</w:t>
      </w:r>
      <m:oMath>
        <m:r>
          <m:rPr>
            <m:sty m:val="p"/>
          </m:rPr>
          <m:t>×</m:t>
        </m:r>
      </m:oMath>
      <w: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pPr>
      <w:r>
        <w:rPr>
          <w:i/>
          <w:iCs/>
        </w:rPr>
        <w:t xml:space="preserve">Array-equivalent route.</w:t>
      </w:r>
      <w:r>
        <w:t xml:space="preserve"> </w:t>
      </w:r>
      <w:r>
        <w:t xml:space="preserve">Genotypes were called only at the GSA sites with bcftools 1.22 (</w:t>
      </w:r>
      <w:r>
        <w:rPr>
          <w:rStyle w:val="VerbatimChar"/>
        </w:rPr>
        <w:t xml:space="preserve">mpileup -a AD,DP -q 20 -Q 20 -d 500</w:t>
      </w:r>
      <w:r>
        <w:t xml:space="preserve"> </w:t>
      </w:r>
      <w:r>
        <w:t xml:space="preserve">restricted to the GSA sites, piped to</w:t>
      </w:r>
      <w:r>
        <w:t xml:space="preserve"> </w:t>
      </w:r>
      <w:r>
        <w:rPr>
          <w:rStyle w:val="VerbatimChar"/>
        </w:rPr>
        <w:t xml:space="preserve">call -m -A -C alleles</w:t>
      </w:r>
      <w:r>
        <w:t xml:space="preserve">); no-calls were dropped (8,672-8,721 called chromosome-22 sites per sample) and the genotype VCF was imputed with</w:t>
      </w:r>
      <w:r>
        <w:t xml:space="preserve"> </w:t>
      </w:r>
      <w:r>
        <w:rPr>
          <w:rStyle w:val="VerbatimChar"/>
        </w:rPr>
        <w:t xml:space="preserve">selphi</w:t>
      </w:r>
      <w:r>
        <w:t xml:space="preserve"> </w:t>
      </w:r>
      <w:r>
        <w:t xml:space="preserve">at its defaults, which auto-route it to the array (genotype) engine.</w:t>
      </w:r>
    </w:p>
    <w:p>
      <w:pPr>
        <w:pStyle w:val="BodyText"/>
      </w:pPr>
      <w:r>
        <w:rPr>
          <w:i/>
          <w:iCs/>
        </w:rPr>
        <w:t xml:space="preserve">Likelihood routes.</w:t>
      </w:r>
      <w:r>
        <w:t xml:space="preserve"> </w:t>
      </w:r>
      <w:r>
        <w:t xml:space="preserve">For the likelihood-file arm, bcftools 1.22</w:t>
      </w:r>
      <w:r>
        <w:t xml:space="preserve"> </w:t>
      </w:r>
      <w:r>
        <w:rPr>
          <w:rStyle w:val="VerbatimChar"/>
        </w:rPr>
        <w:t xml:space="preserve">mpileup -I -E -a DP -q 20 -Q 20</w:t>
      </w:r>
      <w:r>
        <w:t xml:space="preserve"> </w:t>
      </w:r>
      <w:r>
        <w:t xml:space="preserve">was restricted to the panel SNP sites and piped to</w:t>
      </w:r>
      <w:r>
        <w:t xml:space="preserve"> </w:t>
      </w:r>
      <w:r>
        <w:rPr>
          <w:rStyle w:val="VerbatimChar"/>
        </w:rPr>
        <w:t xml:space="preserve">call -Aim -C alleles</w:t>
      </w:r>
      <w:r>
        <w:t xml:space="preserve"> </w:t>
      </w:r>
      <w:r>
        <w:t xml:space="preserve">with a SNP-only alleles file (929,834 rows on chromosome 22); the</w:t>
      </w:r>
      <w:r>
        <w:t xml:space="preserve"> </w:t>
      </w:r>
      <w:r>
        <w:rPr>
          <w:rStyle w:val="VerbatimChar"/>
        </w:rPr>
        <w:t xml:space="preserve">PL</w:t>
      </w:r>
      <w:r>
        <w:t xml:space="preserve"> </w:t>
      </w:r>
      <w:r>
        <w:t xml:space="preserve">VCF was imputed with</w:t>
      </w:r>
      <w:r>
        <w:t xml:space="preserve"> </w:t>
      </w:r>
      <w:r>
        <w:rPr>
          <w:rStyle w:val="VerbatimChar"/>
        </w:rPr>
        <w:t xml:space="preserve">selphi --lcwgs --input</w:t>
      </w:r>
      <w:r>
        <w:t xml:space="preserve">. For the native arm the BAM was imputed directly with</w:t>
      </w:r>
      <w:r>
        <w:t xml:space="preserve"> </w:t>
      </w:r>
      <w:r>
        <w:rPr>
          <w:rStyle w:val="VerbatimChar"/>
        </w:rPr>
        <w:t xml:space="preserve">selphi --lcwgs --bam</w:t>
      </w:r>
      <w:r>
        <w:t xml:space="preserve"> </w:t>
      </w:r>
      <w:r>
        <w:t xml:space="preserve">(MAPQ ≥ 20, base quality ≥ 20, BAQ as above). Both arms used the unfiltered 1,070,399-site chromosome-22 panel.</w:t>
      </w:r>
    </w:p>
    <w:p>
      <w:pPr>
        <w:pStyle w:val="BodyText"/>
      </w:pPr>
      <w:r>
        <w:rPr>
          <w:i/>
          <w:iCs/>
        </w:rPr>
        <w:t xml:space="preserve">GLIMPSE2.</w:t>
      </w:r>
      <w:r>
        <w:t xml:space="preserve"> </w:t>
      </w:r>
      <w:r>
        <w:t xml:space="preserve">GLIMPSE2 v2.0.0 (commit 2cee597, 6 May 2026) was run from the BAM (</w:t>
      </w:r>
      <w:r>
        <w:rPr>
          <w:rStyle w:val="VerbatimChar"/>
        </w:rPr>
        <w:t xml:space="preserve">GLIMPSE2_phase --bam-file</w:t>
      </w:r>
      <w:r>
        <w:t xml:space="preserve">) at its defaults (5 burn-in and 15 main iterations,</w:t>
      </w:r>
      <w:r>
        <w:t xml:space="preserve"> </w:t>
      </w:r>
      <m:oMath>
        <m:sSub>
          <m:e>
            <m:r>
              <m:t>N</m:t>
            </m:r>
          </m:e>
          <m:sub>
            <m:r>
              <m:t>e</m:t>
            </m:r>
          </m:sub>
        </m:sSub>
      </m:oMath>
      <w:r>
        <w:t xml:space="preserve"> </w:t>
      </w:r>
      <w:r>
        <w:t xml:space="preserve">= 100,000, Kinit = 1,000, Kpbwt = 2,000, MAPQ ≥ 10, base quality ≥ 10, maximum depth 40) over 16 chromosome-22 chunks run sequentially with</w:t>
      </w:r>
      <w:r>
        <w:t xml:space="preserve"> </w:t>
      </w:r>
      <w:r>
        <w:rPr>
          <w:rStyle w:val="VerbatimChar"/>
        </w:rPr>
        <w:t xml:space="preserve">--threads 16</w:t>
      </w:r>
      <w:r>
        <w:t xml:space="preserve">, followed by</w:t>
      </w:r>
      <w:r>
        <w:t xml:space="preserve"> </w:t>
      </w:r>
      <w:r>
        <w:rPr>
          <w:rStyle w:val="VerbatimChar"/>
        </w:rPr>
        <w:t xml:space="preserve">GLIMPSE2_ligate</w:t>
      </w:r>
      <w:r>
        <w:t xml:space="preserve">. Its</w:t>
      </w:r>
      <w:r>
        <w:t xml:space="preserve"> </w:t>
      </w:r>
      <w:r>
        <w:rPr>
          <w:rStyle w:val="VerbatimChar"/>
        </w:rPr>
        <w:t xml:space="preserve">--bam-file</w:t>
      </w:r>
      <w:r>
        <w:t xml:space="preserve"> </w:t>
      </w:r>
      <w: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pPr>
      <w:r>
        <w:rPr>
          <w:i/>
          <w:iCs/>
        </w:rPr>
        <w:t xml:space="preserve">Truth.</w:t>
      </w:r>
      <w:r>
        <w:t xml:space="preserve"> </w:t>
      </w:r>
      <w:r>
        <w:t xml:space="preserve">The GIAB v4.2.1 benchmark VCF and high-confidence BED of each sample (chromosome 22: the per-sample BEDs; chromosomes 20, 10 and 1: the</w:t>
      </w:r>
      <w:r>
        <w:t xml:space="preserve"> </w:t>
      </w:r>
      <w:r>
        <w:rPr>
          <w:rStyle w:val="VerbatimChar"/>
        </w:rPr>
        <w:t xml:space="preserve">*_noinconsistent.bed</w:t>
      </w:r>
      <w:r>
        <w:t xml:space="preserve"> </w:t>
      </w:r>
      <w:r>
        <w:t xml:space="preserve">files for HG002-HG004 and the</w:t>
      </w:r>
      <w:r>
        <w:t xml:space="preserve"> </w:t>
      </w:r>
      <w:r>
        <w:rPr>
          <w:rStyle w:val="VerbatimChar"/>
        </w:rPr>
        <w:t xml:space="preserve">*_benchmark.bed</w:t>
      </w:r>
      <w:r>
        <w:t xml:space="preserve"> </w:t>
      </w:r>
      <w:r>
        <w:t xml:space="preserve">files for HG005-HG007).</w:t>
      </w:r>
    </w:p>
    <w:p>
      <w:pPr>
        <w:pStyle w:val="BodyText"/>
      </w:pPr>
      <w:r>
        <w:rPr>
          <w:i/>
          <w:iCs/>
        </w:rPr>
        <w:t xml:space="preserve">Scoring.</w:t>
      </w:r>
      <w:r>
        <w:t xml:space="preserve"> </w:t>
      </w:r>
      <w: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t xml:space="preserve"> </w:t>
      </w:r>
      <m:oMath>
        <m:sSup>
          <m:e>
            <m:r>
              <m:t>R</m:t>
            </m:r>
          </m:e>
          <m:sup>
            <m:r>
              <m:t>2</m:t>
            </m:r>
          </m:sup>
        </m:sSup>
      </m:oMath>
      <w:r>
        <w:t xml:space="preserve"> </w:t>
      </w:r>
      <w:r>
        <w:t xml:space="preserve">of the downsampled benchmark, and per-MAF strata are reported alongside every aggregate. MAF is</w:t>
      </w:r>
      <w: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t xml:space="preserve"> </w:t>
      </w:r>
      <w:r>
        <w:t xml:space="preserve">from</w:t>
      </w:r>
      <w:r>
        <w:t xml:space="preserve"> </w:t>
      </w:r>
      <w:r>
        <w:rPr>
          <w:rStyle w:val="VerbatimChar"/>
        </w:rPr>
        <w:t xml:space="preserve">bcftools +fill-tags</w:t>
      </w:r>
      <w:r>
        <w:t xml:space="preserve"> </w:t>
      </w:r>
      <w:r>
        <w:t xml:space="preserve">on the 2,398-sample panel, in three strata: below 0.5%, 0.5-5% and 5% or more.</w:t>
      </w:r>
    </w:p>
    <w:p>
      <w:pPr>
        <w:pStyle w:val="BodyText"/>
      </w:pPr>
      <w:r>
        <w:rPr>
          <w:i/>
          <w:iCs/>
        </w:rPr>
        <w:t xml:space="preserve">Statistics.</w:t>
      </w:r>
      <w:r>
        <w:t xml:space="preserve"> </w:t>
      </w:r>
      <w:r>
        <w:t xml:space="preserve">As for the consumer-array benchmark: mean paired difference in percentage points (pp), 95% CI from 20,000 paired bootstrap resamples of the six per-sample differences (numpy</w:t>
      </w:r>
      <w:r>
        <w:t xml:space="preserve"> </w:t>
      </w:r>
      <w:r>
        <w:rPr>
          <w:rStyle w:val="VerbatimChar"/>
        </w:rPr>
        <w:t xml:space="preserve">default_rng</w:t>
      </w:r>
      <w: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pPr>
      <w:r>
        <w:rPr>
          <w:i/>
          <w:iCs/>
        </w:rPr>
        <w:t xml:space="preserve">Timing.</w:t>
      </w:r>
      <w:r>
        <w:t xml:space="preserve"> </w:t>
      </w:r>
      <w:r>
        <w:t xml:space="preserve">Wall time and peak resident memory were measured with</w:t>
      </w:r>
      <w:r>
        <w:t xml:space="preserve"> </w:t>
      </w:r>
      <w:r>
        <w:rPr>
          <w:rStyle w:val="VerbatimChar"/>
        </w:rPr>
        <w:t xml:space="preserve">/usr/bin/time -v</w:t>
      </w:r>
      <w:r>
        <w:t xml:space="preserve"> </w:t>
      </w:r>
      <w:r>
        <w:t xml:space="preserve">on an otherwise idle 16-core host, one job at a time, from the BAM to the imputed VCF for both tools; GLIMPSE2’s time is the sum of its chunk, phase and ligate steps.</w:t>
      </w:r>
    </w:p>
    <w:p>
      <w:pPr>
        <w:pStyle w:val="BodyText"/>
      </w:pPr>
      <w:r>
        <w:rPr>
          <w:i/>
          <w:iCs/>
        </w:rPr>
        <w:t xml:space="preserve">Determinism.</w:t>
      </w:r>
      <w:r>
        <w:t xml:space="preserve"> </w:t>
      </w:r>
      <w:r>
        <w:t xml:space="preserve">Re-running the six chromosome-22 samples with a later build reproduces every concordance statistic to four decimals.</w:t>
      </w:r>
    </w:p>
    <w:bookmarkEnd w:id="26"/>
    <w:bookmarkStart w:id="27" w:name="comparator-tools-and-versions"/>
    <w:p>
      <w:pPr>
        <w:pStyle w:val="Heading3"/>
      </w:pPr>
      <w:r>
        <w:rPr>
          <w:b/>
          <w:bCs/>
        </w:rPr>
        <w:t xml:space="preserve">Comparator tools and versions</w:t>
      </w:r>
    </w:p>
    <w:p>
      <w:pPr>
        <w:pStyle w:val="FirstParagraph"/>
      </w:pPr>
      <w: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t xml:space="preserve"> </w:t>
      </w:r>
      <w:r>
        <w:rPr>
          <w:rStyle w:val="VerbatimChar"/>
        </w:rPr>
        <w:t xml:space="preserve">bref3</w:t>
      </w:r>
      <w:r>
        <w:t xml:space="preserve"> </w:t>
      </w:r>
      <w:r>
        <w:t xml:space="preserve">form. IMPUTE5 v1.1.5 was run after converting the panel with</w:t>
      </w:r>
      <w:r>
        <w:t xml:space="preserve"> </w:t>
      </w:r>
      <w:r>
        <w:rPr>
          <w:rStyle w:val="VerbatimChar"/>
        </w:rPr>
        <w:t xml:space="preserve">imp5Convert</w:t>
      </w:r>
      <w:r>
        <w:t xml:space="preserve">, and Minimac4 v4.1.6 after converting the panel to</w:t>
      </w:r>
      <w:r>
        <w:t xml:space="preserve"> </w:t>
      </w:r>
      <w:r>
        <w:rPr>
          <w:rStyle w:val="VerbatimChar"/>
        </w:rPr>
        <w:t xml:space="preserve">msav</w:t>
      </w:r>
      <w:r>
        <w:t xml:space="preserve"> </w:t>
      </w:r>
      <w:r>
        <w:t xml:space="preserve">(the current Minimac4 panel format; the deprecated</w:t>
      </w:r>
      <w:r>
        <w:t xml:space="preserve"> </w:t>
      </w:r>
      <w:r>
        <w:rPr>
          <w:rStyle w:val="VerbatimChar"/>
        </w:rPr>
        <w:t xml:space="preserve">m3vcf</w:t>
      </w:r>
      <w:r>
        <w:t xml:space="preserve"> </w:t>
      </w:r>
      <w:r>
        <w:t xml:space="preserve">was not used). Phasing was compared against SHAPEIT5 v5.1.1 (</w:t>
      </w:r>
      <w:r>
        <w:rPr>
          <w:rStyle w:val="VerbatimChar"/>
        </w:rPr>
        <w:t xml:space="preserve">phase_common</w:t>
      </w:r>
      <w:r>
        <w:t xml:space="preserve"> </w:t>
      </w:r>
      <w:r>
        <w:t xml:space="preserve">followed by</w:t>
      </w:r>
      <w:r>
        <w:t xml:space="preserve"> </w:t>
      </w:r>
      <w:r>
        <w:rPr>
          <w:rStyle w:val="VerbatimChar"/>
        </w:rPr>
        <w:t xml:space="preserve">phase_rare</w:t>
      </w:r>
      <w:r>
        <w:t xml:space="preserve">). Low-coverage imputation was compared against GLIMPSE2 v2.0.0 (commit 2cee597; native</w:t>
      </w:r>
      <w:r>
        <w:t xml:space="preserve"> </w:t>
      </w:r>
      <w:r>
        <w:rPr>
          <w:rStyle w:val="VerbatimChar"/>
        </w:rPr>
        <w:t xml:space="preserve">chunk</w:t>
      </w:r>
      <w:r>
        <w:t xml:space="preserve">/</w:t>
      </w:r>
      <w:r>
        <w:rPr>
          <w:rStyle w:val="VerbatimChar"/>
        </w:rPr>
        <w:t xml:space="preserve">phase</w:t>
      </w:r>
      <w:r>
        <w:t xml:space="preserve">/</w:t>
      </w:r>
      <w:r>
        <w:rPr>
          <w:rStyle w:val="VerbatimChar"/>
        </w:rPr>
        <w:t xml:space="preserve">ligate</w:t>
      </w:r>
      <w: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t xml:space="preserve"> </w:t>
      </w:r>
      <w:r>
        <w:rPr>
          <w:rStyle w:val="VerbatimChar"/>
        </w:rPr>
        <w:t xml:space="preserve">--chunk_size 10000</w:t>
      </w:r>
      <w:r>
        <w:t xml:space="preserve"> </w:t>
      </w:r>
      <w:r>
        <w:t xml:space="preserve">configuration. We verified that these defaults do not disadvantage the comparators: on the 1000 Genomes chromosome-22 benchmark, varying Beagle 5.5’s window from 20 to 80 cM changed its overall</w:t>
      </w:r>
      <w:r>
        <w:t xml:space="preserve"> </w:t>
      </w:r>
      <m:oMath>
        <m:sSup>
          <m:e>
            <m:r>
              <m:t>R</m:t>
            </m:r>
          </m:e>
          <m:sup>
            <m:r>
              <m:t>2</m:t>
            </m:r>
          </m:sup>
        </m:sSup>
      </m:oMath>
      <w:r>
        <w:t xml:space="preserve"> </w:t>
      </w:r>
      <w:r>
        <w:t xml:space="preserve">by less than 0.0001, consistent with the near-insensitivity to window size reported by its authors; IMPUTE5’s and Minimac4’s default conditioning-state and blocking parameters are likewise the settings their authors recommend for large reference panels.</w:t>
      </w:r>
    </w:p>
    <w:bookmarkEnd w:id="27"/>
    <w:bookmarkEnd w:id="28"/>
    <w:bookmarkEnd w:id="29"/>
    <w:bookmarkStart w:id="51" w:name="results"/>
    <w:p>
      <w:pPr>
        <w:pStyle w:val="Heading1"/>
      </w:pPr>
      <w:r>
        <w:rPr>
          <w:b/>
          <w:bCs/>
        </w:rPr>
        <w:t xml:space="preserve">Results</w:t>
      </w:r>
    </w:p>
    <w:p>
      <w:pPr>
        <w:pStyle w:val="FirstParagraph"/>
      </w:pPr>
      <w: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t xml:space="preserve"> </w:t>
      </w:r>
      <w:r>
        <w:t xml:space="preserve">GIAB genomes uniformly downsampled to 0.5-4</w:t>
      </w:r>
      <m:oMath>
        <m:r>
          <m:rPr>
            <m:sty m:val="p"/>
          </m:rPr>
          <m:t>×</m:t>
        </m:r>
      </m:oMath>
      <w:r>
        <w:t xml:space="preserve">, scored by dosage</w:t>
      </w:r>
      <w:r>
        <w:t xml:space="preserve"> </w:t>
      </w:r>
      <m:oMath>
        <m:sSup>
          <m:e>
            <m:r>
              <m:t>R</m:t>
            </m:r>
          </m:e>
          <m:sup>
            <m:r>
              <m:t>2</m:t>
            </m:r>
          </m:sup>
        </m:sSup>
      </m:oMath>
      <w:r>
        <w:t xml:space="preserve"> </w:t>
      </w:r>
      <w: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r>
        <w:rPr>
          <w:vertAlign w:val="superscript"/>
        </w:rPr>
        <w:t xml:space="preserve">13</w:t>
      </w:r>
      <w:r>
        <w:t xml:space="preserve"> </w:t>
      </w:r>
      <w:r>
        <w:t xml:space="preserve">(4,802 haplotypes), the TOPMed Freeze 8 panel</w:t>
      </w:r>
      <w:r>
        <w:rPr>
          <w:vertAlign w:val="superscript"/>
        </w:rPr>
        <w:t xml:space="preserve">14</w:t>
      </w:r>
      <w:r>
        <w:t xml:space="preserve"> </w:t>
      </w:r>
      <w: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bookmarkStart w:id="30" w:name="X718eb32e15a244f5ba5c9d34b51236fccd74772"/>
    <w:p>
      <w:pPr>
        <w:pStyle w:val="Heading2"/>
      </w:pPr>
      <w:r>
        <w:rPr>
          <w:b/>
          <w:bCs/>
        </w:rPr>
        <w:t xml:space="preserve">Genotype-likelihood imputation of capture-plus-low-pass libraries: a regime change over array-equivalent processing</w:t>
      </w:r>
    </w:p>
    <w:p>
      <w:pPr>
        <w:pStyle w:val="FirstParagraph"/>
      </w:pPr>
      <w:r>
        <w:t xml:space="preserve">Six GIAB reference samples (HG002-HG007, the Ashkenazi and Han Chinese trios; HG002 = NA24385, HG003 = NA24149, HG004 = NA24143, HG005 = NA24631, HG006 = NA24694, HG007 = NA24695) were sequenced by Gene by Gene on an MGI DNBSEQ instrument (2</w:t>
      </w:r>
      <w:r>
        <w:t xml:space="preserve"> </w:t>
      </w:r>
      <m:oMath>
        <m:r>
          <m:rPr>
            <m:sty m:val="p"/>
          </m:rPr>
          <m:t>×</m:t>
        </m:r>
      </m:oMath>
      <w:r>
        <w:t xml:space="preserve"> </w:t>
      </w:r>
      <w: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t xml:space="preserve">, the off-target background 1.6-2.7</w:t>
      </w:r>
      <m:oMath>
        <m:r>
          <m:rPr>
            <m:sty m:val="p"/>
          </m:rPr>
          <m:t>×</m:t>
        </m:r>
      </m:oMath>
      <w:r>
        <w:t xml:space="preserve"> </w:t>
      </w:r>
      <w:r>
        <w:t xml:space="preserve">and the autosome-wide mean 2.68-4.71</w:t>
      </w:r>
      <m:oMath>
        <m:r>
          <m:rPr>
            <m:sty m:val="p"/>
          </m:rPr>
          <m:t>×</m:t>
        </m:r>
      </m:oMath>
      <w:r>
        <w:t xml:space="preserve"> </w:t>
      </w:r>
      <w:r>
        <w:t xml:space="preserve">including on-target reads (chromosome 22: 2.38-4.17</w:t>
      </w:r>
      <m:oMath>
        <m:r>
          <m:rPr>
            <m:sty m:val="p"/>
          </m:rPr>
          <m:t>×</m:t>
        </m:r>
      </m:oMath>
      <w: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t xml:space="preserve"> </w:t>
      </w:r>
      <w:r>
        <w:t xml:space="preserve">GRCh38 call set with the NA12878 trio removed (Methods); none of HG002-HG007 is a 1000 Genomes sample. The 9,144 typed GSA sites on chromosome 22 are excluded from every untyped-site statistic.</w:t>
      </w:r>
    </w:p>
    <w:p>
      <w:pPr>
        <w:pStyle w:val="BodyText"/>
      </w:pPr>
      <w: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Style w:val="VerbatimChar"/>
        </w:rPr>
        <w:t xml:space="preserve">--lcwgs</w:t>
      </w:r>
      <w:r>
        <w:t xml:space="preserve">) imputes from bcftools genotype likelihoods at all 929,834 panel SNP sites. Both are scored on Selphi 2’s own emitted site list (700,109-723,251 evaluated untyped sites per sample) against the GIAB v4.2.1 high-confidence truth.</w:t>
      </w:r>
    </w:p>
    <w:p>
      <w:pPr>
        <w:pStyle w:val="BodyText"/>
      </w:pPr>
      <w: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pPr>
      <w:r>
        <w:rPr>
          <w:b/>
          <w:bCs/>
        </w:rPr>
        <w:t xml:space="preserve">Table 1. Genotype-likelihood imputation versus array-equivalent processing of the same capture libraries (chromosome 22).</w:t>
      </w:r>
      <w:r>
        <w:t xml:space="preserve"> </w:t>
      </w:r>
      <w: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t xml:space="preserve"> </w:t>
      </w:r>
      <w:r>
        <w:rPr>
          <w:rStyle w:val="VerbatimChar"/>
        </w:rPr>
        <w:t xml:space="preserve">--lcwgs</w:t>
      </w:r>
      <w:r>
        <w:t xml:space="preserve"> </w:t>
      </w:r>
      <w: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Sample</w:t>
            </w:r>
          </w:p>
        </w:tc>
        <w:tc>
          <w:tcPr/>
          <w:p>
            <w:pPr>
              <w:pStyle w:val="Compact"/>
            </w:pPr>
            <w:r>
              <w:t xml:space="preserve">Untyped sites evaluated</w:t>
            </w:r>
          </w:p>
        </w:tc>
        <w:tc>
          <w:tcPr/>
          <w:p>
            <w:pPr>
              <w:pStyle w:val="Compact"/>
            </w:pPr>
            <w:r>
              <w:t xml:space="preserve">Non-ref concordance %, array route</w:t>
            </w:r>
          </w:p>
        </w:tc>
        <w:tc>
          <w:tcPr/>
          <w:p>
            <w:pPr>
              <w:pStyle w:val="Compact"/>
            </w:pPr>
            <w:r>
              <w:t xml:space="preserve">GL engine</w:t>
            </w:r>
          </w:p>
        </w:tc>
        <w:tc>
          <w:tcPr/>
          <w:p>
            <w:pPr>
              <w:pStyle w:val="Compact"/>
            </w:pPr>
            <w:r>
              <w:t xml:space="preserve">Δ pp</w:t>
            </w:r>
          </w:p>
        </w:tc>
        <w:tc>
          <w:tcPr/>
          <w:p>
            <w:pPr>
              <w:pStyle w:val="Compact"/>
            </w:pPr>
            <w:r>
              <w:t xml:space="preserve">Het recall %, array route</w:t>
            </w:r>
          </w:p>
        </w:tc>
        <w:tc>
          <w:tcPr/>
          <w:p>
            <w:pPr>
              <w:pStyle w:val="Compact"/>
            </w:pPr>
            <w:r>
              <w:t xml:space="preserve">GL engine</w:t>
            </w:r>
          </w:p>
        </w:tc>
        <w:tc>
          <w:tcPr/>
          <w:p>
            <w:pPr>
              <w:pStyle w:val="Compact"/>
            </w:pPr>
            <w:r>
              <w:t xml:space="preserve">Δ pp</w:t>
            </w:r>
          </w:p>
        </w:tc>
        <w:tc>
          <w:tcPr/>
          <w:p>
            <w:pPr>
              <w:pStyle w:val="Compact"/>
            </w:pPr>
            <w:r>
              <w:t xml:space="preserve">Het precision %, array route</w:t>
            </w:r>
          </w:p>
        </w:tc>
        <w:tc>
          <w:tcPr/>
          <w:p>
            <w:pPr>
              <w:pStyle w:val="Compact"/>
            </w:pPr>
            <w:r>
              <w:t xml:space="preserve">GL engine</w:t>
            </w:r>
          </w:p>
        </w:tc>
      </w:tr>
      <w:tr>
        <w:tc>
          <w:tcPr/>
          <w:p>
            <w:pPr>
              <w:pStyle w:val="Compact"/>
            </w:pPr>
            <w:r>
              <w:t xml:space="preserve">HG002</w:t>
            </w:r>
          </w:p>
        </w:tc>
        <w:tc>
          <w:tcPr/>
          <w:p>
            <w:pPr>
              <w:pStyle w:val="Compact"/>
            </w:pPr>
            <w:r>
              <w:t xml:space="preserve">723,251</w:t>
            </w:r>
          </w:p>
        </w:tc>
        <w:tc>
          <w:tcPr/>
          <w:p>
            <w:pPr>
              <w:pStyle w:val="Compact"/>
            </w:pPr>
            <w:r>
              <w:t xml:space="preserve">71.44</w:t>
            </w:r>
          </w:p>
        </w:tc>
        <w:tc>
          <w:tcPr/>
          <w:p>
            <w:pPr>
              <w:pStyle w:val="Compact"/>
            </w:pPr>
            <w:r>
              <w:rPr>
                <w:b/>
                <w:bCs/>
              </w:rPr>
              <w:t xml:space="preserve">98.17</w:t>
            </w:r>
          </w:p>
        </w:tc>
        <w:tc>
          <w:tcPr/>
          <w:p>
            <w:pPr>
              <w:pStyle w:val="Compact"/>
            </w:pPr>
            <w:r>
              <w:t xml:space="preserve">+26.73</w:t>
            </w:r>
          </w:p>
        </w:tc>
        <w:tc>
          <w:tcPr/>
          <w:p>
            <w:pPr>
              <w:pStyle w:val="Compact"/>
            </w:pPr>
            <w:r>
              <w:t xml:space="preserve">57.88</w:t>
            </w:r>
          </w:p>
        </w:tc>
        <w:tc>
          <w:tcPr/>
          <w:p>
            <w:pPr>
              <w:pStyle w:val="Compact"/>
            </w:pPr>
            <w:r>
              <w:rPr>
                <w:b/>
                <w:bCs/>
              </w:rPr>
              <w:t xml:space="preserve">97.51</w:t>
            </w:r>
          </w:p>
        </w:tc>
        <w:tc>
          <w:tcPr/>
          <w:p>
            <w:pPr>
              <w:pStyle w:val="Compact"/>
            </w:pPr>
            <w:r>
              <w:t xml:space="preserve">+39.63</w:t>
            </w:r>
          </w:p>
        </w:tc>
        <w:tc>
          <w:tcPr/>
          <w:p>
            <w:pPr>
              <w:pStyle w:val="Compact"/>
            </w:pPr>
            <w:r>
              <w:t xml:space="preserve">93.19</w:t>
            </w:r>
          </w:p>
        </w:tc>
        <w:tc>
          <w:tcPr/>
          <w:p>
            <w:pPr>
              <w:pStyle w:val="Compact"/>
            </w:pPr>
            <w:r>
              <w:rPr>
                <w:b/>
                <w:bCs/>
              </w:rPr>
              <w:t xml:space="preserve">97.75</w:t>
            </w:r>
          </w:p>
        </w:tc>
      </w:tr>
      <w:tr>
        <w:tc>
          <w:tcPr/>
          <w:p>
            <w:pPr>
              <w:pStyle w:val="Compact"/>
            </w:pPr>
            <w:r>
              <w:t xml:space="preserve">HG003</w:t>
            </w:r>
          </w:p>
        </w:tc>
        <w:tc>
          <w:tcPr/>
          <w:p>
            <w:pPr>
              <w:pStyle w:val="Compact"/>
            </w:pPr>
            <w:r>
              <w:t xml:space="preserve">713,863</w:t>
            </w:r>
          </w:p>
        </w:tc>
        <w:tc>
          <w:tcPr/>
          <w:p>
            <w:pPr>
              <w:pStyle w:val="Compact"/>
            </w:pPr>
            <w:r>
              <w:t xml:space="preserve">73.37</w:t>
            </w:r>
          </w:p>
        </w:tc>
        <w:tc>
          <w:tcPr/>
          <w:p>
            <w:pPr>
              <w:pStyle w:val="Compact"/>
            </w:pPr>
            <w:r>
              <w:rPr>
                <w:b/>
                <w:bCs/>
              </w:rPr>
              <w:t xml:space="preserve">98.10</w:t>
            </w:r>
          </w:p>
        </w:tc>
        <w:tc>
          <w:tcPr/>
          <w:p>
            <w:pPr>
              <w:pStyle w:val="Compact"/>
            </w:pPr>
            <w:r>
              <w:t xml:space="preserve">+24.74</w:t>
            </w:r>
          </w:p>
        </w:tc>
        <w:tc>
          <w:tcPr/>
          <w:p>
            <w:pPr>
              <w:pStyle w:val="Compact"/>
            </w:pPr>
            <w:r>
              <w:t xml:space="preserve">61.63</w:t>
            </w:r>
          </w:p>
        </w:tc>
        <w:tc>
          <w:tcPr/>
          <w:p>
            <w:pPr>
              <w:pStyle w:val="Compact"/>
            </w:pPr>
            <w:r>
              <w:rPr>
                <w:b/>
                <w:bCs/>
              </w:rPr>
              <w:t xml:space="preserve">97.51</w:t>
            </w:r>
          </w:p>
        </w:tc>
        <w:tc>
          <w:tcPr/>
          <w:p>
            <w:pPr>
              <w:pStyle w:val="Compact"/>
            </w:pPr>
            <w:r>
              <w:t xml:space="preserve">+35.88</w:t>
            </w:r>
          </w:p>
        </w:tc>
        <w:tc>
          <w:tcPr/>
          <w:p>
            <w:pPr>
              <w:pStyle w:val="Compact"/>
            </w:pPr>
            <w:r>
              <w:t xml:space="preserve">93.07</w:t>
            </w:r>
          </w:p>
        </w:tc>
        <w:tc>
          <w:tcPr/>
          <w:p>
            <w:pPr>
              <w:pStyle w:val="Compact"/>
            </w:pPr>
            <w:r>
              <w:rPr>
                <w:b/>
                <w:bCs/>
              </w:rPr>
              <w:t xml:space="preserve">97.55</w:t>
            </w:r>
          </w:p>
        </w:tc>
      </w:tr>
      <w:tr>
        <w:tc>
          <w:tcPr/>
          <w:p>
            <w:pPr>
              <w:pStyle w:val="Compact"/>
            </w:pPr>
            <w:r>
              <w:t xml:space="preserve">HG004</w:t>
            </w:r>
          </w:p>
        </w:tc>
        <w:tc>
          <w:tcPr/>
          <w:p>
            <w:pPr>
              <w:pStyle w:val="Compact"/>
            </w:pPr>
            <w:r>
              <w:t xml:space="preserve">711,235</w:t>
            </w:r>
          </w:p>
        </w:tc>
        <w:tc>
          <w:tcPr/>
          <w:p>
            <w:pPr>
              <w:pStyle w:val="Compact"/>
            </w:pPr>
            <w:r>
              <w:t xml:space="preserve">68.27</w:t>
            </w:r>
          </w:p>
        </w:tc>
        <w:tc>
          <w:tcPr/>
          <w:p>
            <w:pPr>
              <w:pStyle w:val="Compact"/>
            </w:pPr>
            <w:r>
              <w:rPr>
                <w:b/>
                <w:bCs/>
              </w:rPr>
              <w:t xml:space="preserve">97.86</w:t>
            </w:r>
          </w:p>
        </w:tc>
        <w:tc>
          <w:tcPr/>
          <w:p>
            <w:pPr>
              <w:pStyle w:val="Compact"/>
            </w:pPr>
            <w:r>
              <w:t xml:space="preserve">+29.59</w:t>
            </w:r>
          </w:p>
        </w:tc>
        <w:tc>
          <w:tcPr/>
          <w:p>
            <w:pPr>
              <w:pStyle w:val="Compact"/>
            </w:pPr>
            <w:r>
              <w:t xml:space="preserve">52.59</w:t>
            </w:r>
          </w:p>
        </w:tc>
        <w:tc>
          <w:tcPr/>
          <w:p>
            <w:pPr>
              <w:pStyle w:val="Compact"/>
            </w:pPr>
            <w:r>
              <w:rPr>
                <w:b/>
                <w:bCs/>
              </w:rPr>
              <w:t xml:space="preserve">97.30</w:t>
            </w:r>
          </w:p>
        </w:tc>
        <w:tc>
          <w:tcPr/>
          <w:p>
            <w:pPr>
              <w:pStyle w:val="Compact"/>
            </w:pPr>
            <w:r>
              <w:t xml:space="preserve">+44.71</w:t>
            </w:r>
          </w:p>
        </w:tc>
        <w:tc>
          <w:tcPr/>
          <w:p>
            <w:pPr>
              <w:pStyle w:val="Compact"/>
            </w:pPr>
            <w:r>
              <w:t xml:space="preserve">92.78</w:t>
            </w:r>
          </w:p>
        </w:tc>
        <w:tc>
          <w:tcPr/>
          <w:p>
            <w:pPr>
              <w:pStyle w:val="Compact"/>
            </w:pPr>
            <w:r>
              <w:rPr>
                <w:b/>
                <w:bCs/>
              </w:rPr>
              <w:t xml:space="preserve">97.23</w:t>
            </w:r>
          </w:p>
        </w:tc>
      </w:tr>
      <w:tr>
        <w:tc>
          <w:tcPr/>
          <w:p>
            <w:pPr>
              <w:pStyle w:val="Compact"/>
            </w:pPr>
            <w:r>
              <w:t xml:space="preserve">HG005</w:t>
            </w:r>
          </w:p>
        </w:tc>
        <w:tc>
          <w:tcPr/>
          <w:p>
            <w:pPr>
              <w:pStyle w:val="Compact"/>
            </w:pPr>
            <w:r>
              <w:t xml:space="preserve">700,109</w:t>
            </w:r>
          </w:p>
        </w:tc>
        <w:tc>
          <w:tcPr/>
          <w:p>
            <w:pPr>
              <w:pStyle w:val="Compact"/>
            </w:pPr>
            <w:r>
              <w:t xml:space="preserve">73.37</w:t>
            </w:r>
          </w:p>
        </w:tc>
        <w:tc>
          <w:tcPr/>
          <w:p>
            <w:pPr>
              <w:pStyle w:val="Compact"/>
            </w:pPr>
            <w:r>
              <w:rPr>
                <w:b/>
                <w:bCs/>
              </w:rPr>
              <w:t xml:space="preserve">97.71</w:t>
            </w:r>
          </w:p>
        </w:tc>
        <w:tc>
          <w:tcPr/>
          <w:p>
            <w:pPr>
              <w:pStyle w:val="Compact"/>
            </w:pPr>
            <w:r>
              <w:t xml:space="preserve">+24.34</w:t>
            </w:r>
          </w:p>
        </w:tc>
        <w:tc>
          <w:tcPr/>
          <w:p>
            <w:pPr>
              <w:pStyle w:val="Compact"/>
            </w:pPr>
            <w:r>
              <w:t xml:space="preserve">58.09</w:t>
            </w:r>
          </w:p>
        </w:tc>
        <w:tc>
          <w:tcPr/>
          <w:p>
            <w:pPr>
              <w:pStyle w:val="Compact"/>
            </w:pPr>
            <w:r>
              <w:rPr>
                <w:b/>
                <w:bCs/>
              </w:rPr>
              <w:t xml:space="preserve">96.92</w:t>
            </w:r>
          </w:p>
        </w:tc>
        <w:tc>
          <w:tcPr/>
          <w:p>
            <w:pPr>
              <w:pStyle w:val="Compact"/>
            </w:pPr>
            <w:r>
              <w:t xml:space="preserve">+38.82</w:t>
            </w:r>
          </w:p>
        </w:tc>
        <w:tc>
          <w:tcPr/>
          <w:p>
            <w:pPr>
              <w:pStyle w:val="Compact"/>
            </w:pPr>
            <w:r>
              <w:t xml:space="preserve">91.77</w:t>
            </w:r>
          </w:p>
        </w:tc>
        <w:tc>
          <w:tcPr/>
          <w:p>
            <w:pPr>
              <w:pStyle w:val="Compact"/>
            </w:pPr>
            <w:r>
              <w:rPr>
                <w:b/>
                <w:bCs/>
              </w:rPr>
              <w:t xml:space="preserve">97.64</w:t>
            </w:r>
          </w:p>
        </w:tc>
      </w:tr>
      <w:tr>
        <w:tc>
          <w:tcPr/>
          <w:p>
            <w:pPr>
              <w:pStyle w:val="Compact"/>
            </w:pPr>
            <w:r>
              <w:t xml:space="preserve">HG006</w:t>
            </w:r>
          </w:p>
        </w:tc>
        <w:tc>
          <w:tcPr/>
          <w:p>
            <w:pPr>
              <w:pStyle w:val="Compact"/>
            </w:pPr>
            <w:r>
              <w:t xml:space="preserve">707,197</w:t>
            </w:r>
          </w:p>
        </w:tc>
        <w:tc>
          <w:tcPr/>
          <w:p>
            <w:pPr>
              <w:pStyle w:val="Compact"/>
            </w:pPr>
            <w:r>
              <w:t xml:space="preserve">74.86</w:t>
            </w:r>
          </w:p>
        </w:tc>
        <w:tc>
          <w:tcPr/>
          <w:p>
            <w:pPr>
              <w:pStyle w:val="Compact"/>
            </w:pPr>
            <w:r>
              <w:rPr>
                <w:b/>
                <w:bCs/>
              </w:rPr>
              <w:t xml:space="preserve">98.08</w:t>
            </w:r>
          </w:p>
        </w:tc>
        <w:tc>
          <w:tcPr/>
          <w:p>
            <w:pPr>
              <w:pStyle w:val="Compact"/>
            </w:pPr>
            <w:r>
              <w:t xml:space="preserve">+23.21</w:t>
            </w:r>
          </w:p>
        </w:tc>
        <w:tc>
          <w:tcPr/>
          <w:p>
            <w:pPr>
              <w:pStyle w:val="Compact"/>
            </w:pPr>
            <w:r>
              <w:t xml:space="preserve">55.86</w:t>
            </w:r>
          </w:p>
        </w:tc>
        <w:tc>
          <w:tcPr/>
          <w:p>
            <w:pPr>
              <w:pStyle w:val="Compact"/>
            </w:pPr>
            <w:r>
              <w:rPr>
                <w:b/>
                <w:bCs/>
              </w:rPr>
              <w:t xml:space="preserve">97.09</w:t>
            </w:r>
          </w:p>
        </w:tc>
        <w:tc>
          <w:tcPr/>
          <w:p>
            <w:pPr>
              <w:pStyle w:val="Compact"/>
            </w:pPr>
            <w:r>
              <w:t xml:space="preserve">+41.23</w:t>
            </w:r>
          </w:p>
        </w:tc>
        <w:tc>
          <w:tcPr/>
          <w:p>
            <w:pPr>
              <w:pStyle w:val="Compact"/>
            </w:pPr>
            <w:r>
              <w:t xml:space="preserve">91.98</w:t>
            </w:r>
          </w:p>
        </w:tc>
        <w:tc>
          <w:tcPr/>
          <w:p>
            <w:pPr>
              <w:pStyle w:val="Compact"/>
            </w:pPr>
            <w:r>
              <w:rPr>
                <w:b/>
                <w:bCs/>
              </w:rPr>
              <w:t xml:space="preserve">97.24</w:t>
            </w:r>
          </w:p>
        </w:tc>
      </w:tr>
      <w:tr>
        <w:tc>
          <w:tcPr/>
          <w:p>
            <w:pPr>
              <w:pStyle w:val="Compact"/>
            </w:pPr>
            <w:r>
              <w:t xml:space="preserve">HG007</w:t>
            </w:r>
          </w:p>
        </w:tc>
        <w:tc>
          <w:tcPr/>
          <w:p>
            <w:pPr>
              <w:pStyle w:val="Compact"/>
            </w:pPr>
            <w:r>
              <w:t xml:space="preserve">706,411</w:t>
            </w:r>
          </w:p>
        </w:tc>
        <w:tc>
          <w:tcPr/>
          <w:p>
            <w:pPr>
              <w:pStyle w:val="Compact"/>
            </w:pPr>
            <w:r>
              <w:t xml:space="preserve">75.38</w:t>
            </w:r>
          </w:p>
        </w:tc>
        <w:tc>
          <w:tcPr/>
          <w:p>
            <w:pPr>
              <w:pStyle w:val="Compact"/>
            </w:pPr>
            <w:r>
              <w:rPr>
                <w:b/>
                <w:bCs/>
              </w:rPr>
              <w:t xml:space="preserve">97.32</w:t>
            </w:r>
          </w:p>
        </w:tc>
        <w:tc>
          <w:tcPr/>
          <w:p>
            <w:pPr>
              <w:pStyle w:val="Compact"/>
            </w:pPr>
            <w:r>
              <w:t xml:space="preserve">+21.95</w:t>
            </w:r>
          </w:p>
        </w:tc>
        <w:tc>
          <w:tcPr/>
          <w:p>
            <w:pPr>
              <w:pStyle w:val="Compact"/>
            </w:pPr>
            <w:r>
              <w:t xml:space="preserve">61.65</w:t>
            </w:r>
          </w:p>
        </w:tc>
        <w:tc>
          <w:tcPr/>
          <w:p>
            <w:pPr>
              <w:pStyle w:val="Compact"/>
            </w:pPr>
            <w:r>
              <w:rPr>
                <w:b/>
                <w:bCs/>
              </w:rPr>
              <w:t xml:space="preserve">96.38</w:t>
            </w:r>
          </w:p>
        </w:tc>
        <w:tc>
          <w:tcPr/>
          <w:p>
            <w:pPr>
              <w:pStyle w:val="Compact"/>
            </w:pPr>
            <w:r>
              <w:t xml:space="preserve">+34.73</w:t>
            </w:r>
          </w:p>
        </w:tc>
        <w:tc>
          <w:tcPr/>
          <w:p>
            <w:pPr>
              <w:pStyle w:val="Compact"/>
            </w:pPr>
            <w:r>
              <w:t xml:space="preserve">93.74</w:t>
            </w:r>
          </w:p>
        </w:tc>
        <w:tc>
          <w:tcPr/>
          <w:p>
            <w:pPr>
              <w:pStyle w:val="Compact"/>
            </w:pPr>
            <w:r>
              <w:rPr>
                <w:b/>
                <w:bCs/>
              </w:rPr>
              <w:t xml:space="preserve">96.98</w:t>
            </w:r>
          </w:p>
        </w:tc>
      </w:tr>
      <w:tr>
        <w:tc>
          <w:tcPr/>
          <w:p>
            <w:pPr>
              <w:pStyle w:val="Compact"/>
            </w:pPr>
            <w:r>
              <w:t xml:space="preserve">Mean</w:t>
            </w:r>
          </w:p>
        </w:tc>
        <w:tc>
          <w:tcPr/>
          <w:p>
            <w:pPr>
              <w:pStyle w:val="Compact"/>
            </w:pPr>
          </w:p>
        </w:tc>
        <w:tc>
          <w:tcPr/>
          <w:p>
            <w:pPr>
              <w:pStyle w:val="Compact"/>
            </w:pPr>
            <w:r>
              <w:t xml:space="preserve">72.78</w:t>
            </w:r>
          </w:p>
        </w:tc>
        <w:tc>
          <w:tcPr/>
          <w:p>
            <w:pPr>
              <w:pStyle w:val="Compact"/>
            </w:pPr>
            <w:r>
              <w:rPr>
                <w:b/>
                <w:bCs/>
              </w:rPr>
              <w:t xml:space="preserve">97.88</w:t>
            </w:r>
          </w:p>
        </w:tc>
        <w:tc>
          <w:tcPr/>
          <w:p>
            <w:pPr>
              <w:pStyle w:val="Compact"/>
            </w:pPr>
            <w:r>
              <w:t xml:space="preserve">+25.09</w:t>
            </w:r>
          </w:p>
        </w:tc>
        <w:tc>
          <w:tcPr/>
          <w:p>
            <w:pPr>
              <w:pStyle w:val="Compact"/>
            </w:pPr>
            <w:r>
              <w:t xml:space="preserve">57.95</w:t>
            </w:r>
          </w:p>
        </w:tc>
        <w:tc>
          <w:tcPr/>
          <w:p>
            <w:pPr>
              <w:pStyle w:val="Compact"/>
            </w:pPr>
            <w:r>
              <w:rPr>
                <w:b/>
                <w:bCs/>
              </w:rPr>
              <w:t xml:space="preserve">97.12</w:t>
            </w:r>
          </w:p>
        </w:tc>
        <w:tc>
          <w:tcPr/>
          <w:p>
            <w:pPr>
              <w:pStyle w:val="Compact"/>
            </w:pPr>
            <w:r>
              <w:t xml:space="preserve">+39.17</w:t>
            </w:r>
          </w:p>
        </w:tc>
        <w:tc>
          <w:tcPr/>
          <w:p>
            <w:pPr>
              <w:pStyle w:val="Compact"/>
            </w:pPr>
            <w:r>
              <w:t xml:space="preserve">92.75</w:t>
            </w:r>
          </w:p>
        </w:tc>
        <w:tc>
          <w:tcPr/>
          <w:p>
            <w:pPr>
              <w:pStyle w:val="Compact"/>
            </w:pPr>
            <w:r>
              <w:rPr>
                <w:b/>
                <w:bCs/>
              </w:rPr>
              <w:t xml:space="preserve">97.40</w:t>
            </w:r>
          </w:p>
        </w:tc>
      </w:tr>
    </w:tbl>
    <w:bookmarkEnd w:id="30"/>
    <w:bookmarkStart w:id="34" w:name="Xbe5809b9d49a0c9e47905b0a06ef2ab05435360"/>
    <w:p>
      <w:pPr>
        <w:pStyle w:val="Heading2"/>
      </w:pPr>
      <w:r>
        <w:rPr>
          <w:b/>
          <w:bCs/>
        </w:rPr>
        <w:t xml:space="preserve">Head-to-head with GLIMPSE2 on the capture libraries</w:t>
      </w:r>
    </w:p>
    <w:p>
      <w:pPr>
        <w:pStyle w:val="FirstParagraph"/>
      </w:pPr>
      <w:r>
        <w:t xml:space="preserve">We then compared the likelihood engine with GLIMPSE2</w:t>
      </w:r>
      <w:r>
        <w:rPr>
          <w:vertAlign w:val="superscript"/>
        </w:rPr>
        <w:t xml:space="preserve">15</w:t>
      </w:r>
      <w:r>
        <w:t xml:space="preserve"> </w:t>
      </w:r>
      <w: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Style w:val="VerbatimChar"/>
        </w:rPr>
        <w:t xml:space="preserve">--bam-file</w:t>
      </w:r>
      <w:r>
        <w:t xml:space="preserve">, 16 chunks, ligated) against the panel restricted to its 1,015,993 polymorphic sites (Methods). Selphi 2 was run in two arms: (i) its native pileup (</w:t>
      </w:r>
      <w:r>
        <w:rPr>
          <w:rStyle w:val="VerbatimChar"/>
        </w:rPr>
        <w:t xml:space="preserve">--bam</w:t>
      </w:r>
      <w: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pPr>
      <w: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t xml:space="preserve"> </w:t>
      </w:r>
      <w:r>
        <w:rPr>
          <w:rStyle w:val="VerbatimChar"/>
        </w:rPr>
        <w:t xml:space="preserve">bcftools mpileup</w:t>
      </w:r>
      <w:r>
        <w:t xml:space="preserve"> </w:t>
      </w:r>
      <w:r>
        <w:t xml:space="preserve">applies by default and GLIMPSE2’s pileup does not (Methods), it gives +0.19 pp.</w:t>
      </w:r>
    </w:p>
    <w:p>
      <w:pPr>
        <w:pStyle w:val="BodyText"/>
      </w:pPr>
      <w: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t xml:space="preserve"> </w:t>
      </w:r>
      <m:oMath>
        <m:sSup>
          <m:e>
            <m:r>
              <m:t>R</m:t>
            </m:r>
          </m:e>
          <m:sup>
            <m:r>
              <m:t>2</m:t>
            </m:r>
          </m:sup>
        </m:sSup>
      </m:oMath>
      <w:r>
        <w:t xml:space="preserve"> </w:t>
      </w:r>
      <w: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pPr>
      <w: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t xml:space="preserve">, and twelve samples (the six libraries plus six relabelled duplicates, timing only) 313 s (26 s per sample; 16.5 GB) against 460 s (38 s per sample), 1.5</w:t>
      </w:r>
      <m:oMath>
        <m:r>
          <m:rPr>
            <m:sty m:val="p"/>
          </m:rPr>
          <m:t>×</m:t>
        </m:r>
      </m:oMath>
      <w: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pPr>
      <w:r>
        <w:rPr>
          <w:b/>
          <w:bCs/>
        </w:rPr>
        <w:t xml:space="preserve">Table 1b. Selphi 2 versus GLIMPSE2 on the capture libraries, chromosome 22, identical site lists.</w:t>
      </w:r>
      <w:r>
        <w:t xml:space="preserve"> </w:t>
      </w:r>
      <w: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w:t>
      </w:r>
      <w:r>
        <w:t xml:space="preserve"> </w:t>
      </w:r>
      <w:r>
        <w:t xml:space="preserve">“native”</w:t>
      </w:r>
      <w:r>
        <w:t xml:space="preserve">) or from bcftools-mpileup likelihoods (</w:t>
      </w:r>
      <w:r>
        <w:t xml:space="preserve">“bcftools”</w:t>
      </w:r>
      <w:r>
        <w:t xml:space="preserve">).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Sample</w:t>
            </w:r>
          </w:p>
        </w:tc>
        <w:tc>
          <w:tcPr/>
          <w:p>
            <w:pPr>
              <w:pStyle w:val="Compact"/>
            </w:pPr>
            <w:r>
              <w:t xml:space="preserve">Sites</w:t>
            </w:r>
          </w:p>
        </w:tc>
        <w:tc>
          <w:tcPr/>
          <w:p>
            <w:pPr>
              <w:pStyle w:val="Compact"/>
            </w:pPr>
            <w:r>
              <w:t xml:space="preserve">Non-ref %, G2</w:t>
            </w:r>
          </w:p>
        </w:tc>
        <w:tc>
          <w:tcPr/>
          <w:p>
            <w:pPr>
              <w:pStyle w:val="Compact"/>
            </w:pPr>
            <w:r>
              <w:t xml:space="preserve">native</w:t>
            </w:r>
          </w:p>
        </w:tc>
        <w:tc>
          <w:tcPr/>
          <w:p>
            <w:pPr>
              <w:pStyle w:val="Compact"/>
            </w:pPr>
            <w:r>
              <w:t xml:space="preserve">bcftools</w:t>
            </w:r>
          </w:p>
        </w:tc>
        <w:tc>
          <w:tcPr/>
          <w:p>
            <w:pPr>
              <w:pStyle w:val="Compact"/>
            </w:pPr>
            <w:r>
              <w:t xml:space="preserve">Het recall %, G2</w:t>
            </w:r>
          </w:p>
        </w:tc>
        <w:tc>
          <w:tcPr/>
          <w:p>
            <w:pPr>
              <w:pStyle w:val="Compact"/>
            </w:pPr>
            <w:r>
              <w:t xml:space="preserve">native</w:t>
            </w:r>
          </w:p>
        </w:tc>
        <w:tc>
          <w:tcPr/>
          <w:p>
            <w:pPr>
              <w:pStyle w:val="Compact"/>
            </w:pPr>
            <w:r>
              <w:t xml:space="preserve">bcftools</w:t>
            </w:r>
          </w:p>
        </w:tc>
        <w:tc>
          <w:tcPr/>
          <w:p>
            <w:pPr>
              <w:pStyle w:val="Compact"/>
            </w:pPr>
            <w:r>
              <w:t xml:space="preserve">Het precision %, G2</w:t>
            </w:r>
          </w:p>
        </w:tc>
        <w:tc>
          <w:tcPr/>
          <w:p>
            <w:pPr>
              <w:pStyle w:val="Compact"/>
            </w:pPr>
            <w:r>
              <w:t xml:space="preserve">native</w:t>
            </w:r>
          </w:p>
        </w:tc>
        <w:tc>
          <w:tcPr/>
          <w:p>
            <w:pPr>
              <w:pStyle w:val="Compact"/>
            </w:pPr>
            <w:r>
              <w:t xml:space="preserve">bcftools</w:t>
            </w:r>
          </w:p>
        </w:tc>
        <w:tc>
          <w:tcPr/>
          <w:p>
            <w:pPr>
              <w:pStyle w:val="Compact"/>
            </w:pPr>
            <w:r>
              <w:t xml:space="preserve">Overall %, G2</w:t>
            </w:r>
          </w:p>
        </w:tc>
        <w:tc>
          <w:tcPr/>
          <w:p>
            <w:pPr>
              <w:pStyle w:val="Compact"/>
            </w:pPr>
            <w:r>
              <w:t xml:space="preserve">native</w:t>
            </w:r>
          </w:p>
        </w:tc>
        <w:tc>
          <w:tcPr/>
          <w:p>
            <w:pPr>
              <w:pStyle w:val="Compact"/>
            </w:pPr>
            <w:r>
              <w:t xml:space="preserve">bcftools</w:t>
            </w:r>
          </w:p>
        </w:tc>
      </w:tr>
      <w:tr>
        <w:tc>
          <w:tcPr/>
          <w:p>
            <w:pPr>
              <w:pStyle w:val="Compact"/>
            </w:pPr>
            <w:r>
              <w:t xml:space="preserve">HG002</w:t>
            </w:r>
          </w:p>
        </w:tc>
        <w:tc>
          <w:tcPr/>
          <w:p>
            <w:pPr>
              <w:pStyle w:val="Compact"/>
            </w:pPr>
            <w:r>
              <w:t xml:space="preserve">684,142</w:t>
            </w:r>
          </w:p>
        </w:tc>
        <w:tc>
          <w:tcPr/>
          <w:p>
            <w:pPr>
              <w:pStyle w:val="Compact"/>
            </w:pPr>
            <w:r>
              <w:t xml:space="preserve">97.705</w:t>
            </w:r>
          </w:p>
        </w:tc>
        <w:tc>
          <w:tcPr/>
          <w:p>
            <w:pPr>
              <w:pStyle w:val="Compact"/>
            </w:pPr>
            <w:r>
              <w:t xml:space="preserve">98.169</w:t>
            </w:r>
          </w:p>
        </w:tc>
        <w:tc>
          <w:tcPr/>
          <w:p>
            <w:pPr>
              <w:pStyle w:val="Compact"/>
            </w:pPr>
            <w:r>
              <w:rPr>
                <w:b/>
                <w:bCs/>
              </w:rPr>
              <w:t xml:space="preserve">98.188</w:t>
            </w:r>
          </w:p>
        </w:tc>
        <w:tc>
          <w:tcPr/>
          <w:p>
            <w:pPr>
              <w:pStyle w:val="Compact"/>
            </w:pPr>
            <w:r>
              <w:t xml:space="preserve">96.844</w:t>
            </w:r>
          </w:p>
        </w:tc>
        <w:tc>
          <w:tcPr/>
          <w:p>
            <w:pPr>
              <w:pStyle w:val="Compact"/>
            </w:pPr>
            <w:r>
              <w:t xml:space="preserve">97.502</w:t>
            </w:r>
          </w:p>
        </w:tc>
        <w:tc>
          <w:tcPr/>
          <w:p>
            <w:pPr>
              <w:pStyle w:val="Compact"/>
            </w:pPr>
            <w:r>
              <w:rPr>
                <w:b/>
                <w:bCs/>
              </w:rPr>
              <w:t xml:space="preserve">97.543</w:t>
            </w:r>
          </w:p>
        </w:tc>
        <w:tc>
          <w:tcPr/>
          <w:p>
            <w:pPr>
              <w:pStyle w:val="Compact"/>
            </w:pPr>
            <w:r>
              <w:t xml:space="preserve">97.743</w:t>
            </w:r>
          </w:p>
        </w:tc>
        <w:tc>
          <w:tcPr/>
          <w:p>
            <w:pPr>
              <w:pStyle w:val="Compact"/>
            </w:pPr>
            <w:r>
              <w:rPr>
                <w:b/>
                <w:bCs/>
              </w:rPr>
              <w:t xml:space="preserve">97.866</w:t>
            </w:r>
          </w:p>
        </w:tc>
        <w:tc>
          <w:tcPr/>
          <w:p>
            <w:pPr>
              <w:pStyle w:val="Compact"/>
            </w:pPr>
            <w:r>
              <w:t xml:space="preserve">97.751</w:t>
            </w:r>
          </w:p>
        </w:tc>
        <w:tc>
          <w:tcPr/>
          <w:p>
            <w:pPr>
              <w:pStyle w:val="Compact"/>
            </w:pPr>
            <w:r>
              <w:t xml:space="preserve">99.806</w:t>
            </w:r>
          </w:p>
        </w:tc>
        <w:tc>
          <w:tcPr/>
          <w:p>
            <w:pPr>
              <w:pStyle w:val="Compact"/>
            </w:pPr>
            <w:r>
              <w:rPr>
                <w:b/>
                <w:bCs/>
              </w:rPr>
              <w:t xml:space="preserve">99.834</w:t>
            </w:r>
          </w:p>
        </w:tc>
        <w:tc>
          <w:tcPr/>
          <w:p>
            <w:pPr>
              <w:pStyle w:val="Compact"/>
            </w:pPr>
            <w:r>
              <w:t xml:space="preserve">99.831</w:t>
            </w:r>
          </w:p>
        </w:tc>
      </w:tr>
      <w:tr>
        <w:tc>
          <w:tcPr/>
          <w:p>
            <w:pPr>
              <w:pStyle w:val="Compact"/>
            </w:pPr>
            <w:r>
              <w:t xml:space="preserve">HG003</w:t>
            </w:r>
          </w:p>
        </w:tc>
        <w:tc>
          <w:tcPr/>
          <w:p>
            <w:pPr>
              <w:pStyle w:val="Compact"/>
            </w:pPr>
            <w:r>
              <w:t xml:space="preserve">675,214</w:t>
            </w:r>
          </w:p>
        </w:tc>
        <w:tc>
          <w:tcPr/>
          <w:p>
            <w:pPr>
              <w:pStyle w:val="Compact"/>
            </w:pPr>
            <w:r>
              <w:t xml:space="preserve">97.927</w:t>
            </w:r>
          </w:p>
        </w:tc>
        <w:tc>
          <w:tcPr/>
          <w:p>
            <w:pPr>
              <w:pStyle w:val="Compact"/>
            </w:pPr>
            <w:r>
              <w:t xml:space="preserve">98.123</w:t>
            </w:r>
          </w:p>
        </w:tc>
        <w:tc>
          <w:tcPr/>
          <w:p>
            <w:pPr>
              <w:pStyle w:val="Compact"/>
            </w:pPr>
            <w:r>
              <w:rPr>
                <w:b/>
                <w:bCs/>
              </w:rPr>
              <w:t xml:space="preserve">98.125</w:t>
            </w:r>
          </w:p>
        </w:tc>
        <w:tc>
          <w:tcPr/>
          <w:p>
            <w:pPr>
              <w:pStyle w:val="Compact"/>
            </w:pPr>
            <w:r>
              <w:t xml:space="preserve">97.267</w:t>
            </w:r>
          </w:p>
        </w:tc>
        <w:tc>
          <w:tcPr/>
          <w:p>
            <w:pPr>
              <w:pStyle w:val="Compact"/>
            </w:pPr>
            <w:r>
              <w:rPr>
                <w:b/>
                <w:bCs/>
              </w:rPr>
              <w:t xml:space="preserve">97.555</w:t>
            </w:r>
          </w:p>
        </w:tc>
        <w:tc>
          <w:tcPr/>
          <w:p>
            <w:pPr>
              <w:pStyle w:val="Compact"/>
            </w:pPr>
            <w:r>
              <w:t xml:space="preserve">97.547</w:t>
            </w:r>
          </w:p>
        </w:tc>
        <w:tc>
          <w:tcPr/>
          <w:p>
            <w:pPr>
              <w:pStyle w:val="Compact"/>
            </w:pPr>
            <w:r>
              <w:t xml:space="preserve">97.552</w:t>
            </w:r>
          </w:p>
        </w:tc>
        <w:tc>
          <w:tcPr/>
          <w:p>
            <w:pPr>
              <w:pStyle w:val="Compact"/>
            </w:pPr>
            <w:r>
              <w:rPr>
                <w:b/>
                <w:bCs/>
              </w:rPr>
              <w:t xml:space="preserve">97.692</w:t>
            </w:r>
          </w:p>
        </w:tc>
        <w:tc>
          <w:tcPr/>
          <w:p>
            <w:pPr>
              <w:pStyle w:val="Compact"/>
            </w:pPr>
            <w:r>
              <w:t xml:space="preserve">97.547</w:t>
            </w:r>
          </w:p>
        </w:tc>
        <w:tc>
          <w:tcPr/>
          <w:p>
            <w:pPr>
              <w:pStyle w:val="Compact"/>
            </w:pPr>
            <w:r>
              <w:t xml:space="preserve">99.806</w:t>
            </w:r>
          </w:p>
        </w:tc>
        <w:tc>
          <w:tcPr/>
          <w:p>
            <w:pPr>
              <w:pStyle w:val="Compact"/>
            </w:pPr>
            <w:r>
              <w:rPr>
                <w:b/>
                <w:bCs/>
              </w:rPr>
              <w:t xml:space="preserve">99.824</w:t>
            </w:r>
          </w:p>
        </w:tc>
        <w:tc>
          <w:tcPr/>
          <w:p>
            <w:pPr>
              <w:pStyle w:val="Compact"/>
            </w:pPr>
            <w:r>
              <w:t xml:space="preserve">99.818</w:t>
            </w:r>
          </w:p>
        </w:tc>
      </w:tr>
      <w:tr>
        <w:tc>
          <w:tcPr/>
          <w:p>
            <w:pPr>
              <w:pStyle w:val="Compact"/>
            </w:pPr>
            <w:r>
              <w:t xml:space="preserve">HG004</w:t>
            </w:r>
          </w:p>
        </w:tc>
        <w:tc>
          <w:tcPr/>
          <w:p>
            <w:pPr>
              <w:pStyle w:val="Compact"/>
            </w:pPr>
            <w:r>
              <w:t xml:space="preserve">672,779</w:t>
            </w:r>
          </w:p>
        </w:tc>
        <w:tc>
          <w:tcPr/>
          <w:p>
            <w:pPr>
              <w:pStyle w:val="Compact"/>
            </w:pPr>
            <w:r>
              <w:t xml:space="preserve">97.707</w:t>
            </w:r>
          </w:p>
        </w:tc>
        <w:tc>
          <w:tcPr/>
          <w:p>
            <w:pPr>
              <w:pStyle w:val="Compact"/>
            </w:pPr>
            <w:r>
              <w:rPr>
                <w:b/>
                <w:bCs/>
              </w:rPr>
              <w:t xml:space="preserve">97.924</w:t>
            </w:r>
          </w:p>
        </w:tc>
        <w:tc>
          <w:tcPr/>
          <w:p>
            <w:pPr>
              <w:pStyle w:val="Compact"/>
            </w:pPr>
            <w:r>
              <w:t xml:space="preserve">97.877</w:t>
            </w:r>
          </w:p>
        </w:tc>
        <w:tc>
          <w:tcPr/>
          <w:p>
            <w:pPr>
              <w:pStyle w:val="Compact"/>
            </w:pPr>
            <w:r>
              <w:t xml:space="preserve">97.101</w:t>
            </w:r>
          </w:p>
        </w:tc>
        <w:tc>
          <w:tcPr/>
          <w:p>
            <w:pPr>
              <w:pStyle w:val="Compact"/>
            </w:pPr>
            <w:r>
              <w:rPr>
                <w:b/>
                <w:bCs/>
              </w:rPr>
              <w:t xml:space="preserve">97.417</w:t>
            </w:r>
          </w:p>
        </w:tc>
        <w:tc>
          <w:tcPr/>
          <w:p>
            <w:pPr>
              <w:pStyle w:val="Compact"/>
            </w:pPr>
            <w:r>
              <w:t xml:space="preserve">97.328</w:t>
            </w:r>
          </w:p>
        </w:tc>
        <w:tc>
          <w:tcPr/>
          <w:p>
            <w:pPr>
              <w:pStyle w:val="Compact"/>
            </w:pPr>
            <w:r>
              <w:t xml:space="preserve">96.679</w:t>
            </w:r>
          </w:p>
        </w:tc>
        <w:tc>
          <w:tcPr/>
          <w:p>
            <w:pPr>
              <w:pStyle w:val="Compact"/>
            </w:pPr>
            <w:r>
              <w:t xml:space="preserve">97.062</w:t>
            </w:r>
          </w:p>
        </w:tc>
        <w:tc>
          <w:tcPr/>
          <w:p>
            <w:pPr>
              <w:pStyle w:val="Compact"/>
            </w:pPr>
            <w:r>
              <w:rPr>
                <w:b/>
                <w:bCs/>
              </w:rPr>
              <w:t xml:space="preserve">97.233</w:t>
            </w:r>
          </w:p>
        </w:tc>
        <w:tc>
          <w:tcPr/>
          <w:p>
            <w:pPr>
              <w:pStyle w:val="Compact"/>
            </w:pPr>
            <w:r>
              <w:t xml:space="preserve">99.790</w:t>
            </w:r>
          </w:p>
        </w:tc>
        <w:tc>
          <w:tcPr/>
          <w:p>
            <w:pPr>
              <w:pStyle w:val="Compact"/>
            </w:pPr>
            <w:r>
              <w:t xml:space="preserve">99.814</w:t>
            </w:r>
          </w:p>
        </w:tc>
        <w:tc>
          <w:tcPr/>
          <w:p>
            <w:pPr>
              <w:pStyle w:val="Compact"/>
            </w:pPr>
            <w:r>
              <w:rPr>
                <w:b/>
                <w:bCs/>
              </w:rPr>
              <w:t xml:space="preserve">99.817</w:t>
            </w:r>
          </w:p>
        </w:tc>
      </w:tr>
      <w:tr>
        <w:tc>
          <w:tcPr/>
          <w:p>
            <w:pPr>
              <w:pStyle w:val="Compact"/>
            </w:pPr>
            <w:r>
              <w:t xml:space="preserve">HG005</w:t>
            </w:r>
          </w:p>
        </w:tc>
        <w:tc>
          <w:tcPr/>
          <w:p>
            <w:pPr>
              <w:pStyle w:val="Compact"/>
            </w:pPr>
            <w:r>
              <w:t xml:space="preserve">662,250</w:t>
            </w:r>
          </w:p>
        </w:tc>
        <w:tc>
          <w:tcPr/>
          <w:p>
            <w:pPr>
              <w:pStyle w:val="Compact"/>
            </w:pPr>
            <w:r>
              <w:t xml:space="preserve">97.624</w:t>
            </w:r>
          </w:p>
        </w:tc>
        <w:tc>
          <w:tcPr/>
          <w:p>
            <w:pPr>
              <w:pStyle w:val="Compact"/>
            </w:pPr>
            <w:r>
              <w:t xml:space="preserve">97.730</w:t>
            </w:r>
          </w:p>
        </w:tc>
        <w:tc>
          <w:tcPr/>
          <w:p>
            <w:pPr>
              <w:pStyle w:val="Compact"/>
            </w:pPr>
            <w:r>
              <w:rPr>
                <w:b/>
                <w:bCs/>
              </w:rPr>
              <w:t xml:space="preserve">97.819</w:t>
            </w:r>
          </w:p>
        </w:tc>
        <w:tc>
          <w:tcPr/>
          <w:p>
            <w:pPr>
              <w:pStyle w:val="Compact"/>
            </w:pPr>
            <w:r>
              <w:t xml:space="preserve">96.855</w:t>
            </w:r>
          </w:p>
        </w:tc>
        <w:tc>
          <w:tcPr/>
          <w:p>
            <w:pPr>
              <w:pStyle w:val="Compact"/>
            </w:pPr>
            <w:r>
              <w:t xml:space="preserve">96.976</w:t>
            </w:r>
          </w:p>
        </w:tc>
        <w:tc>
          <w:tcPr/>
          <w:p>
            <w:pPr>
              <w:pStyle w:val="Compact"/>
            </w:pPr>
            <w:r>
              <w:rPr>
                <w:b/>
                <w:bCs/>
              </w:rPr>
              <w:t xml:space="preserve">97.092</w:t>
            </w:r>
          </w:p>
        </w:tc>
        <w:tc>
          <w:tcPr/>
          <w:p>
            <w:pPr>
              <w:pStyle w:val="Compact"/>
            </w:pPr>
            <w:r>
              <w:t xml:space="preserve">97.280</w:t>
            </w:r>
          </w:p>
        </w:tc>
        <w:tc>
          <w:tcPr/>
          <w:p>
            <w:pPr>
              <w:pStyle w:val="Compact"/>
            </w:pPr>
            <w:r>
              <w:t xml:space="preserve">97.497</w:t>
            </w:r>
          </w:p>
        </w:tc>
        <w:tc>
          <w:tcPr/>
          <w:p>
            <w:pPr>
              <w:pStyle w:val="Compact"/>
            </w:pPr>
            <w:r>
              <w:rPr>
                <w:b/>
                <w:bCs/>
              </w:rPr>
              <w:t xml:space="preserve">97.636</w:t>
            </w:r>
          </w:p>
        </w:tc>
        <w:tc>
          <w:tcPr/>
          <w:p>
            <w:pPr>
              <w:pStyle w:val="Compact"/>
            </w:pPr>
            <w:r>
              <w:t xml:space="preserve">99.809</w:t>
            </w:r>
          </w:p>
        </w:tc>
        <w:tc>
          <w:tcPr/>
          <w:p>
            <w:pPr>
              <w:pStyle w:val="Compact"/>
            </w:pPr>
            <w:r>
              <w:t xml:space="preserve">99.820</w:t>
            </w:r>
          </w:p>
        </w:tc>
        <w:tc>
          <w:tcPr/>
          <w:p>
            <w:pPr>
              <w:pStyle w:val="Compact"/>
            </w:pPr>
            <w:r>
              <w:rPr>
                <w:b/>
                <w:bCs/>
              </w:rPr>
              <w:t xml:space="preserve">99.828</w:t>
            </w:r>
          </w:p>
        </w:tc>
      </w:tr>
      <w:tr>
        <w:tc>
          <w:tcPr/>
          <w:p>
            <w:pPr>
              <w:pStyle w:val="Compact"/>
            </w:pPr>
            <w:r>
              <w:t xml:space="preserve">HG006</w:t>
            </w:r>
          </w:p>
        </w:tc>
        <w:tc>
          <w:tcPr/>
          <w:p>
            <w:pPr>
              <w:pStyle w:val="Compact"/>
            </w:pPr>
            <w:r>
              <w:t xml:space="preserve">669,015</w:t>
            </w:r>
          </w:p>
        </w:tc>
        <w:tc>
          <w:tcPr/>
          <w:p>
            <w:pPr>
              <w:pStyle w:val="Compact"/>
            </w:pPr>
            <w:r>
              <w:t xml:space="preserve">98.091</w:t>
            </w:r>
          </w:p>
        </w:tc>
        <w:tc>
          <w:tcPr/>
          <w:p>
            <w:pPr>
              <w:pStyle w:val="Compact"/>
            </w:pPr>
            <w:r>
              <w:rPr>
                <w:b/>
                <w:bCs/>
              </w:rPr>
              <w:t xml:space="preserve">98.176</w:t>
            </w:r>
          </w:p>
        </w:tc>
        <w:tc>
          <w:tcPr/>
          <w:p>
            <w:pPr>
              <w:pStyle w:val="Compact"/>
            </w:pPr>
            <w:r>
              <w:t xml:space="preserve">98.153</w:t>
            </w:r>
          </w:p>
        </w:tc>
        <w:tc>
          <w:tcPr/>
          <w:p>
            <w:pPr>
              <w:pStyle w:val="Compact"/>
            </w:pPr>
            <w:r>
              <w:t xml:space="preserve">97.088</w:t>
            </w:r>
          </w:p>
        </w:tc>
        <w:tc>
          <w:tcPr/>
          <w:p>
            <w:pPr>
              <w:pStyle w:val="Compact"/>
            </w:pPr>
            <w:r>
              <w:rPr>
                <w:b/>
                <w:bCs/>
              </w:rPr>
              <w:t xml:space="preserve">97.249</w:t>
            </w:r>
          </w:p>
        </w:tc>
        <w:tc>
          <w:tcPr/>
          <w:p>
            <w:pPr>
              <w:pStyle w:val="Compact"/>
            </w:pPr>
            <w:r>
              <w:t xml:space="preserve">97.228</w:t>
            </w:r>
          </w:p>
        </w:tc>
        <w:tc>
          <w:tcPr/>
          <w:p>
            <w:pPr>
              <w:pStyle w:val="Compact"/>
            </w:pPr>
            <w:r>
              <w:t xml:space="preserve">97.219</w:t>
            </w:r>
          </w:p>
        </w:tc>
        <w:tc>
          <w:tcPr/>
          <w:p>
            <w:pPr>
              <w:pStyle w:val="Compact"/>
            </w:pPr>
            <w:r>
              <w:rPr>
                <w:b/>
                <w:bCs/>
              </w:rPr>
              <w:t xml:space="preserve">97.275</w:t>
            </w:r>
          </w:p>
        </w:tc>
        <w:tc>
          <w:tcPr/>
          <w:p>
            <w:pPr>
              <w:pStyle w:val="Compact"/>
            </w:pPr>
            <w:r>
              <w:t xml:space="preserve">97.239</w:t>
            </w:r>
          </w:p>
        </w:tc>
        <w:tc>
          <w:tcPr/>
          <w:p>
            <w:pPr>
              <w:pStyle w:val="Compact"/>
            </w:pPr>
            <w:r>
              <w:t xml:space="preserve">99.836</w:t>
            </w:r>
          </w:p>
        </w:tc>
        <w:tc>
          <w:tcPr/>
          <w:p>
            <w:pPr>
              <w:pStyle w:val="Compact"/>
            </w:pPr>
            <w:r>
              <w:rPr>
                <w:b/>
                <w:bCs/>
              </w:rPr>
              <w:t xml:space="preserve">99.842</w:t>
            </w:r>
          </w:p>
        </w:tc>
        <w:tc>
          <w:tcPr/>
          <w:p>
            <w:pPr>
              <w:pStyle w:val="Compact"/>
            </w:pPr>
            <w:r>
              <w:t xml:space="preserve">99.840</w:t>
            </w:r>
          </w:p>
        </w:tc>
      </w:tr>
      <w:tr>
        <w:tc>
          <w:tcPr/>
          <w:p>
            <w:pPr>
              <w:pStyle w:val="Compact"/>
            </w:pPr>
            <w:r>
              <w:t xml:space="preserve">HG007</w:t>
            </w:r>
          </w:p>
        </w:tc>
        <w:tc>
          <w:tcPr/>
          <w:p>
            <w:pPr>
              <w:pStyle w:val="Compact"/>
            </w:pPr>
            <w:r>
              <w:t xml:space="preserve">668,184</w:t>
            </w:r>
          </w:p>
        </w:tc>
        <w:tc>
          <w:tcPr/>
          <w:p>
            <w:pPr>
              <w:pStyle w:val="Compact"/>
            </w:pPr>
            <w:r>
              <w:t xml:space="preserve">97.379</w:t>
            </w:r>
          </w:p>
        </w:tc>
        <w:tc>
          <w:tcPr/>
          <w:p>
            <w:pPr>
              <w:pStyle w:val="Compact"/>
            </w:pPr>
            <w:r>
              <w:t xml:space="preserve">97.449</w:t>
            </w:r>
          </w:p>
        </w:tc>
        <w:tc>
          <w:tcPr/>
          <w:p>
            <w:pPr>
              <w:pStyle w:val="Compact"/>
            </w:pPr>
            <w:r>
              <w:rPr>
                <w:b/>
                <w:bCs/>
              </w:rPr>
              <w:t xml:space="preserve">97.452</w:t>
            </w:r>
          </w:p>
        </w:tc>
        <w:tc>
          <w:tcPr/>
          <w:p>
            <w:pPr>
              <w:pStyle w:val="Compact"/>
            </w:pPr>
            <w:r>
              <w:t xml:space="preserve">96.492</w:t>
            </w:r>
          </w:p>
        </w:tc>
        <w:tc>
          <w:tcPr/>
          <w:p>
            <w:pPr>
              <w:pStyle w:val="Compact"/>
            </w:pPr>
            <w:r>
              <w:rPr>
                <w:b/>
                <w:bCs/>
              </w:rPr>
              <w:t xml:space="preserve">96.617</w:t>
            </w:r>
          </w:p>
        </w:tc>
        <w:tc>
          <w:tcPr/>
          <w:p>
            <w:pPr>
              <w:pStyle w:val="Compact"/>
            </w:pPr>
            <w:r>
              <w:t xml:space="preserve">96.595</w:t>
            </w:r>
          </w:p>
        </w:tc>
        <w:tc>
          <w:tcPr/>
          <w:p>
            <w:pPr>
              <w:pStyle w:val="Compact"/>
            </w:pPr>
            <w:r>
              <w:rPr>
                <w:b/>
                <w:bCs/>
              </w:rPr>
              <w:t xml:space="preserve">97.164</w:t>
            </w:r>
          </w:p>
        </w:tc>
        <w:tc>
          <w:tcPr/>
          <w:p>
            <w:pPr>
              <w:pStyle w:val="Compact"/>
            </w:pPr>
            <w:r>
              <w:t xml:space="preserve">97.037</w:t>
            </w:r>
          </w:p>
        </w:tc>
        <w:tc>
          <w:tcPr/>
          <w:p>
            <w:pPr>
              <w:pStyle w:val="Compact"/>
            </w:pPr>
            <w:r>
              <w:t xml:space="preserve">96.984</w:t>
            </w:r>
          </w:p>
        </w:tc>
        <w:tc>
          <w:tcPr/>
          <w:p>
            <w:pPr>
              <w:pStyle w:val="Compact"/>
            </w:pPr>
            <w:r>
              <w:rPr>
                <w:b/>
                <w:bCs/>
              </w:rPr>
              <w:t xml:space="preserve">99.786</w:t>
            </w:r>
          </w:p>
        </w:tc>
        <w:tc>
          <w:tcPr/>
          <w:p>
            <w:pPr>
              <w:pStyle w:val="Compact"/>
            </w:pPr>
            <w:r>
              <w:rPr>
                <w:b/>
                <w:bCs/>
              </w:rPr>
              <w:t xml:space="preserve">99.786</w:t>
            </w:r>
          </w:p>
        </w:tc>
        <w:tc>
          <w:tcPr/>
          <w:p>
            <w:pPr>
              <w:pStyle w:val="Compact"/>
            </w:pPr>
            <w:r>
              <w:t xml:space="preserve">99.783</w:t>
            </w:r>
          </w:p>
        </w:tc>
      </w:tr>
      <w:tr>
        <w:tc>
          <w:tcPr/>
          <w:p>
            <w:pPr>
              <w:pStyle w:val="Compact"/>
            </w:pPr>
            <w:r>
              <w:t xml:space="preserve">Mean</w:t>
            </w:r>
          </w:p>
        </w:tc>
        <w:tc>
          <w:tcPr/>
          <w:p>
            <w:pPr>
              <w:pStyle w:val="Compact"/>
            </w:pPr>
          </w:p>
        </w:tc>
        <w:tc>
          <w:tcPr/>
          <w:p>
            <w:pPr>
              <w:pStyle w:val="Compact"/>
            </w:pPr>
            <w:r>
              <w:t xml:space="preserve">97.739</w:t>
            </w:r>
          </w:p>
        </w:tc>
        <w:tc>
          <w:tcPr/>
          <w:p>
            <w:pPr>
              <w:pStyle w:val="Compact"/>
            </w:pPr>
            <w:r>
              <w:t xml:space="preserve">97.928</w:t>
            </w:r>
          </w:p>
        </w:tc>
        <w:tc>
          <w:tcPr/>
          <w:p>
            <w:pPr>
              <w:pStyle w:val="Compact"/>
            </w:pPr>
            <w:r>
              <w:rPr>
                <w:b/>
                <w:bCs/>
              </w:rPr>
              <w:t xml:space="preserve">97.936</w:t>
            </w:r>
          </w:p>
        </w:tc>
        <w:tc>
          <w:tcPr/>
          <w:p>
            <w:pPr>
              <w:pStyle w:val="Compact"/>
            </w:pPr>
            <w:r>
              <w:t xml:space="preserve">96.941</w:t>
            </w:r>
          </w:p>
        </w:tc>
        <w:tc>
          <w:tcPr/>
          <w:p>
            <w:pPr>
              <w:pStyle w:val="Compact"/>
            </w:pPr>
            <w:r>
              <w:t xml:space="preserve">97.219</w:t>
            </w:r>
          </w:p>
        </w:tc>
        <w:tc>
          <w:tcPr/>
          <w:p>
            <w:pPr>
              <w:pStyle w:val="Compact"/>
            </w:pPr>
            <w:r>
              <w:rPr>
                <w:b/>
                <w:bCs/>
              </w:rPr>
              <w:t xml:space="preserve">97.222</w:t>
            </w:r>
          </w:p>
        </w:tc>
        <w:tc>
          <w:tcPr/>
          <w:p>
            <w:pPr>
              <w:pStyle w:val="Compact"/>
            </w:pPr>
            <w:r>
              <w:t xml:space="preserve">97.273</w:t>
            </w:r>
          </w:p>
        </w:tc>
        <w:tc>
          <w:tcPr/>
          <w:p>
            <w:pPr>
              <w:pStyle w:val="Compact"/>
            </w:pPr>
            <w:r>
              <w:rPr>
                <w:b/>
                <w:bCs/>
              </w:rPr>
              <w:t xml:space="preserve">97.405</w:t>
            </w:r>
          </w:p>
        </w:tc>
        <w:tc>
          <w:tcPr/>
          <w:p>
            <w:pPr>
              <w:pStyle w:val="Compact"/>
            </w:pPr>
            <w:r>
              <w:t xml:space="preserve">97.398</w:t>
            </w:r>
          </w:p>
        </w:tc>
        <w:tc>
          <w:tcPr/>
          <w:p>
            <w:pPr>
              <w:pStyle w:val="Compact"/>
            </w:pPr>
            <w:r>
              <w:t xml:space="preserve">99.805</w:t>
            </w:r>
          </w:p>
        </w:tc>
        <w:tc>
          <w:tcPr/>
          <w:p>
            <w:pPr>
              <w:pStyle w:val="Compact"/>
            </w:pPr>
            <w:r>
              <w:rPr>
                <w:b/>
                <w:bCs/>
              </w:rPr>
              <w:t xml:space="preserve">99.820</w:t>
            </w:r>
          </w:p>
        </w:tc>
        <w:tc>
          <w:tcPr/>
          <w:p>
            <w:pPr>
              <w:pStyle w:val="Compact"/>
            </w:pPr>
            <w:r>
              <w:rPr>
                <w:b/>
                <w:bCs/>
              </w:rPr>
              <w:t xml:space="preserve">99.820</w:t>
            </w:r>
          </w:p>
        </w:tc>
      </w:tr>
      <w:tr>
        <w:tc>
          <w:tcPr/>
          <w:p>
            <w:pPr>
              <w:pStyle w:val="Compact"/>
            </w:pPr>
            <w:r>
              <w:t xml:space="preserve">Δ native − GLIMPSE2 (95% CI; wins; p)</w:t>
            </w:r>
          </w:p>
        </w:tc>
        <w:tc>
          <w:tcPr/>
          <w:p>
            <w:pPr>
              <w:pStyle w:val="Compact"/>
            </w:pPr>
          </w:p>
        </w:tc>
        <w:tc>
          <w:tcPr/>
          <w:p>
            <w:pPr>
              <w:pStyle w:val="Compact"/>
            </w:pPr>
          </w:p>
        </w:tc>
        <w:tc>
          <w:tcPr/>
          <w:p>
            <w:pPr>
              <w:pStyle w:val="Compact"/>
            </w:pPr>
            <w:r>
              <w:t xml:space="preserve">+0.190 (+0.102 to +0.312; 6/6; 0.031)</w:t>
            </w:r>
          </w:p>
        </w:tc>
        <w:tc>
          <w:tcPr/>
          <w:p>
            <w:pPr>
              <w:pStyle w:val="Compact"/>
            </w:pPr>
          </w:p>
        </w:tc>
        <w:tc>
          <w:tcPr/>
          <w:p>
            <w:pPr>
              <w:pStyle w:val="Compact"/>
            </w:pPr>
          </w:p>
        </w:tc>
        <w:tc>
          <w:tcPr/>
          <w:p>
            <w:pPr>
              <w:pStyle w:val="Compact"/>
            </w:pPr>
            <w:r>
              <w:t xml:space="preserve">+0.278 (+0.156 to +0.446; 6/6; 0.031)</w:t>
            </w:r>
          </w:p>
        </w:tc>
        <w:tc>
          <w:tcPr/>
          <w:p>
            <w:pPr>
              <w:pStyle w:val="Compact"/>
            </w:pPr>
          </w:p>
        </w:tc>
        <w:tc>
          <w:tcPr/>
          <w:p>
            <w:pPr>
              <w:pStyle w:val="Compact"/>
            </w:pPr>
          </w:p>
        </w:tc>
        <w:tc>
          <w:tcPr/>
          <w:p>
            <w:pPr>
              <w:pStyle w:val="Compact"/>
            </w:pPr>
            <w:r>
              <w:t xml:space="preserve">+0.132 (+0.004 to +0.257; 5/6; 0.16)</w:t>
            </w:r>
          </w:p>
        </w:tc>
        <w:tc>
          <w:tcPr/>
          <w:p>
            <w:pPr>
              <w:pStyle w:val="Compact"/>
            </w:pPr>
          </w:p>
        </w:tc>
        <w:tc>
          <w:tcPr/>
          <w:p>
            <w:pPr>
              <w:pStyle w:val="Compact"/>
            </w:pPr>
          </w:p>
        </w:tc>
        <w:tc>
          <w:tcPr/>
          <w:p>
            <w:pPr>
              <w:pStyle w:val="Compact"/>
            </w:pPr>
            <w:r>
              <w:t xml:space="preserve">+0.014 (+0.007 to +0.022; 5/6, one tie; 0.0625)</w:t>
            </w:r>
          </w:p>
        </w:tc>
        <w:tc>
          <w:tcPr/>
          <w:p>
            <w:pPr>
              <w:pStyle w:val="Compact"/>
            </w:pPr>
          </w:p>
        </w:tc>
      </w:tr>
      <w:tr>
        <w:tc>
          <w:tcPr/>
          <w:p>
            <w:pPr>
              <w:pStyle w:val="Compact"/>
            </w:pPr>
            <w:r>
              <w:t xml:space="preserve">Δ bcftools − GLIMPSE2 (95% CI; wins; p)</w:t>
            </w:r>
          </w:p>
        </w:tc>
        <w:tc>
          <w:tcPr/>
          <w:p>
            <w:pPr>
              <w:pStyle w:val="Compact"/>
            </w:pPr>
          </w:p>
        </w:tc>
        <w:tc>
          <w:tcPr/>
          <w:p>
            <w:pPr>
              <w:pStyle w:val="Compact"/>
            </w:pPr>
          </w:p>
        </w:tc>
        <w:tc>
          <w:tcPr/>
          <w:p>
            <w:pPr>
              <w:pStyle w:val="Compact"/>
            </w:pPr>
          </w:p>
        </w:tc>
        <w:tc>
          <w:tcPr/>
          <w:p>
            <w:pPr>
              <w:pStyle w:val="Compact"/>
            </w:pPr>
            <w:r>
              <w:t xml:space="preserve">+0.197 (+0.105 to +0.319; 6/6; 0.031)</w:t>
            </w:r>
          </w:p>
        </w:tc>
        <w:tc>
          <w:tcPr/>
          <w:p>
            <w:pPr>
              <w:pStyle w:val="Compact"/>
            </w:pPr>
          </w:p>
        </w:tc>
        <w:tc>
          <w:tcPr/>
          <w:p>
            <w:pPr>
              <w:pStyle w:val="Compact"/>
            </w:pPr>
          </w:p>
        </w:tc>
        <w:tc>
          <w:tcPr/>
          <w:p>
            <w:pPr>
              <w:pStyle w:val="Compact"/>
            </w:pPr>
            <w:r>
              <w:t xml:space="preserve">+0.281 (+0.158 to +0.459; 6/6; 0.031)</w:t>
            </w:r>
          </w:p>
        </w:tc>
        <w:tc>
          <w:tcPr/>
          <w:p>
            <w:pPr>
              <w:pStyle w:val="Compact"/>
            </w:pPr>
          </w:p>
        </w:tc>
        <w:tc>
          <w:tcPr/>
          <w:p>
            <w:pPr>
              <w:pStyle w:val="Compact"/>
            </w:pPr>
          </w:p>
        </w:tc>
        <w:tc>
          <w:tcPr/>
          <w:p>
            <w:pPr>
              <w:pStyle w:val="Compact"/>
            </w:pPr>
            <w:r>
              <w:t xml:space="preserve">+0.126 (-0.057 to +0.339; 4/6; 0.31)</w:t>
            </w:r>
          </w:p>
        </w:tc>
        <w:tc>
          <w:tcPr/>
          <w:p>
            <w:pPr>
              <w:pStyle w:val="Compact"/>
            </w:pPr>
          </w:p>
        </w:tc>
        <w:tc>
          <w:tcPr/>
          <w:p>
            <w:pPr>
              <w:pStyle w:val="Compact"/>
            </w:pPr>
          </w:p>
        </w:tc>
        <w:tc>
          <w:tcPr/>
          <w:p>
            <w:pPr>
              <w:pStyle w:val="Compact"/>
            </w:pPr>
            <w:r>
              <w:t xml:space="preserve">+0.014 (+0.006 to +0.022; 5/6; 0.0625)</w:t>
            </w:r>
          </w:p>
        </w:tc>
      </w:tr>
    </w:tbl>
    <w:p>
      <w:pPr>
        <w:pStyle w:val="BodyText"/>
      </w:pPr>
      <w:r>
        <w:rPr>
          <w:b/>
          <w:bCs/>
        </w:rPr>
        <w:t xml:space="preserve">Table 1c. Head-to-head by reference-panel minor allele frequency.</w:t>
      </w:r>
      <w:r>
        <w:t xml:space="preserve"> </w:t>
      </w:r>
      <w: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Metric</w:t>
            </w:r>
          </w:p>
        </w:tc>
        <w:tc>
          <w:tcPr/>
          <w:p>
            <w:pPr>
              <w:pStyle w:val="Compact"/>
            </w:pPr>
            <w:r>
              <w:t xml:space="preserve">MAF stratum</w:t>
            </w:r>
          </w:p>
        </w:tc>
        <w:tc>
          <w:tcPr/>
          <w:p>
            <w:pPr>
              <w:pStyle w:val="Compact"/>
            </w:pPr>
            <w:r>
              <w:t xml:space="preserve">Sites per sample</w:t>
            </w:r>
          </w:p>
        </w:tc>
        <w:tc>
          <w:tcPr/>
          <w:p>
            <w:pPr>
              <w:pStyle w:val="Compact"/>
            </w:pPr>
            <w:r>
              <w:t xml:space="preserve">GLIMPSE2</w:t>
            </w:r>
          </w:p>
        </w:tc>
        <w:tc>
          <w:tcPr/>
          <w:p>
            <w:pPr>
              <w:pStyle w:val="Compact"/>
            </w:pPr>
            <w:r>
              <w:t xml:space="preserve">Selphi 2 native</w:t>
            </w:r>
          </w:p>
        </w:tc>
        <w:tc>
          <w:tcPr/>
          <w:p>
            <w:pPr>
              <w:pStyle w:val="Compact"/>
            </w:pPr>
            <w:r>
              <w:t xml:space="preserve">Selphi 2 bcftools</w:t>
            </w:r>
          </w:p>
        </w:tc>
        <w:tc>
          <w:tcPr/>
          <w:p>
            <w:pPr>
              <w:pStyle w:val="Compact"/>
            </w:pPr>
            <w:r>
              <w:t xml:space="preserve">Δ native (95% CI; wins; p)</w:t>
            </w:r>
          </w:p>
        </w:tc>
        <w:tc>
          <w:tcPr/>
          <w:p>
            <w:pPr>
              <w:pStyle w:val="Compact"/>
            </w:pPr>
            <w:r>
              <w:t xml:space="preserve">Δ bcftools (95% CI; wins; p)</w:t>
            </w:r>
          </w:p>
        </w:tc>
      </w:tr>
      <w:tr>
        <w:tc>
          <w:tcPr/>
          <w:p>
            <w:pPr>
              <w:pStyle w:val="Compact"/>
            </w:pPr>
            <w:r>
              <w:t xml:space="preserve">Non-ref concordance %</w:t>
            </w:r>
          </w:p>
        </w:tc>
        <w:tc>
          <w:tcPr/>
          <w:p>
            <w:pPr>
              <w:pStyle w:val="Compact"/>
            </w:pPr>
            <w:r>
              <w:t xml:space="preserve">≥ 5%</w:t>
            </w:r>
          </w:p>
        </w:tc>
        <w:tc>
          <w:tcPr/>
          <w:p>
            <w:pPr>
              <w:pStyle w:val="Compact"/>
            </w:pPr>
            <w:r>
              <w:t xml:space="preserve">79,005-81,576</w:t>
            </w:r>
          </w:p>
        </w:tc>
        <w:tc>
          <w:tcPr/>
          <w:p>
            <w:pPr>
              <w:pStyle w:val="Compact"/>
            </w:pPr>
            <w:r>
              <w:t xml:space="preserve">98.39</w:t>
            </w:r>
          </w:p>
        </w:tc>
        <w:tc>
          <w:tcPr/>
          <w:p>
            <w:pPr>
              <w:pStyle w:val="Compact"/>
            </w:pPr>
            <w:r>
              <w:rPr>
                <w:b/>
                <w:bCs/>
              </w:rPr>
              <w:t xml:space="preserve">98.58</w:t>
            </w:r>
          </w:p>
        </w:tc>
        <w:tc>
          <w:tcPr/>
          <w:p>
            <w:pPr>
              <w:pStyle w:val="Compact"/>
            </w:pPr>
            <w:r>
              <w:rPr>
                <w:b/>
                <w:bCs/>
              </w:rPr>
              <w:t xml:space="preserve">98.58</w:t>
            </w:r>
          </w:p>
        </w:tc>
        <w:tc>
          <w:tcPr/>
          <w:p>
            <w:pPr>
              <w:pStyle w:val="Compact"/>
            </w:pPr>
            <w:r>
              <w:t xml:space="preserve">+0.19 (+0.10 to +0.30; 6/6; 0.031)</w:t>
            </w:r>
          </w:p>
        </w:tc>
        <w:tc>
          <w:tcPr/>
          <w:p>
            <w:pPr>
              <w:pStyle w:val="Compact"/>
            </w:pPr>
            <w:r>
              <w:t xml:space="preserve">+0.19 (+0.10 to +0.31;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95.15</w:t>
            </w:r>
          </w:p>
        </w:tc>
        <w:tc>
          <w:tcPr/>
          <w:p>
            <w:pPr>
              <w:pStyle w:val="Compact"/>
            </w:pPr>
            <w:r>
              <w:t xml:space="preserve">95.33</w:t>
            </w:r>
          </w:p>
        </w:tc>
        <w:tc>
          <w:tcPr/>
          <w:p>
            <w:pPr>
              <w:pStyle w:val="Compact"/>
            </w:pPr>
            <w:r>
              <w:rPr>
                <w:b/>
                <w:bCs/>
              </w:rPr>
              <w:t xml:space="preserve">95.42</w:t>
            </w:r>
          </w:p>
        </w:tc>
        <w:tc>
          <w:tcPr/>
          <w:p>
            <w:pPr>
              <w:pStyle w:val="Compact"/>
            </w:pPr>
            <w:r>
              <w:t xml:space="preserve">+0.18 (-0.08 to +0.45; 4/6; 0.44)</w:t>
            </w:r>
          </w:p>
        </w:tc>
        <w:tc>
          <w:tcPr/>
          <w:p>
            <w:pPr>
              <w:pStyle w:val="Compact"/>
            </w:pPr>
            <w:r>
              <w:t xml:space="preserve">+0.27 (-0.04 to +0.52;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87.71</w:t>
            </w:r>
          </w:p>
        </w:tc>
        <w:tc>
          <w:tcPr/>
          <w:p>
            <w:pPr>
              <w:pStyle w:val="Compact"/>
            </w:pPr>
            <w:r>
              <w:t xml:space="preserve">87.97</w:t>
            </w:r>
          </w:p>
        </w:tc>
        <w:tc>
          <w:tcPr/>
          <w:p>
            <w:pPr>
              <w:pStyle w:val="Compact"/>
            </w:pPr>
            <w:r>
              <w:rPr>
                <w:b/>
                <w:bCs/>
              </w:rPr>
              <w:t xml:space="preserve">87.99</w:t>
            </w:r>
          </w:p>
        </w:tc>
        <w:tc>
          <w:tcPr/>
          <w:p>
            <w:pPr>
              <w:pStyle w:val="Compact"/>
            </w:pPr>
            <w:r>
              <w:t xml:space="preserve">+0.26 (-0.03 to +0.60; 3/6; 0.31)</w:t>
            </w:r>
          </w:p>
        </w:tc>
        <w:tc>
          <w:tcPr/>
          <w:p>
            <w:pPr>
              <w:pStyle w:val="Compact"/>
            </w:pPr>
            <w:r>
              <w:t xml:space="preserve">+0.29 (-0.02 to +0.61; 4/6; 0.22)</w:t>
            </w:r>
          </w:p>
        </w:tc>
      </w:tr>
      <w:tr>
        <w:tc>
          <w:tcPr/>
          <w:p>
            <w:pPr>
              <w:pStyle w:val="Compact"/>
            </w:pPr>
            <w:r>
              <w:t xml:space="preserve">Het recall %</w:t>
            </w:r>
          </w:p>
        </w:tc>
        <w:tc>
          <w:tcPr/>
          <w:p>
            <w:pPr>
              <w:pStyle w:val="Compact"/>
            </w:pPr>
            <w:r>
              <w:t xml:space="preserve">≥ 5%</w:t>
            </w:r>
          </w:p>
        </w:tc>
        <w:tc>
          <w:tcPr/>
          <w:p>
            <w:pPr>
              <w:pStyle w:val="Compact"/>
            </w:pPr>
            <w:r>
              <w:t xml:space="preserve">79,005-81,576</w:t>
            </w:r>
          </w:p>
        </w:tc>
        <w:tc>
          <w:tcPr/>
          <w:p>
            <w:pPr>
              <w:pStyle w:val="Compact"/>
            </w:pPr>
            <w:r>
              <w:t xml:space="preserve">98.00</w:t>
            </w:r>
          </w:p>
        </w:tc>
        <w:tc>
          <w:tcPr/>
          <w:p>
            <w:pPr>
              <w:pStyle w:val="Compact"/>
            </w:pPr>
            <w:r>
              <w:rPr>
                <w:b/>
                <w:bCs/>
              </w:rPr>
              <w:t xml:space="preserve">98.28</w:t>
            </w:r>
          </w:p>
        </w:tc>
        <w:tc>
          <w:tcPr/>
          <w:p>
            <w:pPr>
              <w:pStyle w:val="Compact"/>
            </w:pPr>
            <w:r>
              <w:t xml:space="preserve">98.27</w:t>
            </w:r>
          </w:p>
        </w:tc>
        <w:tc>
          <w:tcPr/>
          <w:p>
            <w:pPr>
              <w:pStyle w:val="Compact"/>
            </w:pPr>
            <w:r>
              <w:t xml:space="preserve">+0.27 (+0.16 to +0.43; 6/6; 0.031)</w:t>
            </w:r>
          </w:p>
        </w:tc>
        <w:tc>
          <w:tcPr/>
          <w:p>
            <w:pPr>
              <w:pStyle w:val="Compact"/>
            </w:pPr>
            <w:r>
              <w:t xml:space="preserve">+0.27 (+0.17 to +0.43;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92.57</w:t>
            </w:r>
          </w:p>
        </w:tc>
        <w:tc>
          <w:tcPr/>
          <w:p>
            <w:pPr>
              <w:pStyle w:val="Compact"/>
            </w:pPr>
            <w:r>
              <w:t xml:space="preserve">92.89</w:t>
            </w:r>
          </w:p>
        </w:tc>
        <w:tc>
          <w:tcPr/>
          <w:p>
            <w:pPr>
              <w:pStyle w:val="Compact"/>
            </w:pPr>
            <w:r>
              <w:rPr>
                <w:b/>
                <w:bCs/>
              </w:rPr>
              <w:t xml:space="preserve">93.03</w:t>
            </w:r>
          </w:p>
        </w:tc>
        <w:tc>
          <w:tcPr/>
          <w:p>
            <w:pPr>
              <w:pStyle w:val="Compact"/>
            </w:pPr>
            <w:r>
              <w:t xml:space="preserve">+0.32 (-0.16 to +0.77; 4/6; 0.31)</w:t>
            </w:r>
          </w:p>
        </w:tc>
        <w:tc>
          <w:tcPr/>
          <w:p>
            <w:pPr>
              <w:pStyle w:val="Compact"/>
            </w:pPr>
            <w:r>
              <w:t xml:space="preserve">+0.46 (-0.08 to +0.88;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81.36</w:t>
            </w:r>
          </w:p>
        </w:tc>
        <w:tc>
          <w:tcPr/>
          <w:p>
            <w:pPr>
              <w:pStyle w:val="Compact"/>
            </w:pPr>
            <w:r>
              <w:rPr>
                <w:b/>
                <w:bCs/>
              </w:rPr>
              <w:t xml:space="preserve">81.72</w:t>
            </w:r>
          </w:p>
        </w:tc>
        <w:tc>
          <w:tcPr/>
          <w:p>
            <w:pPr>
              <w:pStyle w:val="Compact"/>
            </w:pPr>
            <w:r>
              <w:t xml:space="preserve">81.70</w:t>
            </w:r>
          </w:p>
        </w:tc>
        <w:tc>
          <w:tcPr/>
          <w:p>
            <w:pPr>
              <w:pStyle w:val="Compact"/>
            </w:pPr>
            <w:r>
              <w:t xml:space="preserve">+0.37 (-0.14 to +0.92; 4/6; 0.31)</w:t>
            </w:r>
          </w:p>
        </w:tc>
        <w:tc>
          <w:tcPr/>
          <w:p>
            <w:pPr>
              <w:pStyle w:val="Compact"/>
            </w:pPr>
            <w:r>
              <w:t xml:space="preserve">+0.35 (-0.18 to +0.92; 3/6; 0.44)</w:t>
            </w:r>
          </w:p>
        </w:tc>
      </w:tr>
    </w:tbl>
    <w:p>
      <w:pPr>
        <w:pStyle w:val="CaptionedFigure"/>
      </w:pPr>
      <w: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Genotype-likelihood imputation of capture-plus-low-pass GIAB libraries (chromosome 22).</w:t>
      </w:r>
      <w:r>
        <w:t xml:space="preserve"> </w:t>
      </w:r>
      <w:r>
        <w:t xml:space="preserve">Six GIAB samples (HG002-HG007) sequenced by hybridization capture over the GSA sites with a 1.6-2.7</w:t>
      </w:r>
      <m:oMath>
        <m:r>
          <m:rPr>
            <m:sty m:val="p"/>
          </m:rPr>
          <m:t>×</m:t>
        </m:r>
      </m:oMath>
      <w:r>
        <w:t xml:space="preserve"> </w:t>
      </w:r>
      <w: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Style w:val="VerbatimChar"/>
        </w:rPr>
        <w:t xml:space="preserve">--lcwgs</w:t>
      </w:r>
      <w:r>
        <w:t xml:space="preserve"> </w:t>
      </w:r>
      <w: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bookmarkEnd w:id="34"/>
    <w:bookmarkStart w:id="35" w:name="replication-across-chromosomes"/>
    <w:p>
      <w:pPr>
        <w:pStyle w:val="Heading2"/>
      </w:pPr>
      <w:r>
        <w:rPr>
          <w:b/>
          <w:bCs/>
        </w:rPr>
        <w:t xml:space="preserve">Replication across chromosomes</w:t>
      </w:r>
    </w:p>
    <w:p>
      <w:pPr>
        <w:pStyle w:val="FirstParagraph"/>
      </w:pPr>
      <w: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pPr>
      <w: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pPr>
      <w:r>
        <w:rPr>
          <w:b/>
          <w:bCs/>
        </w:rPr>
        <w:t xml:space="preserve">Table 1d. Replication across chromosomes (mean over six samples).</w:t>
      </w:r>
      <w:r>
        <w:t xml:space="preserve"> </w:t>
      </w:r>
      <w: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Chr</w:t>
            </w:r>
          </w:p>
        </w:tc>
        <w:tc>
          <w:tcPr/>
          <w:p>
            <w:pPr>
              <w:pStyle w:val="Compact"/>
            </w:pPr>
            <w:r>
              <w:t xml:space="preserve">Sites per sample</w:t>
            </w:r>
          </w:p>
        </w:tc>
        <w:tc>
          <w:tcPr/>
          <w:p>
            <w:pPr>
              <w:pStyle w:val="Compact"/>
            </w:pPr>
            <w:r>
              <w:t xml:space="preserve">Non-ref %, GLIMPSE2</w:t>
            </w:r>
          </w:p>
        </w:tc>
        <w:tc>
          <w:tcPr/>
          <w:p>
            <w:pPr>
              <w:pStyle w:val="Compact"/>
            </w:pPr>
            <w:r>
              <w:t xml:space="preserve">Non-ref %, Selphi 2 native</w:t>
            </w:r>
          </w:p>
        </w:tc>
        <w:tc>
          <w:tcPr/>
          <w:p>
            <w:pPr>
              <w:pStyle w:val="Compact"/>
            </w:pPr>
            <w:r>
              <w:t xml:space="preserve">Δ non-ref pp (t; wins)</w:t>
            </w:r>
          </w:p>
        </w:tc>
        <w:tc>
          <w:tcPr/>
          <w:p>
            <w:pPr>
              <w:pStyle w:val="Compact"/>
            </w:pPr>
            <w:r>
              <w:t xml:space="preserve">Δ non-ref pp, bcftools arm (t; wins)</w:t>
            </w:r>
          </w:p>
        </w:tc>
        <w:tc>
          <w:tcPr/>
          <w:p>
            <w:pPr>
              <w:pStyle w:val="Compact"/>
            </w:pPr>
            <w:r>
              <w:t xml:space="preserve">Δ het recall pp (t; wins)</w:t>
            </w:r>
          </w:p>
        </w:tc>
        <w:tc>
          <w:tcPr/>
          <w:p>
            <w:pPr>
              <w:pStyle w:val="Compact"/>
            </w:pPr>
            <w:r>
              <w:t xml:space="preserve">Δ non-ref pp, MAF ≥ 5% (wins)</w:t>
            </w:r>
          </w:p>
        </w:tc>
        <w:tc>
          <w:tcPr/>
          <w:p>
            <w:pPr>
              <w:pStyle w:val="Compact"/>
            </w:pPr>
            <w:r>
              <w:t xml:space="preserve">Δ non-ref pp, 0.5-5% (wins)</w:t>
            </w:r>
          </w:p>
        </w:tc>
        <w:tc>
          <w:tcPr/>
          <w:p>
            <w:pPr>
              <w:pStyle w:val="Compact"/>
            </w:pPr>
            <w:r>
              <w:t xml:space="preserve">Δ non-ref pp, &lt; 0.5% (wins)</w:t>
            </w:r>
          </w:p>
        </w:tc>
      </w:tr>
      <w:tr>
        <w:tc>
          <w:tcPr/>
          <w:p>
            <w:pPr>
              <w:pStyle w:val="Compact"/>
            </w:pPr>
            <w:r>
              <w:t xml:space="preserve">22</w:t>
            </w:r>
          </w:p>
        </w:tc>
        <w:tc>
          <w:tcPr/>
          <w:p>
            <w:pPr>
              <w:pStyle w:val="Compact"/>
            </w:pPr>
            <w:r>
              <w:t xml:space="preserve">662,250-684,142</w:t>
            </w:r>
          </w:p>
        </w:tc>
        <w:tc>
          <w:tcPr/>
          <w:p>
            <w:pPr>
              <w:pStyle w:val="Compact"/>
            </w:pPr>
            <w:r>
              <w:t xml:space="preserve">97.74</w:t>
            </w:r>
          </w:p>
        </w:tc>
        <w:tc>
          <w:tcPr/>
          <w:p>
            <w:pPr>
              <w:pStyle w:val="Compact"/>
            </w:pPr>
            <w:r>
              <w:rPr>
                <w:b/>
                <w:bCs/>
              </w:rPr>
              <w:t xml:space="preserve">97.93</w:t>
            </w:r>
          </w:p>
        </w:tc>
        <w:tc>
          <w:tcPr/>
          <w:p>
            <w:pPr>
              <w:pStyle w:val="Compact"/>
            </w:pPr>
            <w:r>
              <w:t xml:space="preserve">+0.19 (3.15; 6/6)</w:t>
            </w:r>
          </w:p>
        </w:tc>
        <w:tc>
          <w:tcPr/>
          <w:p>
            <w:pPr>
              <w:pStyle w:val="Compact"/>
            </w:pPr>
            <w:r>
              <w:t xml:space="preserve">+0.20 (3.16; 6/6)</w:t>
            </w:r>
          </w:p>
        </w:tc>
        <w:tc>
          <w:tcPr/>
          <w:p>
            <w:pPr>
              <w:pStyle w:val="Compact"/>
            </w:pPr>
            <w:r>
              <w:t xml:space="preserve">+0.28 (3.34; 6/6)</w:t>
            </w:r>
          </w:p>
        </w:tc>
        <w:tc>
          <w:tcPr/>
          <w:p>
            <w:pPr>
              <w:pStyle w:val="Compact"/>
            </w:pPr>
            <w:r>
              <w:t xml:space="preserve">+0.19 (6/6)</w:t>
            </w:r>
          </w:p>
        </w:tc>
        <w:tc>
          <w:tcPr/>
          <w:p>
            <w:pPr>
              <w:pStyle w:val="Compact"/>
            </w:pPr>
            <w:r>
              <w:t xml:space="preserve">+0.18 (4/6)</w:t>
            </w:r>
          </w:p>
        </w:tc>
        <w:tc>
          <w:tcPr/>
          <w:p>
            <w:pPr>
              <w:pStyle w:val="Compact"/>
            </w:pPr>
            <w:r>
              <w:t xml:space="preserve">+0.26 (3/6)</w:t>
            </w:r>
          </w:p>
        </w:tc>
      </w:tr>
      <w:tr>
        <w:tc>
          <w:tcPr/>
          <w:p>
            <w:pPr>
              <w:pStyle w:val="Compact"/>
            </w:pPr>
            <w:r>
              <w:t xml:space="preserve">20</w:t>
            </w:r>
          </w:p>
        </w:tc>
        <w:tc>
          <w:tcPr/>
          <w:p>
            <w:pPr>
              <w:pStyle w:val="Compact"/>
            </w:pPr>
            <w:r>
              <w:t xml:space="preserve">1,139,422-1,168,950</w:t>
            </w:r>
          </w:p>
        </w:tc>
        <w:tc>
          <w:tcPr/>
          <w:p>
            <w:pPr>
              <w:pStyle w:val="Compact"/>
            </w:pPr>
            <w:r>
              <w:t xml:space="preserve">97.72</w:t>
            </w:r>
          </w:p>
        </w:tc>
        <w:tc>
          <w:tcPr/>
          <w:p>
            <w:pPr>
              <w:pStyle w:val="Compact"/>
            </w:pPr>
            <w:r>
              <w:rPr>
                <w:b/>
                <w:bCs/>
              </w:rPr>
              <w:t xml:space="preserve">97.91</w:t>
            </w:r>
          </w:p>
        </w:tc>
        <w:tc>
          <w:tcPr/>
          <w:p>
            <w:pPr>
              <w:pStyle w:val="Compact"/>
            </w:pPr>
            <w:r>
              <w:t xml:space="preserve">+0.18 (2.79; 6/6)</w:t>
            </w:r>
          </w:p>
        </w:tc>
        <w:tc>
          <w:tcPr/>
          <w:p>
            <w:pPr>
              <w:pStyle w:val="Compact"/>
            </w:pPr>
            <w:r>
              <w:t xml:space="preserve">+0.21 (2.77; 6/6)</w:t>
            </w:r>
          </w:p>
        </w:tc>
        <w:tc>
          <w:tcPr/>
          <w:p>
            <w:pPr>
              <w:pStyle w:val="Compact"/>
            </w:pPr>
            <w:r>
              <w:t xml:space="preserve">+0.20 (1.62; 5/6)</w:t>
            </w:r>
          </w:p>
        </w:tc>
        <w:tc>
          <w:tcPr/>
          <w:p>
            <w:pPr>
              <w:pStyle w:val="Compact"/>
            </w:pPr>
            <w:r>
              <w:t xml:space="preserve">+0.16 (6/6)</w:t>
            </w:r>
          </w:p>
        </w:tc>
        <w:tc>
          <w:tcPr/>
          <w:p>
            <w:pPr>
              <w:pStyle w:val="Compact"/>
            </w:pPr>
            <w:r>
              <w:t xml:space="preserve">+0.28 (5/6)</w:t>
            </w:r>
          </w:p>
        </w:tc>
        <w:tc>
          <w:tcPr/>
          <w:p>
            <w:pPr>
              <w:pStyle w:val="Compact"/>
            </w:pPr>
            <w:r>
              <w:t xml:space="preserve">+0.48 (4/6)</w:t>
            </w:r>
          </w:p>
        </w:tc>
      </w:tr>
      <w:tr>
        <w:tc>
          <w:tcPr/>
          <w:p>
            <w:pPr>
              <w:pStyle w:val="Compact"/>
            </w:pPr>
            <w:r>
              <w:t xml:space="preserve">10</w:t>
            </w:r>
          </w:p>
        </w:tc>
        <w:tc>
          <w:tcPr/>
          <w:p>
            <w:pPr>
              <w:pStyle w:val="Compact"/>
            </w:pPr>
            <w:r>
              <w:t xml:space="preserve">2,555,483-2,586,705</w:t>
            </w:r>
          </w:p>
        </w:tc>
        <w:tc>
          <w:tcPr/>
          <w:p>
            <w:pPr>
              <w:pStyle w:val="Compact"/>
            </w:pPr>
            <w:r>
              <w:t xml:space="preserve">98.21</w:t>
            </w:r>
          </w:p>
        </w:tc>
        <w:tc>
          <w:tcPr/>
          <w:p>
            <w:pPr>
              <w:pStyle w:val="Compact"/>
            </w:pPr>
            <w:r>
              <w:rPr>
                <w:b/>
                <w:bCs/>
              </w:rPr>
              <w:t xml:space="preserve">98.42</w:t>
            </w:r>
          </w:p>
        </w:tc>
        <w:tc>
          <w:tcPr/>
          <w:p>
            <w:pPr>
              <w:pStyle w:val="Compact"/>
            </w:pPr>
            <w:r>
              <w:t xml:space="preserve">+0.21 (3.90; 6/6)</w:t>
            </w:r>
          </w:p>
        </w:tc>
        <w:tc>
          <w:tcPr/>
          <w:p>
            <w:pPr>
              <w:pStyle w:val="Compact"/>
            </w:pPr>
            <w:r>
              <w:t xml:space="preserve">+0.23 (4.10; 6/6)</w:t>
            </w:r>
          </w:p>
        </w:tc>
        <w:tc>
          <w:tcPr/>
          <w:p>
            <w:pPr>
              <w:pStyle w:val="Compact"/>
            </w:pPr>
            <w:r>
              <w:t xml:space="preserve">+0.32 (2.51; 6/6)</w:t>
            </w:r>
          </w:p>
        </w:tc>
        <w:tc>
          <w:tcPr/>
          <w:p>
            <w:pPr>
              <w:pStyle w:val="Compact"/>
            </w:pPr>
            <w:r>
              <w:t xml:space="preserve">+0.20 (6/6)</w:t>
            </w:r>
          </w:p>
        </w:tc>
        <w:tc>
          <w:tcPr/>
          <w:p>
            <w:pPr>
              <w:pStyle w:val="Compact"/>
            </w:pPr>
            <w:r>
              <w:t xml:space="preserve">+0.24 (5/6)</w:t>
            </w:r>
          </w:p>
        </w:tc>
        <w:tc>
          <w:tcPr/>
          <w:p>
            <w:pPr>
              <w:pStyle w:val="Compact"/>
            </w:pPr>
            <w:r>
              <w:t xml:space="preserve">+0.41 (6/6)</w:t>
            </w:r>
          </w:p>
        </w:tc>
      </w:tr>
      <w:tr>
        <w:tc>
          <w:tcPr/>
          <w:p>
            <w:pPr>
              <w:pStyle w:val="Compact"/>
            </w:pPr>
            <w:r>
              <w:t xml:space="preserve">1</w:t>
            </w:r>
          </w:p>
        </w:tc>
        <w:tc>
          <w:tcPr/>
          <w:p>
            <w:pPr>
              <w:pStyle w:val="Compact"/>
            </w:pPr>
            <w:r>
              <w:t xml:space="preserve">2,216,536-2,263,597</w:t>
            </w:r>
          </w:p>
        </w:tc>
        <w:tc>
          <w:tcPr/>
          <w:p>
            <w:pPr>
              <w:pStyle w:val="Compact"/>
            </w:pPr>
            <w:r>
              <w:t xml:space="preserve">98.20</w:t>
            </w:r>
          </w:p>
        </w:tc>
        <w:tc>
          <w:tcPr/>
          <w:p>
            <w:pPr>
              <w:pStyle w:val="Compact"/>
            </w:pPr>
            <w:r>
              <w:rPr>
                <w:b/>
                <w:bCs/>
              </w:rPr>
              <w:t xml:space="preserve">98.46</w:t>
            </w:r>
          </w:p>
        </w:tc>
        <w:tc>
          <w:tcPr/>
          <w:p>
            <w:pPr>
              <w:pStyle w:val="Compact"/>
            </w:pPr>
            <w:r>
              <w:t xml:space="preserve">+0.26 (3.20; 6/6)</w:t>
            </w:r>
          </w:p>
        </w:tc>
        <w:tc>
          <w:tcPr/>
          <w:p>
            <w:pPr>
              <w:pStyle w:val="Compact"/>
            </w:pPr>
            <w:r>
              <w:t xml:space="preserve">+0.26 (3.33; 6/6)</w:t>
            </w:r>
          </w:p>
        </w:tc>
        <w:tc>
          <w:tcPr/>
          <w:p>
            <w:pPr>
              <w:pStyle w:val="Compact"/>
            </w:pPr>
            <w:r>
              <w:t xml:space="preserve">+0.38 (2.92; 6/6)</w:t>
            </w:r>
          </w:p>
        </w:tc>
        <w:tc>
          <w:tcPr/>
          <w:p>
            <w:pPr>
              <w:pStyle w:val="Compact"/>
            </w:pPr>
            <w:r>
              <w:t xml:space="preserve">+0.23 (6/6)</w:t>
            </w:r>
          </w:p>
        </w:tc>
        <w:tc>
          <w:tcPr/>
          <w:p>
            <w:pPr>
              <w:pStyle w:val="Compact"/>
            </w:pPr>
            <w:r>
              <w:t xml:space="preserve">+0.37 (6/6)</w:t>
            </w:r>
          </w:p>
        </w:tc>
        <w:tc>
          <w:tcPr/>
          <w:p>
            <w:pPr>
              <w:pStyle w:val="Compact"/>
            </w:pPr>
            <w:r>
              <w:t xml:space="preserve">+0.66 (6/6)</w:t>
            </w:r>
          </w:p>
        </w:tc>
      </w:tr>
      <w:tr>
        <w:tc>
          <w:tcPr/>
          <w:p>
            <w:pPr>
              <w:pStyle w:val="Compact"/>
            </w:pPr>
            <w:r>
              <w:t xml:space="preserve">Pooled (22 + 20 + 10 + 1, site-weighted)</w:t>
            </w:r>
          </w:p>
        </w:tc>
        <w:tc>
          <w:tcPr/>
          <w:p>
            <w:pPr>
              <w:pStyle w:val="Compact"/>
            </w:pPr>
            <w:r>
              <w:t xml:space="preserve">6,573,691-6,703,394</w:t>
            </w:r>
          </w:p>
        </w:tc>
        <w:tc>
          <w:tcPr/>
          <w:p>
            <w:pPr>
              <w:pStyle w:val="Compact"/>
            </w:pPr>
          </w:p>
        </w:tc>
        <w:tc>
          <w:tcPr/>
          <w:p>
            <w:pPr>
              <w:pStyle w:val="Compact"/>
            </w:pPr>
          </w:p>
        </w:tc>
        <w:tc>
          <w:tcPr/>
          <w:p>
            <w:pPr>
              <w:pStyle w:val="Compact"/>
            </w:pPr>
            <w:r>
              <w:t xml:space="preserve">+0.22 (3.49; 6/6)</w:t>
            </w:r>
          </w:p>
        </w:tc>
        <w:tc>
          <w:tcPr/>
          <w:p>
            <w:pPr>
              <w:pStyle w:val="Compact"/>
            </w:pPr>
            <w:r>
              <w:t xml:space="preserve">+0.23 (3.67; 6/6)</w:t>
            </w:r>
          </w:p>
        </w:tc>
        <w:tc>
          <w:tcPr/>
          <w:p>
            <w:pPr>
              <w:pStyle w:val="Compact"/>
            </w:pPr>
            <w:r>
              <w:t xml:space="preserve">+0.31 (2.61; 6/6)</w:t>
            </w:r>
          </w:p>
        </w:tc>
        <w:tc>
          <w:tcPr/>
          <w:p>
            <w:pPr>
              <w:pStyle w:val="Compact"/>
            </w:pPr>
          </w:p>
        </w:tc>
        <w:tc>
          <w:tcPr/>
          <w:p>
            <w:pPr>
              <w:pStyle w:val="Compact"/>
            </w:pPr>
          </w:p>
        </w:tc>
        <w:tc>
          <w:tcPr/>
          <w:p>
            <w:pPr>
              <w:pStyle w:val="Compact"/>
            </w:pPr>
          </w:p>
        </w:tc>
      </w:tr>
    </w:tbl>
    <w:bookmarkEnd w:id="35"/>
    <w:bookmarkStart w:id="36" w:name="Xc22860bfbaa78523404c5a7b85d14b8fbd22861"/>
    <w:p>
      <w:pPr>
        <w:pStyle w:val="Heading2"/>
      </w:pPr>
      <w:r>
        <w:rPr>
          <w:b/>
          <w:bCs/>
        </w:rPr>
        <w:t xml:space="preserve">Controlled-coverage complement: downsampled GIAB genomes and a 0.5-4</w:t>
      </w:r>
      <m:oMath>
        <m:r>
          <m:rPr>
            <m:sty m:val="p"/>
          </m:rPr>
          <m:t>×</m:t>
        </m:r>
      </m:oMath>
      <w:r>
        <w:rPr>
          <w:b/>
          <w:bCs/>
        </w:rPr>
        <w:t xml:space="preserve"> </w:t>
      </w:r>
      <w:r>
        <w:rPr>
          <w:b/>
          <w:bCs/>
        </w:rPr>
        <w:t xml:space="preserve">sweep</w:t>
      </w:r>
    </w:p>
    <w:p>
      <w:pPr>
        <w:pStyle w:val="FirstParagraph"/>
      </w:pPr>
      <w: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t xml:space="preserve"> </w:t>
      </w:r>
      <m:oMath>
        <m:sSup>
          <m:e>
            <m:r>
              <m:t>R</m:t>
            </m:r>
          </m:e>
          <m:sup>
            <m:r>
              <m:t>2</m:t>
            </m:r>
          </m:sup>
        </m:sSup>
      </m:oMath>
      <w:r>
        <w:t xml:space="preserve">) from Tables 1-1d, and its values are not comparable with the concordances above.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rPr>
          <w:vertAlign w:val="superscript"/>
        </w:rPr>
        <w:t xml:space="preserve">15</w:t>
      </w:r>
      <w:r>
        <w:t xml:space="preserve">. The engine (Methods) imputes each sample independently with band-mode recombination, founder-HMM phasing and rare-carrier augmentation at every Gibbs iteration.</w:t>
      </w:r>
    </w:p>
    <w:p>
      <w:pPr>
        <w:pStyle w:val="BodyText"/>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t xml:space="preserve"> </w:t>
      </w:r>
      <m:oMath>
        <m:sSup>
          <m:e>
            <m:r>
              <m:t>R</m:t>
            </m:r>
          </m:e>
          <m:sup>
            <m:r>
              <m:t>2</m:t>
            </m:r>
          </m:sup>
        </m:sSup>
      </m:oMath>
      <w:r>
        <w:t xml:space="preserve"> </w:t>
      </w:r>
      <w: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ahead of GLIMPSE2 on the ultra-rare bin from 1</w:t>
      </w:r>
      <m:oMath>
        <m:r>
          <m:rPr>
            <m:sty m:val="p"/>
          </m:rPr>
          <m:t>×</m:t>
        </m:r>
      </m:oMath>
      <w:r>
        <w:t xml:space="preserve"> </w:t>
      </w:r>
      <w: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rPr>
          <w:vertAlign w:val="superscript"/>
        </w:rPr>
        <w:t xml:space="preserve">16</w:t>
      </w:r>
      <w:r>
        <w:t xml:space="preserve"> </w:t>
      </w:r>
      <w:r>
        <w:t xml:space="preserve">as a second low-coverage baseline are reported below (Table 2b; per-sample and coverage-swept detail in Supplementary Table S4).</w:t>
      </w:r>
    </w:p>
    <w:p>
      <w:pPr>
        <w:pStyle w:val="BodyText"/>
      </w:pPr>
      <w:r>
        <w:rPr>
          <w:b/>
          <w:bCs/>
        </w:rPr>
        <w:t xml:space="preserve">Table 2.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-0.0002</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To position the engine against both established low-coverage tools across a range of depths, we ran a three-way comparison, Selphi 2 versus GLIMPSE2</w:t>
      </w:r>
      <w:r>
        <w:rPr>
          <w:vertAlign w:val="superscript"/>
        </w:rPr>
        <w:t xml:space="preserve">15</w:t>
      </w:r>
      <w:r>
        <w:t xml:space="preserve"> </w:t>
      </w:r>
      <w:r>
        <w:t xml:space="preserve">and QUILT2</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0.9952, 0.9971 and 0.9978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exceeds GLIMPSE2 from 1</w:t>
      </w:r>
      <m:oMath>
        <m:r>
          <m:rPr>
            <m:sty m:val="p"/>
          </m:rPr>
          <m:t>×</m:t>
        </m:r>
      </m:oMath>
      <w:r>
        <w:t xml:space="preserve"> </w:t>
      </w:r>
      <w:r>
        <w:t xml:space="preserve">upward: ahead by 0.0030</w:t>
      </w:r>
      <w:r>
        <w:t xml:space="preserve"> </w:t>
      </w:r>
      <m:oMath>
        <m:sSup>
          <m:e>
            <m:r>
              <m:t>R</m:t>
            </m:r>
          </m:e>
          <m:sup>
            <m:r>
              <m:t>2</m:t>
            </m:r>
          </m:sup>
        </m:sSup>
      </m:oMath>
      <w:r>
        <w:t xml:space="preserve"> </w:t>
      </w:r>
      <w:r>
        <w:t xml:space="preserve">at 1</w:t>
      </w:r>
      <m:oMath>
        <m:r>
          <m:rPr>
            <m:sty m:val="p"/>
          </m:rPr>
          <m:t>×</m:t>
        </m:r>
      </m:oMath>
      <w:r>
        <w:t xml:space="preserve"> </w:t>
      </w:r>
      <w:r>
        <w:t xml:space="preserve">(0.9282 versus 0.9252), 0.0030 at 2</w:t>
      </w:r>
      <m:oMath>
        <m:r>
          <m:rPr>
            <m:sty m:val="p"/>
          </m:rPr>
          <m:t>×</m:t>
        </m:r>
      </m:oMath>
      <w:r>
        <w:t xml:space="preserve"> </w:t>
      </w:r>
      <w:r>
        <w:t xml:space="preserve">(0.9525 versus 0.9495) and 0.0067 at 4</w:t>
      </w:r>
      <m:oMath>
        <m:r>
          <m:rPr>
            <m:sty m:val="p"/>
          </m:rPr>
          <m:t>×</m:t>
        </m:r>
      </m:oMath>
      <w:r>
        <w:t xml:space="preserve"> </w:t>
      </w:r>
      <w:r>
        <w:t xml:space="preserve">(0.9705 versus 0.9638), with GLIMPSE2 marginally ahead only at the read-starved 0.5</w:t>
      </w:r>
      <m:oMath>
        <m:r>
          <m:rPr>
            <m:sty m:val="p"/>
          </m:rPr>
          <m:t>×</m:t>
        </m:r>
      </m:oMath>
      <w:r>
        <w:t xml:space="preserve"> </w:t>
      </w:r>
      <w:r>
        <w:t xml:space="preserve">(0.8994 versus 0.9023); Selphi 2 leads QUILT2 at every coverage and ties or leads every other MAF bin (Figure 3d).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t xml:space="preserve"> </w:t>
      </w:r>
      <w: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t xml:space="preserve"> </w:t>
      </w:r>
      <w:r>
        <w:t xml:space="preserve">in</w:t>
      </w:r>
      <w:r>
        <w:t xml:space="preserve"> </w:t>
      </w:r>
      <m:oMath>
        <m:sSup>
          <m:e>
            <m:r>
              <m:t>R</m:t>
            </m:r>
          </m:e>
          <m:sup>
            <m:r>
              <m:t>2</m:t>
            </m:r>
          </m:sup>
        </m:sSup>
      </m:oMath>
      <w:r>
        <w:t xml:space="preserve"> </w:t>
      </w:r>
      <w:r>
        <w:t xml:space="preserve">or in the like-for-like capture arm in concordance, and Selphi 2 ahead from 1</w:t>
      </w:r>
      <m:oMath>
        <m:r>
          <m:rPr>
            <m:sty m:val="p"/>
          </m:rPr>
          <m:t>×</m:t>
        </m:r>
      </m:oMath>
      <w:r>
        <w:t xml:space="preserve"> </w:t>
      </w:r>
      <w:r>
        <w:t xml:space="preserve">upward in the sweep; on the larger chromosomes 10 and 1 the capture-library rare stratum becomes Selphi 2’s largest and unanimous margin (Table 1d).</w:t>
      </w:r>
    </w:p>
    <w:p>
      <w:pPr>
        <w:pStyle w:val="BodyText"/>
      </w:pPr>
      <w:r>
        <w:rPr>
          <w:b/>
          <w:bCs/>
        </w:rPr>
        <w:t xml:space="preserve">Table 2b.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0.9952</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0.9978</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0.8994</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rPr>
                <w:b/>
                <w:bCs/>
              </w:rPr>
              <w:t xml:space="preserve">0.9282</w:t>
            </w:r>
          </w:p>
        </w:tc>
        <w:tc>
          <w:tcPr/>
          <w:p>
            <w:pPr>
              <w:pStyle w:val="Compact"/>
            </w:pPr>
            <w: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0.9525</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0.9705</w:t>
            </w:r>
          </w:p>
        </w:tc>
        <w:tc>
          <w:tcPr/>
          <w:p>
            <w:pPr>
              <w:pStyle w:val="Compact"/>
            </w:pPr>
            <w:r>
              <w:t xml:space="preserve">0.9638</w:t>
            </w:r>
          </w:p>
        </w:tc>
        <w:tc>
          <w:tcPr/>
          <w:p>
            <w:pPr>
              <w:pStyle w:val="Compact"/>
            </w:pPr>
            <w:r>
              <w:t xml:space="preserve">0.9437</w:t>
            </w:r>
          </w:p>
        </w:tc>
      </w:tr>
    </w:tbl>
    <w:bookmarkEnd w:id="36"/>
    <w:bookmarkStart w:id="3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t xml:space="preserve"> </w:t>
      </w:r>
      <m:oMath>
        <m:sSup>
          <m:e>
            <m:r>
              <m:t>R</m:t>
            </m:r>
          </m:e>
          <m:sup>
            <m:r>
              <m:t>2</m:t>
            </m:r>
          </m:sup>
        </m:sSup>
      </m:oMath>
      <w:r>
        <w:t xml:space="preserve"> </w:t>
      </w:r>
      <w: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t xml:space="preserve"> </w:t>
      </w:r>
      <m:oMath>
        <m:r>
          <m:t>p</m:t>
        </m:r>
        <m:r>
          <m:rPr>
            <m:sty m:val="p"/>
          </m:rPr>
          <m:t>&lt;</m:t>
        </m:r>
        <m:sSup>
          <m:e>
            <m:r>
              <m:t>10</m:t>
            </m:r>
          </m:e>
          <m:sup>
            <m:r>
              <m:rPr>
                <m:sty m:val="p"/>
              </m:rPr>
              <m:t>−</m:t>
            </m:r>
            <m:r>
              <m:t>100</m:t>
            </m:r>
          </m:sup>
        </m:sSup>
      </m:oMath>
      <w:r>
        <w:t xml:space="preserve"> </w:t>
      </w:r>
      <w:r>
        <w:t xml:space="preserve">against each tool). The same comparison on chromosome 1 (5,769,087 variants) gives overall</w:t>
      </w:r>
      <w:r>
        <w:t xml:space="preserve"> </w:t>
      </w:r>
      <m:oMath>
        <m:sSup>
          <m:e>
            <m:r>
              <m:t>R</m:t>
            </m:r>
          </m:e>
          <m:sup>
            <m:r>
              <m:t>2</m:t>
            </m:r>
          </m:sup>
        </m:sSup>
      </m:oMath>
      <w:r>
        <w:t xml:space="preserve"> </w:t>
      </w:r>
      <w:r>
        <w:t xml:space="preserve">0.5777 (Selphi 2) versus 0.5640 (Beagle 5.5), and per-sample mean 0.9567 versus 0.9507, a per-sample gain of +0.0057 (95% CI [+0.0056, +0.0059]) that favours Selphi 2 in all 801 of 801 samples. Selphi 2 attains the highest</w:t>
      </w:r>
      <w:r>
        <w:t xml:space="preserve"> </w:t>
      </w:r>
      <m:oMath>
        <m:sSup>
          <m:e>
            <m:r>
              <m:t>R</m:t>
            </m:r>
          </m:e>
          <m:sup>
            <m:r>
              <m:t>2</m:t>
            </m:r>
          </m:sup>
        </m:sSup>
      </m:oMath>
      <w:r>
        <w:t xml:space="preserve"> </w:t>
      </w:r>
      <w: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t xml:space="preserve"> </w:t>
      </w:r>
      <w:r>
        <w:rPr>
          <w:b/>
          <w:bCs/>
        </w:rPr>
        <w:t xml:space="preserve">imputation-only</w:t>
      </w:r>
      <w:r>
        <w:t xml:space="preserve"> </w:t>
      </w:r>
      <w:r>
        <w:t xml:space="preserve">benchmark in which all five tools (Selphi 2, the original Selphi 1.5.3, Beagle 5.5, Minimac4 and IMPUTE5) receive the</w:t>
      </w:r>
      <w:r>
        <w:t xml:space="preserve"> </w:t>
      </w:r>
      <w:r>
        <w:rPr>
          <w:i/>
          <w:iCs/>
        </w:rPr>
        <w:t xml:space="preserve">identical</w:t>
      </w:r>
      <w:r>
        <w:t xml:space="preserve"> </w:t>
      </w:r>
      <w:r>
        <w:t xml:space="preserve">phased target haplotypes and the same 1000 Genomes panel, and impute from that shared phasing (Figure 3a; Supplementary Table S9). Selphi 2 leads at overall</w:t>
      </w:r>
      <w:r>
        <w:t xml:space="preserve"> </w:t>
      </w:r>
      <m:oMath>
        <m:sSup>
          <m:e>
            <m:r>
              <m:t>R</m:t>
            </m:r>
          </m:e>
          <m:sup>
            <m:r>
              <m:t>2</m:t>
            </m:r>
          </m:sup>
        </m:sSup>
      </m:oMath>
      <w:r>
        <w:t xml:space="preserve"> </w:t>
      </w:r>
      <w: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t xml:space="preserve"> </w:t>
      </w:r>
      <m:oMath>
        <m:sSup>
          <m:e>
            <m:r>
              <m:t>R</m:t>
            </m:r>
          </m:e>
          <m:sup>
            <m:r>
              <m:t>2</m:t>
            </m:r>
          </m:sup>
        </m:sSup>
      </m:oMath>
      <w:r>
        <w:t xml:space="preserve"> </w:t>
      </w:r>
      <w:r>
        <w:t xml:space="preserve">metric (Table 3 reports their per-MAF detail on chromosome 22). In deployment as a full phase-and-impute pipeline from the unphased chip, as it is deployed, Selphi 2’s own internal phasing lifts its genome-wide overall</w:t>
      </w:r>
      <w:r>
        <w:t xml:space="preserve"> </w:t>
      </w:r>
      <m:oMath>
        <m:sSup>
          <m:e>
            <m:r>
              <m:t>R</m:t>
            </m:r>
          </m:e>
          <m:sup>
            <m:r>
              <m:t>2</m:t>
            </m:r>
          </m:sup>
        </m:sSup>
      </m:oMath>
      <w:r>
        <w:t xml:space="preserve"> </w:t>
      </w:r>
      <w: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t xml:space="preserve"> </w:t>
      </w:r>
      <m:oMath>
        <m:sSup>
          <m:e>
            <m:r>
              <m:t>R</m:t>
            </m:r>
          </m:e>
          <m:sup>
            <m:r>
              <m:t>2</m:t>
            </m:r>
          </m:sup>
        </m:sSup>
      </m:oMath>
      <w:r>
        <w:t xml:space="preserve"> </w:t>
      </w:r>
      <w: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pPr>
      <w:r>
        <w:rPr>
          <w:b/>
          <w:bCs/>
        </w:rPr>
        <w:t xml:space="preserve">Table 3.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chr22 Selphi 1.5.3</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rPr>
                <w:b/>
                <w:bCs/>
              </w:rPr>
              <w:t xml:space="preserve">0.2836</w:t>
            </w:r>
          </w:p>
        </w:tc>
        <w:tc>
          <w:tcPr/>
          <w:p>
            <w:pPr>
              <w:pStyle w:val="Compact"/>
            </w:pPr>
            <w:r>
              <w:t xml:space="preserve">0.2800</w:t>
            </w:r>
          </w:p>
        </w:tc>
        <w:tc>
          <w:tcPr/>
          <w:p>
            <w:pPr>
              <w:pStyle w:val="Compact"/>
            </w:pPr>
            <w:r>
              <w:t xml:space="preserve">0.2613</w:t>
            </w:r>
          </w:p>
        </w:tc>
        <w:tc>
          <w:tcPr/>
          <w:p>
            <w:pPr>
              <w:pStyle w:val="Compact"/>
            </w:pPr>
            <w:r>
              <w:t xml:space="preserve">0.2757</w:t>
            </w:r>
          </w:p>
        </w:tc>
        <w:tc>
          <w:tcPr/>
          <w:p>
            <w:pPr>
              <w:pStyle w:val="Compact"/>
            </w:pPr>
            <w:r>
              <w:t xml:space="preserve">0.2502</w:t>
            </w:r>
          </w:p>
        </w:tc>
        <w:tc>
          <w:tcPr/>
          <w:p>
            <w:pPr>
              <w:pStyle w:val="Compact"/>
            </w:pPr>
            <w:r>
              <w:rPr>
                <w:b/>
                <w:bCs/>
              </w:rPr>
              <w:t xml:space="preserve">0.3669</w:t>
            </w:r>
          </w:p>
        </w:tc>
        <w:tc>
          <w:tcPr/>
          <w:p>
            <w:pPr>
              <w:pStyle w:val="Compact"/>
            </w:pPr>
            <w:r>
              <w:t xml:space="preserve">0.3638</w:t>
            </w:r>
          </w:p>
        </w:tc>
      </w:tr>
      <w:tr>
        <w:tc>
          <w:tcPr/>
          <w:p>
            <w:pPr>
              <w:pStyle w:val="Compact"/>
            </w:pPr>
            <w:r>
              <w:t xml:space="preserve">0.1-0.2%</w:t>
            </w:r>
          </w:p>
        </w:tc>
        <w:tc>
          <w:tcPr/>
          <w:p>
            <w:pPr>
              <w:pStyle w:val="Compact"/>
            </w:pPr>
            <w:r>
              <w:rPr>
                <w:b/>
                <w:bCs/>
              </w:rPr>
              <w:t xml:space="preserve">0.3324</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t xml:space="preserve">0.3051</w:t>
            </w:r>
          </w:p>
        </w:tc>
        <w:tc>
          <w:tcPr/>
          <w:p>
            <w:pPr>
              <w:pStyle w:val="Compact"/>
            </w:pPr>
            <w:r>
              <w:rPr>
                <w:b/>
                <w:bCs/>
              </w:rPr>
              <w:t xml:space="preserve">0.4227</w:t>
            </w:r>
          </w:p>
        </w:tc>
        <w:tc>
          <w:tcPr/>
          <w:p>
            <w:pPr>
              <w:pStyle w:val="Compact"/>
            </w:pPr>
            <w:r>
              <w:t xml:space="preserve">0.4065</w:t>
            </w:r>
          </w:p>
        </w:tc>
      </w:tr>
      <w:tr>
        <w:tc>
          <w:tcPr/>
          <w:p>
            <w:pPr>
              <w:pStyle w:val="Compact"/>
            </w:pPr>
            <w:r>
              <w:t xml:space="preserve">0.2-0.5%</w:t>
            </w:r>
          </w:p>
        </w:tc>
        <w:tc>
          <w:tcPr/>
          <w:p>
            <w:pPr>
              <w:pStyle w:val="Compact"/>
            </w:pPr>
            <w:r>
              <w:rPr>
                <w:b/>
                <w:bCs/>
              </w:rPr>
              <w:t xml:space="preserve">0.4300</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t xml:space="preserve">0.4064</w:t>
            </w:r>
          </w:p>
        </w:tc>
        <w:tc>
          <w:tcPr/>
          <w:p>
            <w:pPr>
              <w:pStyle w:val="Compact"/>
            </w:pPr>
            <w:r>
              <w:rPr>
                <w:b/>
                <w:bCs/>
              </w:rPr>
              <w:t xml:space="preserve">0.5180</w:t>
            </w:r>
          </w:p>
        </w:tc>
        <w:tc>
          <w:tcPr/>
          <w:p>
            <w:pPr>
              <w:pStyle w:val="Compact"/>
            </w:pPr>
            <w:r>
              <w:t xml:space="preserve">0.4950</w:t>
            </w:r>
          </w:p>
        </w:tc>
      </w:tr>
      <w:tr>
        <w:tc>
          <w:tcPr/>
          <w:p>
            <w:pPr>
              <w:pStyle w:val="Compact"/>
            </w:pPr>
            <w:r>
              <w:t xml:space="preserve">0.5-1%</w:t>
            </w:r>
          </w:p>
        </w:tc>
        <w:tc>
          <w:tcPr/>
          <w:p>
            <w:pPr>
              <w:pStyle w:val="Compact"/>
            </w:pPr>
            <w:r>
              <w:rPr>
                <w:b/>
                <w:bCs/>
              </w:rPr>
              <w:t xml:space="preserve">0.5130</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t xml:space="preserve">0.4986</w:t>
            </w:r>
          </w:p>
        </w:tc>
        <w:tc>
          <w:tcPr/>
          <w:p>
            <w:pPr>
              <w:pStyle w:val="Compact"/>
            </w:pPr>
            <w:r>
              <w:rPr>
                <w:b/>
                <w:bCs/>
              </w:rPr>
              <w:t xml:space="preserve">0.6178</w:t>
            </w:r>
          </w:p>
        </w:tc>
        <w:tc>
          <w:tcPr/>
          <w:p>
            <w:pPr>
              <w:pStyle w:val="Compact"/>
            </w:pPr>
            <w:r>
              <w:t xml:space="preserve">0.5924</w:t>
            </w:r>
          </w:p>
        </w:tc>
      </w:tr>
      <w:tr>
        <w:tc>
          <w:tcPr/>
          <w:p>
            <w:pPr>
              <w:pStyle w:val="Compact"/>
            </w:pPr>
            <w:r>
              <w:t xml:space="preserve">1-2%</w:t>
            </w:r>
          </w:p>
        </w:tc>
        <w:tc>
          <w:tcPr/>
          <w:p>
            <w:pPr>
              <w:pStyle w:val="Compact"/>
            </w:pPr>
            <w:r>
              <w:rPr>
                <w:b/>
                <w:bCs/>
              </w:rPr>
              <w:t xml:space="preserve">0.5767</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t xml:space="preserve">0.5696</w:t>
            </w:r>
          </w:p>
        </w:tc>
        <w:tc>
          <w:tcPr/>
          <w:p>
            <w:pPr>
              <w:pStyle w:val="Compact"/>
            </w:pPr>
            <w:r>
              <w:rPr>
                <w:b/>
                <w:bCs/>
              </w:rPr>
              <w:t xml:space="preserve">0.6832</w:t>
            </w:r>
          </w:p>
        </w:tc>
        <w:tc>
          <w:tcPr/>
          <w:p>
            <w:pPr>
              <w:pStyle w:val="Compact"/>
            </w:pPr>
            <w:r>
              <w:t xml:space="preserve">0.6578</w:t>
            </w:r>
          </w:p>
        </w:tc>
      </w:tr>
      <w:tr>
        <w:tc>
          <w:tcPr/>
          <w:p>
            <w:pPr>
              <w:pStyle w:val="Compact"/>
            </w:pPr>
            <w:r>
              <w:t xml:space="preserve">2-5%</w:t>
            </w:r>
          </w:p>
        </w:tc>
        <w:tc>
          <w:tcPr/>
          <w:p>
            <w:pPr>
              <w:pStyle w:val="Compact"/>
            </w:pPr>
            <w:r>
              <w:rPr>
                <w:b/>
                <w:bCs/>
              </w:rPr>
              <w:t xml:space="preserve">0.6783</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t xml:space="preserve">0.6753</w:t>
            </w:r>
          </w:p>
        </w:tc>
        <w:tc>
          <w:tcPr/>
          <w:p>
            <w:pPr>
              <w:pStyle w:val="Compact"/>
            </w:pPr>
            <w:r>
              <w:rPr>
                <w:b/>
                <w:bCs/>
              </w:rPr>
              <w:t xml:space="preserve">0.7574</w:t>
            </w:r>
          </w:p>
        </w:tc>
        <w:tc>
          <w:tcPr/>
          <w:p>
            <w:pPr>
              <w:pStyle w:val="Compact"/>
            </w:pPr>
            <w:r>
              <w:t xml:space="preserve">0.7338</w:t>
            </w:r>
          </w:p>
        </w:tc>
      </w:tr>
      <w:tr>
        <w:tc>
          <w:tcPr/>
          <w:p>
            <w:pPr>
              <w:pStyle w:val="Compact"/>
            </w:pPr>
            <w:r>
              <w:t xml:space="preserve">5-10%</w:t>
            </w:r>
          </w:p>
        </w:tc>
        <w:tc>
          <w:tcPr/>
          <w:p>
            <w:pPr>
              <w:pStyle w:val="Compact"/>
            </w:pPr>
            <w:r>
              <w:rPr>
                <w:b/>
                <w:bCs/>
              </w:rPr>
              <w:t xml:space="preserve">0.7608</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t xml:space="preserve">0.7598</w:t>
            </w:r>
          </w:p>
        </w:tc>
        <w:tc>
          <w:tcPr/>
          <w:p>
            <w:pPr>
              <w:pStyle w:val="Compact"/>
            </w:pPr>
            <w:r>
              <w:rPr>
                <w:b/>
                <w:bCs/>
              </w:rPr>
              <w:t xml:space="preserve">0.8513</w:t>
            </w:r>
          </w:p>
        </w:tc>
        <w:tc>
          <w:tcPr/>
          <w:p>
            <w:pPr>
              <w:pStyle w:val="Compact"/>
            </w:pPr>
            <w:r>
              <w:t xml:space="preserve">0.8343</w:t>
            </w:r>
          </w:p>
        </w:tc>
      </w:tr>
      <w:tr>
        <w:tc>
          <w:tcPr/>
          <w:p>
            <w:pPr>
              <w:pStyle w:val="Compact"/>
            </w:pPr>
            <w:r>
              <w:t xml:space="preserve">10-20%</w:t>
            </w:r>
          </w:p>
        </w:tc>
        <w:tc>
          <w:tcPr/>
          <w:p>
            <w:pPr>
              <w:pStyle w:val="Compact"/>
            </w:pPr>
            <w:r>
              <w:rPr>
                <w:b/>
                <w:bCs/>
              </w:rPr>
              <w:t xml:space="preserve">0.7971</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t xml:space="preserve">0.7972</w:t>
            </w:r>
          </w:p>
        </w:tc>
        <w:tc>
          <w:tcPr/>
          <w:p>
            <w:pPr>
              <w:pStyle w:val="Compact"/>
            </w:pPr>
            <w:r>
              <w:rPr>
                <w:b/>
                <w:bCs/>
              </w:rPr>
              <w:t xml:space="preserve">0.9018</w:t>
            </w:r>
          </w:p>
        </w:tc>
        <w:tc>
          <w:tcPr/>
          <w:p>
            <w:pPr>
              <w:pStyle w:val="Compact"/>
            </w:pPr>
            <w:r>
              <w:t xml:space="preserve">0.8901</w:t>
            </w:r>
          </w:p>
        </w:tc>
      </w:tr>
      <w:tr>
        <w:tc>
          <w:tcPr/>
          <w:p>
            <w:pPr>
              <w:pStyle w:val="Compact"/>
            </w:pPr>
            <w:r>
              <w:t xml:space="preserve">20-50%</w:t>
            </w:r>
          </w:p>
        </w:tc>
        <w:tc>
          <w:tcPr/>
          <w:p>
            <w:pPr>
              <w:pStyle w:val="Compact"/>
            </w:pPr>
            <w:r>
              <w:rPr>
                <w:b/>
                <w:bCs/>
              </w:rPr>
              <w:t xml:space="preserve">0.8430</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t xml:space="preserve">0.8432</w:t>
            </w:r>
          </w:p>
        </w:tc>
        <w:tc>
          <w:tcPr/>
          <w:p>
            <w:pPr>
              <w:pStyle w:val="Compact"/>
            </w:pPr>
            <w:r>
              <w:rPr>
                <w:b/>
                <w:bCs/>
              </w:rPr>
              <w:t xml:space="preserve">0.9318</w:t>
            </w:r>
          </w:p>
        </w:tc>
        <w:tc>
          <w:tcPr/>
          <w:p>
            <w:pPr>
              <w:pStyle w:val="Compact"/>
            </w:pPr>
            <w:r>
              <w:t xml:space="preserve">0.9231</w:t>
            </w:r>
          </w:p>
        </w:tc>
      </w:tr>
      <w:tr>
        <w:tc>
          <w:tcPr/>
          <w:p>
            <w:pPr>
              <w:pStyle w:val="Compact"/>
            </w:pPr>
            <w:r>
              <w:t xml:space="preserve">OVERALL</w:t>
            </w:r>
          </w:p>
        </w:tc>
        <w:tc>
          <w:tcPr/>
          <w:p>
            <w:pPr>
              <w:pStyle w:val="Compact"/>
            </w:pPr>
            <w:r>
              <w:rPr>
                <w:b/>
                <w:bCs/>
              </w:rPr>
              <w:t xml:space="preserve">0.4884</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t xml:space="preserve">0.4703</w:t>
            </w:r>
          </w:p>
        </w:tc>
        <w:tc>
          <w:tcPr/>
          <w:p>
            <w:pPr>
              <w:pStyle w:val="Compact"/>
            </w:pPr>
            <w:r>
              <w:rPr>
                <w:b/>
                <w:bCs/>
              </w:rPr>
              <w:t xml:space="preserve">0.5777</w:t>
            </w:r>
          </w:p>
        </w:tc>
        <w:tc>
          <w:tcPr/>
          <w:p>
            <w:pPr>
              <w:pStyle w:val="Compact"/>
            </w:pPr>
            <w:r>
              <w:t xml:space="preserve">0.5640</w:t>
            </w:r>
          </w:p>
        </w:tc>
      </w:tr>
    </w:tbl>
    <w:p>
      <w:pPr>
        <w:pStyle w:val="BodyText"/>
      </w:pPr>
      <w: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bookmarkEnd w:id="37"/>
    <w:bookmarkStart w:id="38" w:name="X6d3bddefc4b11d49fb24047a32f959377528e94"/>
    <w:p>
      <w:pPr>
        <w:pStyle w:val="Heading2"/>
      </w:pPr>
      <w:r>
        <w:rPr>
          <w:b/>
          <w:bCs/>
        </w:rPr>
        <w:t xml:space="preserve">Imputation accuracy on a biobank-scale admixed cohort</w:t>
      </w:r>
    </w:p>
    <w:p>
      <w:pPr>
        <w:pStyle w:val="FirstParagraph"/>
      </w:pPr>
      <w: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t xml:space="preserve"> </w:t>
      </w:r>
      <w:r>
        <w:t xml:space="preserve">= 2,500 retains 1.5% of the 171,054-haplotype TOPMed panel), systematically excluding haplotypes that carry rare alleles in minority sub-populations. We tested this hypothesis on the MESA cohort</w:t>
      </w:r>
      <w:r>
        <w:rPr>
          <w:vertAlign w:val="superscript"/>
        </w:rPr>
        <w:t xml:space="preserve">28</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2’s default diploid engine attains overall</w:t>
      </w:r>
      <w:r>
        <w:t xml:space="preserve"> </w:t>
      </w:r>
      <m:oMath>
        <m:sSup>
          <m:e>
            <m:r>
              <m:t>R</m:t>
            </m:r>
          </m:e>
          <m:sup>
            <m:r>
              <m:t>2</m:t>
            </m:r>
          </m:sup>
        </m:sSup>
      </m:oMath>
      <w:r>
        <w:t xml:space="preserve"> </w:t>
      </w:r>
      <w:r>
        <w:t xml:space="preserve">0.6210 on the MESA cohort, compared to 0.5921 for Beagle 5.5 on the same full-panel set of 17.9 million variants (</w:t>
      </w:r>
      <m:oMath>
        <m:r>
          <m:rPr>
            <m:sty m:val="p"/>
          </m:rPr>
          <m:t>Δ</m:t>
        </m:r>
      </m:oMath>
      <w:r>
        <w:t xml:space="preserve"> </w:t>
      </w:r>
      <w:r>
        <w:t xml:space="preserve">= +0.0289). Per-sample mean</w:t>
      </w:r>
      <w:r>
        <w:t xml:space="preserve"> </w:t>
      </w:r>
      <m:oMath>
        <m:sSup>
          <m:e>
            <m:r>
              <m:t>R</m:t>
            </m:r>
          </m:e>
          <m:sup>
            <m:r>
              <m:t>2</m:t>
            </m:r>
          </m:sup>
        </m:sSup>
      </m:oMath>
      <w:r>
        <w:t xml:space="preserve"> </w:t>
      </w:r>
      <w:r>
        <w:t xml:space="preserve">is 0.9017 (Selphi 2) versus 0.8764 (Beagle 5.5),</w:t>
      </w:r>
      <w:r>
        <w:t xml:space="preserve"> </w:t>
      </w:r>
      <m:oMath>
        <m:r>
          <m:rPr>
            <m:sty m:val="p"/>
          </m:rPr>
          <m:t>Δ</m:t>
        </m:r>
      </m:oMath>
      <w:r>
        <w:t xml:space="preserve"> </w:t>
      </w:r>
      <w:r>
        <w:t xml:space="preserve">= +0.0253; broken down by self-reported ancestry, Selphi 2 leads Beagle 5.5 in all four MESA groups (+0.023 to +0.037 per-sample</w:t>
      </w:r>
      <w:r>
        <w:t xml:space="preserve"> </w:t>
      </w:r>
      <m:oMath>
        <m:sSup>
          <m:e>
            <m:r>
              <m:t>R</m:t>
            </m:r>
          </m:e>
          <m:sup>
            <m:r>
              <m:t>2</m:t>
            </m:r>
          </m:sup>
        </m:sSup>
      </m:oMath>
      <w:r>
        <w:t xml:space="preserve">, largest on the East-Asian group; Figure 3b). Increasing the candidate set further to</w:t>
      </w:r>
      <w:r>
        <w:t xml:space="preserve"> </w:t>
      </w:r>
      <m:oMath>
        <m:sSub>
          <m:e>
            <m:r>
              <m:t>m</m:t>
            </m:r>
          </m:e>
          <m:sub>
            <m:r>
              <m:t>c</m:t>
            </m:r>
          </m:sub>
        </m:sSub>
      </m:oMath>
      <w:r>
        <w:t xml:space="preserve"> </w:t>
      </w:r>
      <w: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t xml:space="preserve"> </w:t>
      </w:r>
      <m:oMath>
        <m:sSup>
          <m:e>
            <m:r>
              <m:t>R</m:t>
            </m:r>
          </m:e>
          <m:sup>
            <m:r>
              <m:t>2</m:t>
            </m:r>
          </m:sup>
        </m:sSup>
      </m:oMath>
      <w:r>
        <w:t xml:space="preserve"> </w:t>
      </w:r>
      <w:r>
        <w:t xml:space="preserve">0.4967 and 0.4795 respectively, well below both Beagle 5.5 (0.5921) and Selphi 2 (0.6210): IMPUTE5’s fixed</w:t>
      </w:r>
      <w:r>
        <w:t xml:space="preserve"> </w:t>
      </w:r>
      <m:oMath>
        <m:r>
          <m:t>L</m:t>
        </m:r>
      </m:oMath>
      <w:r>
        <w:t xml:space="preserve"> </w:t>
      </w:r>
      <w: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(a representative fixed candidate-set size).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0.5916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0.6453, a gain of +0.0536 attributable entirely to the candidate-set size (Table 4).</w:t>
      </w:r>
    </w:p>
    <w:p>
      <w:pPr>
        <w:pStyle w:val="BodyText"/>
      </w:pPr>
      <w:r>
        <w:rPr>
          <w:b/>
          <w:bCs/>
        </w:rPr>
        <w:t xml:space="preserve">Table 4.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4b).</w:t>
      </w:r>
      <w:r>
        <w:t xml:space="preserve"> </w:t>
      </w:r>
      <m:oMath>
        <m:sSub>
          <m:e>
            <m:r>
              <m:t>m</m:t>
            </m:r>
          </m:e>
          <m:sub>
            <m:r>
              <m:t>c</m:t>
            </m:r>
          </m:sub>
        </m:sSub>
      </m:oMath>
      <w:r>
        <w:t xml:space="preserve"> </w:t>
      </w:r>
      <w:r>
        <w:t xml:space="preserve">= 2,500 is a representative fixed candidate-set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0.5273</w:t>
            </w:r>
          </w:p>
        </w:tc>
        <w:tc>
          <w:tcPr/>
          <w:p>
            <w:pPr>
              <w:pStyle w:val="Compact"/>
            </w:pPr>
            <w:r>
              <w:t xml:space="preserve">0.6220</w:t>
            </w:r>
          </w:p>
        </w:tc>
        <w:tc>
          <w:tcPr/>
          <w:p>
            <w:pPr>
              <w:pStyle w:val="Compact"/>
            </w:pPr>
            <w:r>
              <w:t xml:space="preserve">+0.0948</w:t>
            </w:r>
          </w:p>
        </w:tc>
      </w:tr>
      <w:tr>
        <w:tc>
          <w:tcPr/>
          <w:p>
            <w:pPr>
              <w:pStyle w:val="Compact"/>
            </w:pPr>
            <w:r>
              <w:t xml:space="preserve">0.2-0.5%</w:t>
            </w:r>
          </w:p>
        </w:tc>
        <w:tc>
          <w:tcPr/>
          <w:p>
            <w:pPr>
              <w:pStyle w:val="Compact"/>
            </w:pPr>
            <w:r>
              <w:t xml:space="preserve">0.5486</w:t>
            </w:r>
          </w:p>
        </w:tc>
        <w:tc>
          <w:tcPr/>
          <w:p>
            <w:pPr>
              <w:pStyle w:val="Compact"/>
            </w:pPr>
            <w:r>
              <w:t xml:space="preserve">0.6143</w:t>
            </w:r>
          </w:p>
        </w:tc>
        <w:tc>
          <w:tcPr/>
          <w:p>
            <w:pPr>
              <w:pStyle w:val="Compact"/>
            </w:pPr>
            <w:r>
              <w:t xml:space="preserve">+0.0657</w:t>
            </w:r>
          </w:p>
        </w:tc>
      </w:tr>
      <w:tr>
        <w:tc>
          <w:tcPr/>
          <w:p>
            <w:pPr>
              <w:pStyle w:val="Compact"/>
            </w:pPr>
            <w:r>
              <w:t xml:space="preserve">0.5-1%</w:t>
            </w:r>
          </w:p>
        </w:tc>
        <w:tc>
          <w:tcPr/>
          <w:p>
            <w:pPr>
              <w:pStyle w:val="Compact"/>
            </w:pPr>
            <w:r>
              <w:t xml:space="preserve">0.6097</w:t>
            </w:r>
          </w:p>
        </w:tc>
        <w:tc>
          <w:tcPr/>
          <w:p>
            <w:pPr>
              <w:pStyle w:val="Compact"/>
            </w:pPr>
            <w:r>
              <w:t xml:space="preserve">0.6520</w:t>
            </w:r>
          </w:p>
        </w:tc>
        <w:tc>
          <w:tcPr/>
          <w:p>
            <w:pPr>
              <w:pStyle w:val="Compact"/>
            </w:pPr>
            <w:r>
              <w:t xml:space="preserve">+0.0422</w:t>
            </w:r>
          </w:p>
        </w:tc>
      </w:tr>
      <w:tr>
        <w:tc>
          <w:tcPr/>
          <w:p>
            <w:pPr>
              <w:pStyle w:val="Compact"/>
            </w:pPr>
            <w:r>
              <w:t xml:space="preserve">1-2%</w:t>
            </w:r>
          </w:p>
        </w:tc>
        <w:tc>
          <w:tcPr/>
          <w:p>
            <w:pPr>
              <w:pStyle w:val="Compact"/>
            </w:pPr>
            <w:r>
              <w:t xml:space="preserve">0.6369</w:t>
            </w:r>
          </w:p>
        </w:tc>
        <w:tc>
          <w:tcPr/>
          <w:p>
            <w:pPr>
              <w:pStyle w:val="Compact"/>
            </w:pPr>
            <w:r>
              <w:t xml:space="preserve">0.6684</w:t>
            </w:r>
          </w:p>
        </w:tc>
        <w:tc>
          <w:tcPr/>
          <w:p>
            <w:pPr>
              <w:pStyle w:val="Compact"/>
            </w:pPr>
            <w:r>
              <w:t xml:space="preserve">+0.0315</w:t>
            </w:r>
          </w:p>
        </w:tc>
      </w:tr>
      <w:tr>
        <w:tc>
          <w:tcPr/>
          <w:p>
            <w:pPr>
              <w:pStyle w:val="Compact"/>
            </w:pPr>
            <w:r>
              <w:t xml:space="preserve">5-10%</w:t>
            </w:r>
          </w:p>
        </w:tc>
        <w:tc>
          <w:tcPr/>
          <w:p>
            <w:pPr>
              <w:pStyle w:val="Compact"/>
            </w:pPr>
            <w:r>
              <w:t xml:space="preserve">0.6656</w:t>
            </w:r>
          </w:p>
        </w:tc>
        <w:tc>
          <w:tcPr/>
          <w:p>
            <w:pPr>
              <w:pStyle w:val="Compact"/>
            </w:pPr>
            <w:r>
              <w:t xml:space="preserve">0.6788</w:t>
            </w:r>
          </w:p>
        </w:tc>
        <w:tc>
          <w:tcPr/>
          <w:p>
            <w:pPr>
              <w:pStyle w:val="Compact"/>
            </w:pPr>
            <w:r>
              <w:t xml:space="preserve">+0.0132</w:t>
            </w:r>
          </w:p>
        </w:tc>
      </w:tr>
      <w:tr>
        <w:tc>
          <w:tcPr/>
          <w:p>
            <w:pPr>
              <w:pStyle w:val="Compact"/>
            </w:pPr>
            <w:r>
              <w:t xml:space="preserve">20-50%</w:t>
            </w:r>
          </w:p>
        </w:tc>
        <w:tc>
          <w:tcPr/>
          <w:p>
            <w:pPr>
              <w:pStyle w:val="Compact"/>
            </w:pPr>
            <w:r>
              <w:t xml:space="preserve">0.6731</w:t>
            </w:r>
          </w:p>
        </w:tc>
        <w:tc>
          <w:tcPr/>
          <w:p>
            <w:pPr>
              <w:pStyle w:val="Compact"/>
            </w:pPr>
            <w:r>
              <w:t xml:space="preserve">0.6778</w:t>
            </w:r>
          </w:p>
        </w:tc>
        <w:tc>
          <w:tcPr/>
          <w:p>
            <w:pPr>
              <w:pStyle w:val="Compact"/>
            </w:pPr>
            <w:r>
              <w:t xml:space="preserve">+0.0047</w:t>
            </w:r>
          </w:p>
        </w:tc>
      </w:tr>
      <w:tr>
        <w:tc>
          <w:tcPr/>
          <w:p>
            <w:pPr>
              <w:pStyle w:val="Compact"/>
            </w:pPr>
            <w:r>
              <w:t xml:space="preserve">OVERALL</w:t>
            </w:r>
          </w:p>
        </w:tc>
        <w:tc>
          <w:tcPr/>
          <w:p>
            <w:pPr>
              <w:pStyle w:val="Compact"/>
            </w:pPr>
            <w:r>
              <w:t xml:space="preserve">0.5916</w:t>
            </w:r>
          </w:p>
        </w:tc>
        <w:tc>
          <w:tcPr/>
          <w:p>
            <w:pPr>
              <w:pStyle w:val="Compact"/>
            </w:pPr>
            <w:r>
              <w:rPr>
                <w:b/>
                <w:bCs/>
              </w:rPr>
              <w:t xml:space="preserve">0.6453</w:t>
            </w:r>
          </w:p>
        </w:tc>
        <w:tc>
          <w:tcPr/>
          <w:p>
            <w:pPr>
              <w:pStyle w:val="Compact"/>
            </w:pPr>
            <w:r>
              <w:rPr>
                <w:b/>
                <w:bCs/>
              </w:rPr>
              <w:t xml:space="preserve">+0.0536</w:t>
            </w:r>
          </w:p>
        </w:tc>
      </w:tr>
    </w:tbl>
    <w:p>
      <w:pPr>
        <w:pStyle w:val="BodyText"/>
      </w:pPr>
      <w:r>
        <w:t xml:space="preserve">The gain is monotonically larger at rarer MAF bins, confirming that the fixed candidate-set size was preferentially truncating rare-variant carriers. The panel-adaptive formula recovers this accuracy without manual tuning.</w:t>
      </w:r>
    </w:p>
    <w:p>
      <w:pPr>
        <w:pStyle w:val="BodyText"/>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4b): at the rarest bin (MAF 0.05-0.1%) the panel-adaptive sizing recovers +0.153</w:t>
      </w:r>
      <w:r>
        <w:t xml:space="preserve"> </w:t>
      </w:r>
      <m:oMath>
        <m:sSup>
          <m:e>
            <m:r>
              <m:t>R</m:t>
            </m:r>
          </m:e>
          <m:sup>
            <m:r>
              <m:t>2</m:t>
            </m:r>
          </m:sup>
        </m:sSup>
      </m:oMath>
      <w:r>
        <w:t xml:space="preserve"> </w:t>
      </w:r>
      <w: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pPr>
      <w:r>
        <w:rPr>
          <w:b/>
          <w:bCs/>
        </w:rPr>
        <w:t xml:space="preserve">Table 4b.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+0.1206</w:t>
            </w:r>
          </w:p>
        </w:tc>
        <w:tc>
          <w:tcPr/>
          <w:p>
            <w:pPr>
              <w:pStyle w:val="Compact"/>
            </w:pPr>
            <w:r>
              <w:rPr>
                <w:b/>
                <w:bCs/>
              </w:rPr>
              <w:t xml:space="preserve">+0.1529</w:t>
            </w:r>
          </w:p>
        </w:tc>
        <w:tc>
          <w:tcPr/>
          <w:p>
            <w:pPr>
              <w:pStyle w:val="Compact"/>
            </w:pPr>
            <w:r>
              <w:t xml:space="preserve">+0.1049</w:t>
            </w:r>
          </w:p>
        </w:tc>
        <w:tc>
          <w:tcPr/>
          <w:p>
            <w:pPr>
              <w:pStyle w:val="Compact"/>
            </w:pPr>
            <w:r>
              <w:t xml:space="preserve">+0.0093</w:t>
            </w:r>
          </w:p>
        </w:tc>
      </w:tr>
      <w:tr>
        <w:tc>
          <w:tcPr/>
          <w:p>
            <w:pPr>
              <w:pStyle w:val="Compact"/>
            </w:pPr>
            <w:r>
              <w:t xml:space="preserve">0.1-0.2%</w:t>
            </w:r>
          </w:p>
        </w:tc>
        <w:tc>
          <w:tcPr/>
          <w:p>
            <w:pPr>
              <w:pStyle w:val="Compact"/>
            </w:pPr>
            <w:r>
              <w:t xml:space="preserve">+0.0973</w:t>
            </w:r>
          </w:p>
        </w:tc>
        <w:tc>
          <w:tcPr/>
          <w:p>
            <w:pPr>
              <w:pStyle w:val="Compact"/>
            </w:pPr>
            <w:r>
              <w:t xml:space="preserve">+0.1362</w:t>
            </w:r>
          </w:p>
        </w:tc>
        <w:tc>
          <w:tcPr/>
          <w:p>
            <w:pPr>
              <w:pStyle w:val="Compact"/>
            </w:pPr>
            <w:r>
              <w:t xml:space="preserve">+0.0734</w:t>
            </w:r>
          </w:p>
        </w:tc>
        <w:tc>
          <w:tcPr/>
          <w:p>
            <w:pPr>
              <w:pStyle w:val="Compact"/>
            </w:pPr>
            <w:r>
              <w:t xml:space="preserve">+0.0097</w:t>
            </w:r>
          </w:p>
        </w:tc>
      </w:tr>
      <w:tr>
        <w:tc>
          <w:tcPr/>
          <w:p>
            <w:pPr>
              <w:pStyle w:val="Compact"/>
            </w:pPr>
            <w:r>
              <w:t xml:space="preserve">0.2-0.5%</w:t>
            </w:r>
          </w:p>
        </w:tc>
        <w:tc>
          <w:tcPr/>
          <w:p>
            <w:pPr>
              <w:pStyle w:val="Compact"/>
            </w:pPr>
            <w:r>
              <w:t xml:space="preserve">+0.0702</w:t>
            </w:r>
          </w:p>
        </w:tc>
        <w:tc>
          <w:tcPr/>
          <w:p>
            <w:pPr>
              <w:pStyle w:val="Compact"/>
            </w:pPr>
            <w:r>
              <w:t xml:space="preserve">+0.1095</w:t>
            </w:r>
          </w:p>
        </w:tc>
        <w:tc>
          <w:tcPr/>
          <w:p>
            <w:pPr>
              <w:pStyle w:val="Compact"/>
            </w:pPr>
            <w:r>
              <w:t xml:space="preserve">+0.0471</w:t>
            </w:r>
          </w:p>
        </w:tc>
        <w:tc>
          <w:tcPr/>
          <w:p>
            <w:pPr>
              <w:pStyle w:val="Compact"/>
            </w:pPr>
            <w:r>
              <w:t xml:space="preserve">+0.0031</w:t>
            </w:r>
          </w:p>
        </w:tc>
      </w:tr>
      <w:tr>
        <w:tc>
          <w:tcPr/>
          <w:p>
            <w:pPr>
              <w:pStyle w:val="Compact"/>
            </w:pPr>
            <w:r>
              <w:t xml:space="preserve">0.5-1%</w:t>
            </w:r>
          </w:p>
        </w:tc>
        <w:tc>
          <w:tcPr/>
          <w:p>
            <w:pPr>
              <w:pStyle w:val="Compact"/>
            </w:pPr>
            <w:r>
              <w:t xml:space="preserve">+0.0513</w:t>
            </w:r>
          </w:p>
        </w:tc>
        <w:tc>
          <w:tcPr/>
          <w:p>
            <w:pPr>
              <w:pStyle w:val="Compact"/>
            </w:pPr>
            <w:r>
              <w:t xml:space="preserve">+0.0830</w:t>
            </w:r>
          </w:p>
        </w:tc>
        <w:tc>
          <w:tcPr/>
          <w:p>
            <w:pPr>
              <w:pStyle w:val="Compact"/>
            </w:pPr>
            <w:r>
              <w:t xml:space="preserve">+0.0298</w:t>
            </w:r>
          </w:p>
        </w:tc>
        <w:tc>
          <w:tcPr/>
          <w:p>
            <w:pPr>
              <w:pStyle w:val="Compact"/>
            </w:pPr>
            <w:r>
              <w:t xml:space="preserve">-0.0007</w:t>
            </w:r>
          </w:p>
        </w:tc>
      </w:tr>
      <w:tr>
        <w:tc>
          <w:tcPr/>
          <w:p>
            <w:pPr>
              <w:pStyle w:val="Compact"/>
            </w:pPr>
            <w:r>
              <w:t xml:space="preserve">1-2%</w:t>
            </w:r>
          </w:p>
        </w:tc>
        <w:tc>
          <w:tcPr/>
          <w:p>
            <w:pPr>
              <w:pStyle w:val="Compact"/>
            </w:pPr>
            <w:r>
              <w:t xml:space="preserve">+0.0416</w:t>
            </w:r>
          </w:p>
        </w:tc>
        <w:tc>
          <w:tcPr/>
          <w:p>
            <w:pPr>
              <w:pStyle w:val="Compact"/>
            </w:pPr>
            <w:r>
              <w:t xml:space="preserve">+0.0573</w:t>
            </w:r>
          </w:p>
        </w:tc>
        <w:tc>
          <w:tcPr/>
          <w:p>
            <w:pPr>
              <w:pStyle w:val="Compact"/>
            </w:pPr>
            <w:r>
              <w:t xml:space="preserve">+0.0185</w:t>
            </w:r>
          </w:p>
        </w:tc>
        <w:tc>
          <w:tcPr/>
          <w:p>
            <w:pPr>
              <w:pStyle w:val="Compact"/>
            </w:pPr>
            <w:r>
              <w:t xml:space="preserve">-0.0045</w:t>
            </w:r>
          </w:p>
        </w:tc>
      </w:tr>
      <w:tr>
        <w:tc>
          <w:tcPr/>
          <w:p>
            <w:pPr>
              <w:pStyle w:val="Compact"/>
            </w:pPr>
            <w:r>
              <w:t xml:space="preserve">2-5%</w:t>
            </w:r>
          </w:p>
        </w:tc>
        <w:tc>
          <w:tcPr/>
          <w:p>
            <w:pPr>
              <w:pStyle w:val="Compact"/>
            </w:pPr>
            <w:r>
              <w:t xml:space="preserve">+0.0331</w:t>
            </w:r>
          </w:p>
        </w:tc>
        <w:tc>
          <w:tcPr/>
          <w:p>
            <w:pPr>
              <w:pStyle w:val="Compact"/>
            </w:pPr>
            <w:r>
              <w:t xml:space="preserve">+0.0356</w:t>
            </w:r>
          </w:p>
        </w:tc>
        <w:tc>
          <w:tcPr/>
          <w:p>
            <w:pPr>
              <w:pStyle w:val="Compact"/>
            </w:pPr>
            <w:r>
              <w:t xml:space="preserve">+0.0090</w:t>
            </w:r>
          </w:p>
        </w:tc>
        <w:tc>
          <w:tcPr/>
          <w:p>
            <w:pPr>
              <w:pStyle w:val="Compact"/>
            </w:pPr>
            <w:r>
              <w:t xml:space="preserve">-0.0054</w:t>
            </w:r>
          </w:p>
        </w:tc>
      </w:tr>
      <w:tr>
        <w:tc>
          <w:tcPr/>
          <w:p>
            <w:pPr>
              <w:pStyle w:val="Compact"/>
            </w:pPr>
            <w:r>
              <w:t xml:space="preserve">5-10%</w:t>
            </w:r>
          </w:p>
        </w:tc>
        <w:tc>
          <w:tcPr/>
          <w:p>
            <w:pPr>
              <w:pStyle w:val="Compact"/>
            </w:pPr>
            <w:r>
              <w:t xml:space="preserve">+0.0256</w:t>
            </w:r>
          </w:p>
        </w:tc>
        <w:tc>
          <w:tcPr/>
          <w:p>
            <w:pPr>
              <w:pStyle w:val="Compact"/>
            </w:pPr>
            <w:r>
              <w:t xml:space="preserve">+0.0201</w:t>
            </w:r>
          </w:p>
        </w:tc>
        <w:tc>
          <w:tcPr/>
          <w:p>
            <w:pPr>
              <w:pStyle w:val="Compact"/>
            </w:pPr>
            <w:r>
              <w:t xml:space="preserve">+0.0080</w:t>
            </w:r>
          </w:p>
        </w:tc>
        <w:tc>
          <w:tcPr/>
          <w:p>
            <w:pPr>
              <w:pStyle w:val="Compact"/>
            </w:pPr>
            <w:r>
              <w:t xml:space="preserve">-0.0058</w:t>
            </w:r>
          </w:p>
        </w:tc>
      </w:tr>
      <w:tr>
        <w:tc>
          <w:tcPr/>
          <w:p>
            <w:pPr>
              <w:pStyle w:val="Compact"/>
            </w:pPr>
            <w:r>
              <w:t xml:space="preserve">10-20%</w:t>
            </w:r>
          </w:p>
        </w:tc>
        <w:tc>
          <w:tcPr/>
          <w:p>
            <w:pPr>
              <w:pStyle w:val="Compact"/>
            </w:pPr>
            <w:r>
              <w:t xml:space="preserve">+0.0192</w:t>
            </w:r>
          </w:p>
        </w:tc>
        <w:tc>
          <w:tcPr/>
          <w:p>
            <w:pPr>
              <w:pStyle w:val="Compact"/>
            </w:pPr>
            <w:r>
              <w:t xml:space="preserve">+0.0142</w:t>
            </w:r>
          </w:p>
        </w:tc>
        <w:tc>
          <w:tcPr/>
          <w:p>
            <w:pPr>
              <w:pStyle w:val="Compact"/>
            </w:pPr>
            <w:r>
              <w:t xml:space="preserve">+0.0064</w:t>
            </w:r>
          </w:p>
        </w:tc>
        <w:tc>
          <w:tcPr/>
          <w:p>
            <w:pPr>
              <w:pStyle w:val="Compact"/>
            </w:pPr>
            <w:r>
              <w:t xml:space="preserve">-0.0054</w:t>
            </w:r>
          </w:p>
        </w:tc>
      </w:tr>
      <w:tr>
        <w:tc>
          <w:tcPr/>
          <w:p>
            <w:pPr>
              <w:pStyle w:val="Compact"/>
            </w:pPr>
            <w:r>
              <w:t xml:space="preserve">20-50%</w:t>
            </w:r>
          </w:p>
        </w:tc>
        <w:tc>
          <w:tcPr/>
          <w:p>
            <w:pPr>
              <w:pStyle w:val="Compact"/>
            </w:pPr>
            <w:r>
              <w:t xml:space="preserve">+0.0127</w:t>
            </w:r>
          </w:p>
        </w:tc>
        <w:tc>
          <w:tcPr/>
          <w:p>
            <w:pPr>
              <w:pStyle w:val="Compact"/>
            </w:pPr>
            <w:r>
              <w:t xml:space="preserve">+0.0092</w:t>
            </w:r>
          </w:p>
        </w:tc>
        <w:tc>
          <w:tcPr/>
          <w:p>
            <w:pPr>
              <w:pStyle w:val="Compact"/>
            </w:pPr>
            <w:r>
              <w:t xml:space="preserve">+0.0038</w:t>
            </w:r>
          </w:p>
        </w:tc>
        <w:tc>
          <w:tcPr/>
          <w:p>
            <w:pPr>
              <w:pStyle w:val="Compact"/>
            </w:pPr>
            <w:r>
              <w:t xml:space="preserve">-0.0039</w:t>
            </w:r>
          </w:p>
        </w:tc>
      </w:tr>
      <w:tr>
        <w:tc>
          <w:tcPr/>
          <w:p>
            <w:pPr>
              <w:pStyle w:val="Compact"/>
            </w:pPr>
            <w:r>
              <w:t xml:space="preserve">OVERALL</w:t>
            </w:r>
          </w:p>
        </w:tc>
        <w:tc>
          <w:tcPr/>
          <w:p>
            <w:pPr>
              <w:pStyle w:val="Compact"/>
            </w:pPr>
            <w:r>
              <w:t xml:space="preserve">+0.0729</w:t>
            </w:r>
          </w:p>
        </w:tc>
        <w:tc>
          <w:tcPr/>
          <w:p>
            <w:pPr>
              <w:pStyle w:val="Compact"/>
            </w:pPr>
            <w:r>
              <w:t xml:space="preserve">+0.1003</w:t>
            </w:r>
          </w:p>
        </w:tc>
        <w:tc>
          <w:tcPr/>
          <w:p>
            <w:pPr>
              <w:pStyle w:val="Compact"/>
            </w:pPr>
            <w:r>
              <w:t xml:space="preserve">+0.0453</w:t>
            </w:r>
          </w:p>
        </w:tc>
        <w:tc>
          <w:tcPr/>
          <w:p>
            <w:pPr>
              <w:pStyle w:val="Compact"/>
            </w:pPr>
            <w:r>
              <w:t xml:space="preserve">-0.0021</w:t>
            </w:r>
          </w:p>
        </w:tc>
      </w:tr>
    </w:tbl>
    <w:bookmarkEnd w:id="38"/>
    <w:bookmarkStart w:id="4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rPr>
          <w:vertAlign w:val="superscript"/>
        </w:rPr>
        <w:t xml:space="preserve">29</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+0.0105, Middle-Eastern +0.0066; African +0.0129, East-Asian +0.0079; Table 4c). The advantage is unanimous across individuals: Selphi 2’s per-sample</w:t>
      </w:r>
      <w:r>
        <w:t xml:space="preserve"> </w:t>
      </w:r>
      <m:oMath>
        <m:sSup>
          <m:e>
            <m:r>
              <m:t>R</m:t>
            </m:r>
          </m:e>
          <m:sup>
            <m:r>
              <m:t>2</m:t>
            </m:r>
          </m:sup>
        </m:sSup>
      </m:oMath>
      <w:r>
        <w:t xml:space="preserve"> </w:t>
      </w:r>
      <w:r>
        <w:t xml:space="preserve">exceeds Beagle 5.5’s in all 925 targets (mean</w:t>
      </w:r>
      <w:r>
        <w:t xml:space="preserve"> </w:t>
      </w:r>
      <m:oMath>
        <m:r>
          <m:rPr>
            <m:sty m:val="p"/>
          </m:rPr>
          <m:t>Δ</m:t>
        </m:r>
        <m:sSup>
          <m:e>
            <m:r>
              <m:t>R</m:t>
            </m:r>
          </m:e>
          <m:sup>
            <m:r>
              <m:t>2</m:t>
            </m:r>
          </m:sup>
        </m:sSup>
      </m:oMath>
      <w:r>
        <w:t xml:space="preserve"> </w:t>
      </w:r>
      <w:r>
        <w:t xml:space="preserve">= +0.0072, 95% CI [+0.0070, +0.0075] from 20,000 paired bootstrap resamples; two-sided Wilcoxon</w:t>
      </w:r>
      <w:r>
        <w:t xml:space="preserve"> </w:t>
      </w:r>
      <m:oMath>
        <m:r>
          <m:t>p</m:t>
        </m:r>
        <m:r>
          <m:rPr>
            <m:sty m:val="p"/>
          </m:rPr>
          <m:t>&lt;</m:t>
        </m:r>
        <m:sSup>
          <m:e>
            <m:r>
              <m:t>10</m:t>
            </m:r>
          </m:e>
          <m:sup>
            <m:r>
              <m:rPr>
                <m:sty m:val="p"/>
              </m:rPr>
              <m:t>−</m:t>
            </m:r>
            <m:r>
              <m:t>100</m:t>
            </m:r>
          </m:sup>
        </m:sSup>
      </m:oMath>
      <w: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pPr>
      <w:r>
        <w:rPr>
          <w:b/>
          <w:bCs/>
        </w:rPr>
        <w:t xml:space="preserve">Table 4c.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0.8983</w:t>
            </w:r>
          </w:p>
        </w:tc>
        <w:tc>
          <w:tcPr/>
          <w:p>
            <w:pPr>
              <w:pStyle w:val="Compact"/>
            </w:pPr>
            <w:r>
              <w:t xml:space="preserve">0.8879</w:t>
            </w:r>
          </w:p>
        </w:tc>
        <w:tc>
          <w:tcPr/>
          <w:p>
            <w:pPr>
              <w:pStyle w:val="Compact"/>
            </w:pPr>
            <w:r>
              <w:t xml:space="preserve">+0.0105</w:t>
            </w:r>
          </w:p>
        </w:tc>
      </w:tr>
      <w:tr>
        <w:tc>
          <w:tcPr/>
          <w:p>
            <w:pPr>
              <w:pStyle w:val="Compact"/>
            </w:pPr>
            <w:r>
              <w:t xml:space="preserve">Middle-Eastern, not in panel (157)</w:t>
            </w:r>
          </w:p>
        </w:tc>
        <w:tc>
          <w:tcPr/>
          <w:p>
            <w:pPr>
              <w:pStyle w:val="Compact"/>
            </w:pPr>
            <w:r>
              <w:rPr>
                <w:b/>
                <w:bCs/>
              </w:rPr>
              <w:t xml:space="preserve">0.9391</w:t>
            </w:r>
          </w:p>
        </w:tc>
        <w:tc>
          <w:tcPr/>
          <w:p>
            <w:pPr>
              <w:pStyle w:val="Compact"/>
            </w:pPr>
            <w:r>
              <w:t xml:space="preserve">0.9325</w:t>
            </w:r>
          </w:p>
        </w:tc>
        <w:tc>
          <w:tcPr/>
          <w:p>
            <w:pPr>
              <w:pStyle w:val="Compact"/>
            </w:pPr>
            <w:r>
              <w:t xml:space="preserve">+0.0066</w:t>
            </w:r>
          </w:p>
        </w:tc>
      </w:tr>
      <w:tr>
        <w:tc>
          <w:tcPr/>
          <w:p>
            <w:pPr>
              <w:pStyle w:val="Compact"/>
            </w:pPr>
            <w:r>
              <w:t xml:space="preserve">African (107)</w:t>
            </w:r>
          </w:p>
        </w:tc>
        <w:tc>
          <w:tcPr/>
          <w:p>
            <w:pPr>
              <w:pStyle w:val="Compact"/>
            </w:pPr>
            <w:r>
              <w:rPr>
                <w:b/>
                <w:bCs/>
              </w:rPr>
              <w:t xml:space="preserve">0.8784</w:t>
            </w:r>
          </w:p>
        </w:tc>
        <w:tc>
          <w:tcPr/>
          <w:p>
            <w:pPr>
              <w:pStyle w:val="Compact"/>
            </w:pPr>
            <w:r>
              <w:t xml:space="preserve">0.8655</w:t>
            </w:r>
          </w:p>
        </w:tc>
        <w:tc>
          <w:tcPr/>
          <w:p>
            <w:pPr>
              <w:pStyle w:val="Compact"/>
            </w:pPr>
            <w:r>
              <w:t xml:space="preserve">+0.0129</w:t>
            </w:r>
          </w:p>
        </w:tc>
      </w:tr>
      <w:tr>
        <w:tc>
          <w:tcPr/>
          <w:p>
            <w:pPr>
              <w:pStyle w:val="Compact"/>
            </w:pPr>
            <w:r>
              <w:t xml:space="preserve">East-Asian (233)</w:t>
            </w:r>
          </w:p>
        </w:tc>
        <w:tc>
          <w:tcPr/>
          <w:p>
            <w:pPr>
              <w:pStyle w:val="Compact"/>
            </w:pPr>
            <w:r>
              <w:rPr>
                <w:b/>
                <w:bCs/>
              </w:rPr>
              <w:t xml:space="preserve">0.9509</w:t>
            </w:r>
          </w:p>
        </w:tc>
        <w:tc>
          <w:tcPr/>
          <w:p>
            <w:pPr>
              <w:pStyle w:val="Compact"/>
            </w:pPr>
            <w:r>
              <w:t xml:space="preserve">0.9429</w:t>
            </w:r>
          </w:p>
        </w:tc>
        <w:tc>
          <w:tcPr/>
          <w:p>
            <w:pPr>
              <w:pStyle w:val="Compact"/>
            </w:pPr>
            <w:r>
              <w:t xml:space="preserve">+0.0079</w:t>
            </w:r>
          </w:p>
        </w:tc>
      </w:tr>
      <w:tr>
        <w:tc>
          <w:tcPr/>
          <w:p>
            <w:pPr>
              <w:pStyle w:val="Compact"/>
            </w:pPr>
            <w:r>
              <w:t xml:space="preserve">Central/South-Asian (183)</w:t>
            </w:r>
          </w:p>
        </w:tc>
        <w:tc>
          <w:tcPr/>
          <w:p>
            <w:pPr>
              <w:pStyle w:val="Compact"/>
            </w:pPr>
            <w:r>
              <w:rPr>
                <w:b/>
                <w:bCs/>
              </w:rPr>
              <w:t xml:space="preserve">0.9472</w:t>
            </w:r>
          </w:p>
        </w:tc>
        <w:tc>
          <w:tcPr/>
          <w:p>
            <w:pPr>
              <w:pStyle w:val="Compact"/>
            </w:pPr>
            <w:r>
              <w:t xml:space="preserve">0.9416</w:t>
            </w:r>
          </w:p>
        </w:tc>
        <w:tc>
          <w:tcPr/>
          <w:p>
            <w:pPr>
              <w:pStyle w:val="Compact"/>
            </w:pPr>
            <w:r>
              <w:t xml:space="preserve">+0.0056</w:t>
            </w:r>
          </w:p>
        </w:tc>
      </w:tr>
      <w:tr>
        <w:tc>
          <w:tcPr/>
          <w:p>
            <w:pPr>
              <w:pStyle w:val="Compact"/>
            </w:pPr>
            <w:r>
              <w:t xml:space="preserve">European (153)</w:t>
            </w:r>
          </w:p>
        </w:tc>
        <w:tc>
          <w:tcPr/>
          <w:p>
            <w:pPr>
              <w:pStyle w:val="Compact"/>
            </w:pPr>
            <w:r>
              <w:rPr>
                <w:b/>
                <w:bCs/>
              </w:rPr>
              <w:t xml:space="preserve">0.9578</w:t>
            </w:r>
          </w:p>
        </w:tc>
        <w:tc>
          <w:tcPr/>
          <w:p>
            <w:pPr>
              <w:pStyle w:val="Compact"/>
            </w:pPr>
            <w:r>
              <w:t xml:space="preserve">0.9531</w:t>
            </w:r>
          </w:p>
        </w:tc>
        <w:tc>
          <w:tcPr/>
          <w:p>
            <w:pPr>
              <w:pStyle w:val="Compact"/>
            </w:pPr>
            <w:r>
              <w:t xml:space="preserve">+0.0048</w:t>
            </w:r>
          </w:p>
        </w:tc>
      </w:tr>
      <w:tr>
        <w:tc>
          <w:tcPr/>
          <w:p>
            <w:pPr>
              <w:pStyle w:val="Compact"/>
            </w:pPr>
            <w:r>
              <w:t xml:space="preserve">Admixed-American (62)</w:t>
            </w:r>
          </w:p>
        </w:tc>
        <w:tc>
          <w:tcPr/>
          <w:p>
            <w:pPr>
              <w:pStyle w:val="Compact"/>
            </w:pPr>
            <w:r>
              <w:rPr>
                <w:b/>
                <w:bCs/>
              </w:rPr>
              <w:t xml:space="preserve">0.9627</w:t>
            </w:r>
          </w:p>
        </w:tc>
        <w:tc>
          <w:tcPr/>
          <w:p>
            <w:pPr>
              <w:pStyle w:val="Compact"/>
            </w:pPr>
            <w:r>
              <w:t xml:space="preserve">0.9568</w:t>
            </w:r>
          </w:p>
        </w:tc>
        <w:tc>
          <w:tcPr/>
          <w:p>
            <w:pPr>
              <w:pStyle w:val="Compact"/>
            </w:pPr>
            <w:r>
              <w:t xml:space="preserve">+0.0060</w:t>
            </w:r>
          </w:p>
        </w:tc>
      </w:tr>
      <w:tr>
        <w:tc>
          <w:tcPr/>
          <w:p>
            <w:pPr>
              <w:pStyle w:val="Compact"/>
            </w:pPr>
            <w:r>
              <w:t xml:space="preserve">All (925)</w:t>
            </w:r>
          </w:p>
        </w:tc>
        <w:tc>
          <w:tcPr/>
          <w:p>
            <w:pPr>
              <w:pStyle w:val="Compact"/>
            </w:pPr>
            <w:r>
              <w:rPr>
                <w:b/>
                <w:bCs/>
              </w:rPr>
              <w:t xml:space="preserve">0.9400</w:t>
            </w:r>
          </w:p>
        </w:tc>
        <w:tc>
          <w:tcPr/>
          <w:p>
            <w:pPr>
              <w:pStyle w:val="Compact"/>
            </w:pPr>
            <w:r>
              <w:t xml:space="preserve">0.9328</w:t>
            </w:r>
          </w:p>
        </w:tc>
        <w:tc>
          <w:tcPr/>
          <w:p>
            <w:pPr>
              <w:pStyle w:val="Compact"/>
            </w:pPr>
            <w:r>
              <w:t xml:space="preserve">+0.0072</w:t>
            </w:r>
          </w:p>
        </w:tc>
      </w:tr>
    </w:tbl>
    <w:p>
      <w:pPr>
        <w:pStyle w:val="CaptionedFigure"/>
      </w:pPr>
      <w: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Imputation accuracy across the allele-frequency spectrum.</w:t>
      </w:r>
      <w:r>
        <w:t xml:space="preserve"> </w:t>
      </w:r>
      <w:r>
        <w:t xml:space="preserve">(a) 1000 Genomes genome-wide (20 autosomes; chr8 and chr11 excluded because Beagle aborted on a duplicate panel marker, so all tools use the identical chromosome set), imputation-only: n-weighted per-MAF</w:t>
      </w:r>
      <w:r>
        <w:t xml:space="preserve"> </w:t>
      </w:r>
      <m:oMath>
        <m:sSup>
          <m:e>
            <m:r>
              <m:t>R</m:t>
            </m:r>
          </m:e>
          <m:sup>
            <m:r>
              <m:t>2</m:t>
            </m:r>
          </m:sup>
        </m:sSup>
      </m:oMath>
      <w:r>
        <w:t xml:space="preserve"> </w:t>
      </w:r>
      <w: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t xml:space="preserve"> </w:t>
      </w:r>
      <m:oMath>
        <m:sSup>
          <m:e>
            <m:r>
              <m:t>R</m:t>
            </m:r>
          </m:e>
          <m:sup>
            <m:r>
              <m:t>2</m:t>
            </m:r>
          </m:sup>
        </m:sSup>
      </m:oMath>
      <w:r>
        <w:t xml:space="preserve"> </w:t>
      </w:r>
      <w:r>
        <w:t xml:space="preserve">(0.5814) and across the low-frequency bins; it and Selphi 1.5.3 lie within ≈0.001 at the common bins, both above the three external tools, and Beagle 5.5 leads only the rarest 0.05-0.1% bin (Supplementary Table S9).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candidate-set-sizing ablation behind the rare-variant gains in the admixed and diverged groups is in Table 4b.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2b) Selphi 2 leads at 1</w:t>
      </w:r>
      <m:oMath>
        <m:r>
          <m:rPr>
            <m:sty m:val="p"/>
          </m:rPr>
          <m:t>×</m:t>
        </m:r>
      </m:oMath>
      <w:r>
        <w:t xml:space="preserve">, 2</w:t>
      </w:r>
      <m:oMath>
        <m:r>
          <m:rPr>
            <m:sty m:val="p"/>
          </m:rPr>
          <m:t>×</m:t>
        </m:r>
      </m:oMath>
      <w:r>
        <w:t xml:space="preserve"> </w:t>
      </w:r>
      <w:r>
        <w:t xml:space="preserve">and 4</w:t>
      </w:r>
      <m:oMath>
        <m:r>
          <m:rPr>
            <m:sty m:val="p"/>
          </m:rPr>
          <m:t>×</m:t>
        </m:r>
      </m:oMath>
      <w:r>
        <w:t xml:space="preserve">, with GLIMPSE2 marginally ahead only at the read-starved 0.5</w:t>
      </w:r>
      <m:oMath>
        <m:r>
          <m:rPr>
            <m:sty m:val="p"/>
          </m:rPr>
          <m:t>×</m:t>
        </m:r>
      </m:oMath>
      <w:r>
        <w:t xml:space="preserve">.</w:t>
      </w:r>
    </w:p>
    <w:bookmarkEnd w:id="42"/>
    <w:bookmarkStart w:id="43" w:name="X9e0dc98142f4ca72e1fa7fdf7293104c848b106"/>
    <w:p>
      <w:pPr>
        <w:pStyle w:val="Heading2"/>
      </w:pPr>
      <w:r>
        <w:rPr>
          <w:b/>
          <w:bCs/>
        </w:rPr>
        <w:t xml:space="preserve">Independent validation against leak-free GIAB truth</w:t>
      </w:r>
    </w:p>
    <w:p>
      <w:pPr>
        <w:pStyle w:val="FirstParagrap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pPr>
      <w:r>
        <w:t xml:space="preserve">On chr21, Selphi 2 attains</w:t>
      </w:r>
      <w:r>
        <w:t xml:space="preserve"> </w:t>
      </w:r>
      <m:oMath>
        <m:sSup>
          <m:e>
            <m:r>
              <m:t>R</m:t>
            </m:r>
          </m:e>
          <m:sup>
            <m:r>
              <m:t>2</m:t>
            </m:r>
          </m:sup>
        </m:sSup>
      </m:oMath>
      <w:r>
        <w:t xml:space="preserve"> </w:t>
      </w:r>
      <w: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pPr>
      <w: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t xml:space="preserve"> </w:t>
      </w:r>
      <w: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bookmarkEnd w:id="43"/>
    <w:bookmarkStart w:id="44" w:name="X7682954b6030efca8f62743f2d44a25aae36e8e"/>
    <w:p>
      <w:pPr>
        <w:pStyle w:val="Heading2"/>
      </w:pPr>
      <w:r>
        <w:rPr>
          <w:b/>
          <w:bCs/>
        </w:rPr>
        <w:t xml:space="preserve">Imputation accuracy on consumer arrays against high-coverage WGS truth</w:t>
      </w:r>
    </w:p>
    <w:p>
      <w:pPr>
        <w:pStyle w:val="FirstParagrap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0.9609, indel</w:t>
      </w:r>
      <w:r>
        <w:t xml:space="preserve"> </w:t>
      </w:r>
      <m:oMath>
        <m:sSup>
          <m:e>
            <m:r>
              <m:t>R</m:t>
            </m:r>
          </m:e>
          <m:sup>
            <m:r>
              <m:t>2</m:t>
            </m:r>
          </m:sup>
        </m:sSup>
      </m:oMath>
      <w:r>
        <w:t xml:space="preserve"> </w:t>
      </w:r>
      <w: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pPr>
      <w:r>
        <w:rPr>
          <w:b/>
          <w:bCs/>
        </w:rPr>
        <w:t xml:space="preserve">Table 5.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to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0.9609</w:t>
            </w:r>
          </w:p>
        </w:tc>
        <w:tc>
          <w:tcPr/>
          <w:p>
            <w:pPr>
              <w:pStyle w:val="Compact"/>
            </w:pPr>
            <w:r>
              <w:rPr>
                <w:b/>
                <w:bCs/>
              </w:rPr>
              <w:t xml:space="preserve">0.7939</w:t>
            </w:r>
          </w:p>
        </w:tc>
      </w:tr>
    </w:tbl>
    <w:p>
      <w:pPr>
        <w:pStyle w:val="BodyText"/>
      </w:pPr>
      <w: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t xml:space="preserve"> </w:t>
      </w:r>
      <w:r>
        <w:t xml:space="preserve">faster end-to-end), at a peak resident memory of 8.5 GB versus Beagle’s roughly 40 GB (about 4.7</w:t>
      </w:r>
      <m:oMath>
        <m:r>
          <m:rPr>
            <m:sty m:val="p"/>
          </m:rPr>
          <m:t>×</m:t>
        </m:r>
      </m:oMath>
      <w:r>
        <w:t xml:space="preserve"> </w:t>
      </w:r>
      <w: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pPr>
      <w:r>
        <w:rPr>
          <w:b/>
          <w:bCs/>
        </w:rPr>
        <w:t xml:space="preserve">Table 5b.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19.0 min</w:t>
            </w:r>
          </w:p>
        </w:tc>
        <w:tc>
          <w:tcPr/>
          <w:p>
            <w:pPr>
              <w:pStyle w:val="Compact"/>
            </w:pPr>
            <w:r>
              <w:t xml:space="preserve">8.5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44"/>
    <w:bookmarkStart w:id="45" w:name="X8eda26a10fa6ad4579080827b2dc7f6ef81355e"/>
    <w:p>
      <w:pPr>
        <w:pStyle w:val="Heading2"/>
      </w:pPr>
      <w:r>
        <w:rPr>
          <w:b/>
          <w:bCs/>
        </w:rPr>
        <w:t xml:space="preserve">Phasing accuracy on the 1000 Genomes trio dataset</w:t>
      </w:r>
    </w:p>
    <w:p>
      <w:pPr>
        <w:pStyle w:val="FirstParagrap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pPr>
      <w: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t xml:space="preserve"> </w:t>
      </w:r>
      <w:r>
        <w:t xml:space="preserve">Beagle’s wall time, with 4-6</w:t>
      </w:r>
      <m:oMath>
        <m:r>
          <m:rPr>
            <m:sty m:val="p"/>
          </m:rPr>
          <m:t>×</m:t>
        </m:r>
      </m:oMath>
      <w:r>
        <w:t xml:space="preserve"> </w:t>
      </w:r>
      <w:r>
        <w:t xml:space="preserve">lower peak memory than Beagle 5.5 (Table 6; Supplementary Table S5).</w:t>
      </w:r>
    </w:p>
    <w:p>
      <w:pPr>
        <w:pStyle w:val="BodyText"/>
      </w:pPr>
      <w:r>
        <w:rPr>
          <w:b/>
          <w:bCs/>
        </w:rPr>
        <w:t xml:space="preserve">Table 6.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t xml:space="preserve"> </w:t>
      </w:r>
      <w:r>
        <w:rPr>
          <w:rStyle w:val="VerbatimChar"/>
        </w:rPr>
        <w:t xml:space="preserve">phase_common</w:t>
      </w:r>
      <w:r>
        <w:t xml:space="preserve"> </w:t>
      </w:r>
      <w:r>
        <w:t xml:space="preserve">and</w:t>
      </w:r>
      <w:r>
        <w:t xml:space="preserve"> </w:t>
      </w:r>
      <w:r>
        <w:rPr>
          <w:rStyle w:val="VerbatimChar"/>
        </w:rPr>
        <w:t xml:space="preserve">phase_rare</w:t>
      </w:r>
      <w:r>
        <w:t xml:space="preserve">). SER is the mean of the per-trio switch-error rates from</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2.528</w:t>
            </w:r>
          </w:p>
        </w:tc>
        <w:tc>
          <w:tcPr/>
          <w:p>
            <w:pPr>
              <w:pStyle w:val="Compact"/>
            </w:pPr>
            <w:r>
              <w:rPr>
                <w:b/>
                <w:bCs/>
              </w:rPr>
              <w:t xml:space="preserve">67 s</w:t>
            </w:r>
          </w:p>
        </w:tc>
        <w:tc>
          <w:tcPr/>
          <w:p>
            <w:pPr>
              <w:pStyle w:val="Compact"/>
            </w:pPr>
            <w:r>
              <w:rPr>
                <w:b/>
                <w:bCs/>
              </w:rPr>
              <w:t xml:space="preserve">5.2 GB</w:t>
            </w:r>
          </w:p>
        </w:tc>
        <w:tc>
          <w:tcPr/>
          <w:p>
            <w:pPr>
              <w:pStyle w:val="Compact"/>
            </w:pPr>
            <w:r>
              <w:t xml:space="preserve">1.879</w:t>
            </w:r>
          </w:p>
        </w:tc>
        <w:tc>
          <w:tcPr/>
          <w:p>
            <w:pPr>
              <w:pStyle w:val="Compact"/>
            </w:pPr>
            <w:r>
              <w:rPr>
                <w:b/>
                <w:bCs/>
              </w:rPr>
              <w:t xml:space="preserve">343 s</w:t>
            </w:r>
          </w:p>
        </w:tc>
        <w:tc>
          <w:tcPr/>
          <w:p>
            <w:pPr>
              <w:pStyle w:val="Compact"/>
            </w:pPr>
            <w:r>
              <w:rPr>
                <w:b/>
                <w:bCs/>
              </w:rPr>
              <w:t xml:space="preserve">13.7 GB</w:t>
            </w:r>
          </w:p>
        </w:tc>
      </w:tr>
      <w:tr>
        <w:tc>
          <w:tcPr/>
          <w:p>
            <w:pPr>
              <w:pStyle w:val="Compact"/>
            </w:pPr>
            <w:r>
              <w:t xml:space="preserve">Beagle 5.5</w:t>
            </w:r>
          </w:p>
        </w:tc>
        <w:tc>
          <w:tcPr/>
          <w:p>
            <w:pPr>
              <w:pStyle w:val="Compact"/>
            </w:pPr>
            <w:r>
              <w:t xml:space="preserve">2.548</w:t>
            </w:r>
          </w:p>
        </w:tc>
        <w:tc>
          <w:tcPr/>
          <w:p>
            <w:pPr>
              <w:pStyle w:val="Compact"/>
            </w:pPr>
            <w:r>
              <w:t xml:space="preserve">169 s</w:t>
            </w:r>
          </w:p>
        </w:tc>
        <w:tc>
          <w:tcPr/>
          <w:p>
            <w:pPr>
              <w:pStyle w:val="Compact"/>
            </w:pPr>
            <w:r>
              <w:t xml:space="preserve">30.3 GB</w:t>
            </w:r>
          </w:p>
        </w:tc>
        <w:tc>
          <w:tcPr/>
          <w:p>
            <w:pPr>
              <w:pStyle w:val="Compact"/>
            </w:pPr>
            <w:r>
              <w:rPr>
                <w:b/>
                <w:bCs/>
              </w:rPr>
              <w:t xml:space="preserve">1.865</w:t>
            </w:r>
          </w:p>
        </w:tc>
        <w:tc>
          <w:tcPr/>
          <w:p>
            <w:pPr>
              <w:pStyle w:val="Compact"/>
            </w:pPr>
            <w:r>
              <w:t xml:space="preserve">857 s</w:t>
            </w:r>
          </w:p>
        </w:tc>
        <w:tc>
          <w:tcPr/>
          <w:p>
            <w:pPr>
              <w:pStyle w:val="Compact"/>
            </w:pPr>
            <w:r>
              <w:t xml:space="preserve">52.8 GB</w:t>
            </w:r>
          </w:p>
        </w:tc>
      </w:tr>
      <w:tr>
        <w:tc>
          <w:tcPr/>
          <w:p>
            <w:pPr>
              <w:pStyle w:val="Compact"/>
            </w:pPr>
            <w:r>
              <w:t xml:space="preserve">Selphi 2 haploid</w:t>
            </w:r>
          </w:p>
        </w:tc>
        <w:tc>
          <w:tcPr/>
          <w:p>
            <w:pPr>
              <w:pStyle w:val="Compact"/>
            </w:pPr>
            <w:r>
              <w:t xml:space="preserve">2.569</w:t>
            </w:r>
          </w:p>
        </w:tc>
        <w:tc>
          <w:tcPr/>
          <w:p>
            <w:pPr>
              <w:pStyle w:val="Compact"/>
            </w:pPr>
            <w:r>
              <w:t xml:space="preserve">348 s</w:t>
            </w:r>
          </w:p>
        </w:tc>
        <w:tc>
          <w:tcPr/>
          <w:p>
            <w:pPr>
              <w:pStyle w:val="Compact"/>
            </w:pPr>
            <w:r>
              <w:t xml:space="preserve">34.1 GB</w:t>
            </w:r>
          </w:p>
        </w:tc>
        <w:tc>
          <w:tcPr/>
          <w:p>
            <w:pPr>
              <w:pStyle w:val="Compact"/>
            </w:pPr>
            <w:r>
              <w:t xml:space="preserve">1.876</w:t>
            </w:r>
          </w:p>
        </w:tc>
        <w:tc>
          <w:tcPr/>
          <w:p>
            <w:pPr>
              <w:pStyle w:val="Compact"/>
            </w:pPr>
            <w:r>
              <w:t xml:space="preserve">1,559 s</w:t>
            </w:r>
          </w:p>
        </w:tc>
        <w:tc>
          <w:tcPr/>
          <w:p>
            <w:pPr>
              <w:pStyle w:val="Compact"/>
            </w:pPr>
            <w:r>
              <w:t xml:space="preserve">65.7 GB</w:t>
            </w:r>
          </w:p>
        </w:tc>
      </w:tr>
      <w:tr>
        <w:tc>
          <w:tcPr/>
          <w:p>
            <w:pPr>
              <w:pStyle w:val="Compact"/>
            </w:pPr>
            <w:r>
              <w:t xml:space="preserve">SHAPEIT5 v5.1.1 (full)</w:t>
            </w:r>
          </w:p>
        </w:tc>
        <w:tc>
          <w:tcPr/>
          <w:p>
            <w:pPr>
              <w:pStyle w:val="Compact"/>
            </w:pPr>
            <w:r>
              <w:t xml:space="preserve">2.607</w:t>
            </w:r>
          </w:p>
        </w:tc>
        <w:tc>
          <w:tcPr/>
          <w:p>
            <w:pPr>
              <w:pStyle w:val="Compact"/>
            </w:pPr>
            <w:r>
              <w:t xml:space="preserve">118 s</w:t>
            </w:r>
          </w:p>
        </w:tc>
        <w:tc>
          <w:tcPr/>
          <w:p>
            <w:pPr>
              <w:pStyle w:val="Compact"/>
            </w:pPr>
            <w:r>
              <w:t xml:space="preserve">5.6 GB</w:t>
            </w:r>
          </w:p>
        </w:tc>
        <w:tc>
          <w:tcPr/>
          <w:p>
            <w:pPr>
              <w:pStyle w:val="Compact"/>
            </w:pPr>
            <w:r>
              <w:t xml:space="preserve">1.929</w:t>
            </w:r>
          </w:p>
        </w:tc>
        <w:tc>
          <w:tcPr/>
          <w:p>
            <w:pPr>
              <w:pStyle w:val="Compact"/>
            </w:pPr>
            <w:r>
              <w:t xml:space="preserve">611 s</w:t>
            </w:r>
          </w:p>
        </w:tc>
        <w:tc>
          <w:tcPr/>
          <w:p>
            <w:pPr>
              <w:pStyle w:val="Compact"/>
            </w:pPr>
            <w:r>
              <w:t xml:space="preserve">29.6 GB</w:t>
            </w:r>
          </w:p>
        </w:tc>
      </w:tr>
    </w:tbl>
    <w:p>
      <w:pPr>
        <w:pStyle w:val="BodyText"/>
      </w:pPr>
      <w:r>
        <w:t xml:space="preserve">The two Selphi 2 engines are within 0.005 percentage points on chr1 (haploid 1.876%, diploid 1.879%) and within 0.05 on chr22 (diploid 2.528% versus haploid 2.569%). On admixed biobank-scale data (MESA 5K</w:t>
      </w:r>
      <w:r>
        <w:t xml:space="preserve"> </w:t>
      </w:r>
      <m:oMath>
        <m:r>
          <m:rPr>
            <m:sty m:val="p"/>
          </m:rPr>
          <m:t>×</m:t>
        </m:r>
      </m:oMath>
      <w:r>
        <w:t xml:space="preserve"> </w:t>
      </w:r>
      <w:r>
        <w:t xml:space="preserve">TOPMed chr20), the diploid engine attains overall imputation</w:t>
      </w:r>
      <w:r>
        <w:t xml:space="preserve"> </w:t>
      </w:r>
      <m:oMath>
        <m:sSup>
          <m:e>
            <m:r>
              <m:t>R</m:t>
            </m:r>
          </m:e>
          <m:sup>
            <m:r>
              <m:t>2</m:t>
            </m:r>
          </m:sup>
        </m:sSup>
      </m:oMath>
      <w:r>
        <w:t xml:space="preserve"> </w:t>
      </w:r>
      <w: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lower than SHAPEIT5, with the interval excluding zero (Δ = -0.078 pp, [-0.107, -0.050], 40 of 54 trios), while on chromosome 1 Beagle 5.5 is marginally lowest but again not significantly different from Selphi 2 (Δ = +0.014 pp, [-0.001, +0.027]), and Selphi 2 again leads SHAPEIT5 (Δ = -0.050 pp, [-0.062, -0.038], 47 of 54 trios).</w:t>
      </w:r>
    </w:p>
    <w:p>
      <w:pPr>
        <w:pStyle w:val="BodyText"/>
      </w:pPr>
      <w: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pPr>
      <w:r>
        <w:rPr>
          <w:b/>
          <w:bCs/>
        </w:rPr>
        <w:t xml:space="preserve">Table 6b.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2.528</w:t>
            </w:r>
          </w:p>
        </w:tc>
        <w:tc>
          <w:tcPr/>
          <w:p>
            <w:pPr>
              <w:pStyle w:val="Compact"/>
            </w:pPr>
            <w:r>
              <w:rPr>
                <w:b/>
                <w:bCs/>
              </w:rPr>
              <w:t xml:space="preserve">0.853</w:t>
            </w:r>
          </w:p>
        </w:tc>
        <w:tc>
          <w:tcPr/>
          <w:p>
            <w:pPr>
              <w:pStyle w:val="Compact"/>
            </w:pPr>
            <w:r>
              <w:t xml:space="preserve">1.879</w:t>
            </w:r>
          </w:p>
        </w:tc>
        <w:tc>
          <w:tcPr/>
          <w:p>
            <w:pPr>
              <w:pStyle w:val="Compact"/>
            </w:pPr>
            <w:r>
              <w:rPr>
                <w:b/>
                <w:bCs/>
              </w:rPr>
              <w:t xml:space="preserve">0.332</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2.607</w:t>
            </w:r>
          </w:p>
        </w:tc>
        <w:tc>
          <w:tcPr/>
          <w:p>
            <w:pPr>
              <w:pStyle w:val="Compact"/>
            </w:pPr>
            <w:r>
              <w:t xml:space="preserve">0.000*†</w:t>
            </w:r>
          </w:p>
        </w:tc>
        <w:tc>
          <w:tcPr/>
          <w:p>
            <w:pPr>
              <w:pStyle w:val="Compact"/>
            </w:pPr>
            <w:r>
              <w:t xml:space="preserve">1.929</w:t>
            </w:r>
          </w:p>
        </w:tc>
        <w:tc>
          <w:tcPr/>
          <w:p>
            <w:pPr>
              <w:pStyle w:val="Compact"/>
            </w:pPr>
            <w:r>
              <w:t xml:space="preserve">0.000*†</w:t>
            </w:r>
          </w:p>
        </w:tc>
      </w:tr>
    </w:tbl>
    <w:p>
      <w:pPr>
        <w:pStyle w:val="BodyText"/>
      </w:pPr>
      <w: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pPr>
      <w:r>
        <w:rPr>
          <w:b/>
          <w:bCs/>
        </w:rPr>
        <w:t xml:space="preserve">Table 6c.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45"/>
    <w:bookmarkStart w:id="49" w:name="computational-efficiency"/>
    <w:p>
      <w:pPr>
        <w:pStyle w:val="Heading2"/>
      </w:pPr>
      <w:r>
        <w:rPr>
          <w:b/>
          <w:bCs/>
        </w:rPr>
        <w:t xml:space="preserve">Computational efficiency</w:t>
      </w:r>
    </w:p>
    <w:p>
      <w:pPr>
        <w:pStyle w:val="FirstParagraph"/>
      </w:pPr>
      <w: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pPr>
      <w:r>
        <w:rPr>
          <w:b/>
          <w:bCs/>
        </w:rPr>
        <w:t xml:space="preserve">Table 7. Wall time and peak memory.</w:t>
      </w:r>
      <w:r>
        <w:t xml:space="preserve"> </w:t>
      </w:r>
      <w: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t xml:space="preserve"> </w:t>
      </w:r>
      <w:r>
        <w:t xml:space="preserve">(chr22) to 41</w:t>
      </w:r>
      <m:oMath>
        <m:r>
          <m:rPr>
            <m:sty m:val="p"/>
          </m:rPr>
          <m:t>×</m:t>
        </m:r>
      </m:oMath>
      <w:r>
        <w:t xml:space="preserve"> </w:t>
      </w:r>
      <w:r>
        <w:t xml:space="preserve">(chr1) slower than Selphi 2 at comparable peak memory. Selphi 1.5.3 requires a pre-phased target and does not perform phasing, so on the MESA 5K</w:t>
      </w:r>
      <w:r>
        <w:t xml:space="preserve"> </w:t>
      </w:r>
      <m:oMath>
        <m:r>
          <m:rPr>
            <m:sty m:val="p"/>
          </m:rPr>
          <m:t>×</m:t>
        </m:r>
      </m:oMath>
      <w:r>
        <w:t xml:space="preserve"> </w:t>
      </w:r>
      <w: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59 s / 9.9 GB</w:t>
            </w:r>
          </w:p>
        </w:tc>
        <w:tc>
          <w:tcPr/>
          <w:p>
            <w:pPr>
              <w:pStyle w:val="Compact"/>
            </w:pPr>
            <w:r>
              <w:t xml:space="preserve">1,532 s / 15.6 GB</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315 s / 15.8 GB</w:t>
            </w:r>
          </w:p>
        </w:tc>
        <w:tc>
          <w:tcPr/>
          <w:p>
            <w:pPr>
              <w:pStyle w:val="Compact"/>
            </w:pPr>
            <w:r>
              <w:t xml:space="preserve">15,338 s / 32.6 GB</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6.9 s / 3.2 GB</w:t>
            </w:r>
          </w:p>
        </w:tc>
        <w:tc>
          <w:tcPr/>
          <w:p>
            <w:pPr>
              <w:pStyle w:val="Compact"/>
            </w:pPr>
            <w:r>
              <w:t xml:space="preserve">112.8 s / 7.1 GB</w:t>
            </w:r>
          </w:p>
        </w:tc>
        <w:tc>
          <w:tcPr/>
          <w:p>
            <w:pPr>
              <w:pStyle w:val="Compact"/>
            </w:pPr>
            <w:r>
              <w:t xml:space="preserve">6.7 s / 7.0 GB</w:t>
            </w:r>
          </w:p>
        </w:tc>
      </w:tr>
      <w:tr>
        <w:tc>
          <w:tcPr/>
          <w:p>
            <w:pPr>
              <w:pStyle w:val="Compact"/>
            </w:pPr>
            <w:r>
              <w:t xml:space="preserve">chr1 GIAB 6 samples (impute-only)</w:t>
            </w:r>
          </w:p>
        </w:tc>
        <w:tc>
          <w:tcPr/>
          <w:p>
            <w:pPr>
              <w:pStyle w:val="Compact"/>
            </w:pPr>
            <w:r>
              <w:t xml:space="preserve">40.1 s / 7.2 GB</w:t>
            </w:r>
          </w:p>
        </w:tc>
        <w:tc>
          <w:tcPr/>
          <w:p>
            <w:pPr>
              <w:pStyle w:val="Compact"/>
            </w:pPr>
            <w:r>
              <w:t xml:space="preserve">1923 s / 22.1 GB</w:t>
            </w:r>
          </w:p>
        </w:tc>
        <w:tc>
          <w:tcPr/>
          <w:p>
            <w:pPr>
              <w:pStyle w:val="Compact"/>
            </w:pPr>
            <w:r>
              <w:t xml:space="preserve">24.9 s / 16.8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10787 s / 79.4 GB</w:t>
            </w:r>
          </w:p>
        </w:tc>
        <w:tc>
          <w:tcPr/>
          <w:p>
            <w:pPr>
              <w:pStyle w:val="Compact"/>
            </w:pPr>
            <w:r>
              <w:t xml:space="preserve">~15,480 s / ~98 GB (impute-only)</w:t>
            </w:r>
          </w:p>
        </w:tc>
        <w:tc>
          <w:tcPr/>
          <w:p>
            <w:pPr>
              <w:pStyle w:val="Compact"/>
            </w:pPr>
            <w:r>
              <w:t xml:space="preserve">4148 s / 96.5 GB</w:t>
            </w:r>
          </w:p>
        </w:tc>
      </w:tr>
    </w:tbl>
    <w:p>
      <w:pPr>
        <w:pStyle w:val="CaptionedFigure"/>
      </w:pPr>
      <w: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Computational efficiency.</w:t>
      </w:r>
      <w:r>
        <w:t xml:space="preserve"> </w:t>
      </w:r>
      <w: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t xml:space="preserve">, and six samples in one run 170 s against 389 s, 2.3</w:t>
      </w:r>
      <m:oMath>
        <m:r>
          <m:rPr>
            <m:sty m:val="p"/>
          </m:rPr>
          <m:t>×</m:t>
        </m:r>
      </m:oMath>
      <w:r>
        <w:t xml:space="preserve"> </w:t>
      </w:r>
      <w:r>
        <w:t xml:space="preserve">(Table 1b). Right, one sample uniformly downsampled to 1</w:t>
      </w:r>
      <m:oMath>
        <m:r>
          <m:rPr>
            <m:sty m:val="p"/>
          </m:rPr>
          <m:t>×</m:t>
        </m:r>
      </m:oMath>
      <w:r>
        <w:t xml:space="preserve"> </w:t>
      </w:r>
      <w:r>
        <w:t xml:space="preserve">against the 6,332-haplotype panel: 115 s for Selphi 2 against 287 s for GLIMPSE2 (its 15 native chunks plus ligation) and 1,729 s for QUILT2 (tiled across the chromosome), roughly 2.5</w:t>
      </w:r>
      <m:oMath>
        <m:r>
          <m:rPr>
            <m:sty m:val="p"/>
          </m:rPr>
          <m:t>×</m:t>
        </m:r>
      </m:oMath>
      <w:r>
        <w:t xml:space="preserve"> </w:t>
      </w:r>
      <w:r>
        <w:t xml:space="preserve">and 15</w:t>
      </w:r>
      <m:oMath>
        <m:r>
          <m:rPr>
            <m:sty m:val="p"/>
          </m:rPr>
          <m:t>×</m:t>
        </m:r>
      </m:oMath>
      <w:r>
        <w:t xml:space="preserve"> </w:t>
      </w:r>
      <w: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t xml:space="preserve"> </w:t>
      </w:r>
      <w:r>
        <w:t xml:space="preserve">faster) at 8.5 GB versus about 40 GB peak memory (~4.7</w:t>
      </w:r>
      <m:oMath>
        <m:r>
          <m:rPr>
            <m:sty m:val="p"/>
          </m:rPr>
          <m:t>×</m:t>
        </m:r>
      </m:oMath>
      <w:r>
        <w:t xml:space="preserve"> </w:t>
      </w:r>
      <w:r>
        <w:t xml:space="preserve">leaner; Table 5b).</w:t>
      </w:r>
    </w:p>
    <w:p>
      <w:pPr>
        <w:pStyle w:val="BodyText"/>
      </w:pPr>
      <w:r>
        <w:t xml:space="preserve">The per-sample Selphi 2 to GLIMPSE2 wall-time ratios in this paper each hold under their own conditions and are not interchangeable: 3.1</w:t>
      </w:r>
      <m:oMath>
        <m:r>
          <m:rPr>
            <m:sty m:val="p"/>
          </m:rPr>
          <m:t>×</m:t>
        </m:r>
      </m:oMath>
      <w:r>
        <w:t xml:space="preserve"> </w:t>
      </w:r>
      <w:r>
        <w:t xml:space="preserve">end-to-end from the BAM on the capture libraries (104 s against 327 s for one sample; 4,796-haplotype panel of 1.07 M sites; Table 1b), 2.3</w:t>
      </w:r>
      <m:oMath>
        <m:r>
          <m:rPr>
            <m:sty m:val="p"/>
          </m:rPr>
          <m:t>×</m:t>
        </m:r>
      </m:oMath>
      <w:r>
        <w:t xml:space="preserve"> </w:t>
      </w:r>
      <w:r>
        <w:t xml:space="preserve">on the same libraries with six samples per run (170 s against 389 s) and 1.5</w:t>
      </w:r>
      <m:oMath>
        <m:r>
          <m:rPr>
            <m:sty m:val="p"/>
          </m:rPr>
          <m:t>×</m:t>
        </m:r>
      </m:oMath>
      <w:r>
        <w:t xml:space="preserve"> </w:t>
      </w:r>
      <w:r>
        <w:t xml:space="preserve">with twelve (313 s against 460 s), 2.7</w:t>
      </w:r>
      <m:oMath>
        <m:r>
          <m:rPr>
            <m:sty m:val="p"/>
          </m:rPr>
          <m:t>×</m:t>
        </m:r>
      </m:oMath>
      <w:r>
        <w:t xml:space="preserve"> </w:t>
      </w:r>
      <w:r>
        <w:t xml:space="preserve">at ~1.8</w:t>
      </w:r>
      <m:oMath>
        <m:r>
          <m:rPr>
            <m:sty m:val="p"/>
          </m:rPr>
          <m:t>×</m:t>
        </m:r>
      </m:oMath>
      <w:r>
        <w:t xml:space="preserve"> </w:t>
      </w:r>
      <w:r>
        <w:t xml:space="preserve">uniformly downsampled coverage (Table 2; 4,478-haplotype SNP panel) and 2.5</w:t>
      </w:r>
      <m:oMath>
        <m:r>
          <m:rPr>
            <m:sty m:val="p"/>
          </m:rPr>
          <m:t>×</m:t>
        </m:r>
      </m:oMath>
      <w:r>
        <w:t xml:space="preserve"> </w:t>
      </w:r>
      <w:r>
        <w:t xml:space="preserve">at 1</w:t>
      </w:r>
      <m:oMath>
        <m:r>
          <m:rPr>
            <m:sty m:val="p"/>
          </m:rPr>
          <m:t>×</m:t>
        </m:r>
      </m:oMath>
      <w:r>
        <w:t xml:space="preserve"> </w:t>
      </w:r>
      <w:r>
        <w:t xml:space="preserve">on a 6,332-haplotype panel (Figure 4a). At GLIMPSE2’s own iteration count the six-sample capture run takes 79 s with unchanged accuracy (Head-to-head with GLIMPSE2 on the capture libraries).</w:t>
      </w:r>
    </w:p>
    <w:p>
      <w:pPr>
        <w:pStyle w:val="BodyText"/>
      </w:pPr>
      <w:r>
        <w:t xml:space="preserve">Selphi 2’s wall time is 16</w:t>
      </w:r>
      <m:oMath>
        <m:r>
          <m:rPr>
            <m:sty m:val="p"/>
          </m:rPr>
          <m:t>×</m:t>
        </m:r>
      </m:oMath>
      <w:r>
        <w:t xml:space="preserve"> </w:t>
      </w:r>
      <w:r>
        <w:t xml:space="preserve">to 48</w:t>
      </w:r>
      <m:oMath>
        <m:r>
          <m:rPr>
            <m:sty m:val="p"/>
          </m:rPr>
          <m:t>×</m:t>
        </m:r>
      </m:oMath>
      <w:r>
        <w:t xml:space="preserve"> </w:t>
      </w:r>
      <w: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+0.0227 overall</w:t>
      </w:r>
      <w:r>
        <w:t xml:space="preserve"> </w:t>
      </w:r>
      <m:oMath>
        <m:sSup>
          <m:e>
            <m:r>
              <m:t>R</m:t>
            </m:r>
          </m:e>
          <m:sup>
            <m:r>
              <m:t>2</m:t>
            </m:r>
          </m:sup>
        </m:sSup>
      </m:oMath>
      <w:r>
        <w:t xml:space="preserve">, with Selphi 2 leading Beagle across the MAF spectrum.</w:t>
      </w:r>
    </w:p>
    <w:p>
      <w:pPr>
        <w:pStyle w:val="BodyText"/>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bookmarkEnd w:id="49"/>
    <w:bookmarkStart w:id="50" w:name="X29a61a2dc7ccc36192c39ae264354c7efa08240"/>
    <w:p>
      <w:pPr>
        <w:pStyle w:val="Heading2"/>
      </w:pPr>
      <w:r>
        <w:rPr>
          <w:b/>
          <w:bCs/>
        </w:rPr>
        <w:t xml:space="preserve">Output-format equivalence and reproducibility</w:t>
      </w:r>
    </w:p>
    <w:p>
      <w:pPr>
        <w:pStyle w:val="FirstParagrap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bookmarkEnd w:id="50"/>
    <w:bookmarkEnd w:id="51"/>
    <w:bookmarkStart w:id="52" w:name="discussion"/>
    <w:p>
      <w:pPr>
        <w:pStyle w:val="Heading1"/>
      </w:pPr>
      <w:r>
        <w:rPr>
          <w:b/>
          <w:bCs/>
        </w:rPr>
        <w:t xml:space="preserve">Discussion</w:t>
      </w:r>
    </w:p>
    <w:p>
      <w:pPr>
        <w:pStyle w:val="FirstParagraph"/>
      </w:pPr>
      <w: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t xml:space="preserve"> </w:t>
      </w:r>
      <w:r>
        <w:t xml:space="preserve">faster. On uniformly downsampled ~1.8</w:t>
      </w:r>
      <m:oMath>
        <m:r>
          <m:rPr>
            <m:sty m:val="p"/>
          </m:rPr>
          <m:t>×</m:t>
        </m:r>
      </m:oMath>
      <w:r>
        <w:t xml:space="preserve"> </w:t>
      </w:r>
      <w:r>
        <w:t xml:space="preserve">genomes it leads GLIMPSE2 in per-sample</w:t>
      </w:r>
      <w:r>
        <w:t xml:space="preserve"> </w:t>
      </w:r>
      <m:oMath>
        <m:sSup>
          <m:e>
            <m:r>
              <m:t>R</m:t>
            </m:r>
          </m:e>
          <m:sup>
            <m:r>
              <m:t>2</m:t>
            </m:r>
          </m:sup>
        </m:sSup>
      </m:oMath>
      <w:r>
        <w:t xml:space="preserve"> </w:t>
      </w:r>
      <w:r>
        <w:t xml:space="preserve">in five of six samples (0.9493 versus 0.9455) and leads GLIMPSE2 and QUILT2 in overall</w:t>
      </w:r>
      <w:r>
        <w:t xml:space="preserve"> </w:t>
      </w:r>
      <m:oMath>
        <m:sSup>
          <m:e>
            <m:r>
              <m:t>R</m:t>
            </m:r>
          </m:e>
          <m:sup>
            <m:r>
              <m:t>2</m:t>
            </m:r>
          </m:sup>
        </m:sSup>
      </m:oMath>
      <w:r>
        <w:t xml:space="preserve"> </w:t>
      </w:r>
      <w:r>
        <w:t xml:space="preserve">at every depth of a 0.5-4</w:t>
      </w:r>
      <m:oMath>
        <m:r>
          <m:rPr>
            <m:sty m:val="p"/>
          </m:rPr>
          <m:t>×</m:t>
        </m:r>
      </m:oMath>
      <w:r>
        <w:t xml:space="preserve"> </w:t>
      </w:r>
      <w:r>
        <w:t xml:space="preserve">sweep.</w:t>
      </w:r>
    </w:p>
    <w:p>
      <w:pPr>
        <w:pStyle w:val="BodyText"/>
      </w:pPr>
      <w:r>
        <w:t xml:space="preserve">The same binary reimplements the Selphi array pipeline</w:t>
      </w:r>
      <w:r>
        <w:rPr>
          <w:vertAlign w:val="superscript"/>
        </w:rPr>
        <w:t xml:space="preserve">12</w:t>
      </w:r>
      <w:r>
        <w:t xml:space="preserve"> </w:t>
      </w:r>
      <w: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t xml:space="preserve"> </w:t>
      </w:r>
      <m:oMath>
        <m:sSup>
          <m:e>
            <m:r>
              <m:t>R</m:t>
            </m:r>
          </m:e>
          <m:sup>
            <m:r>
              <m:t>2</m:t>
            </m:r>
          </m:sup>
        </m:sSup>
      </m:oMath>
      <w:r>
        <w:t xml:space="preserve"> </w:t>
      </w:r>
      <w:r>
        <w:t xml:space="preserve">over a fixed candidate-set size (</w:t>
      </w:r>
      <m:oMath>
        <m:sSub>
          <m:e>
            <m:r>
              <m:t>m</m:t>
            </m:r>
          </m:e>
          <m:sub>
            <m:r>
              <m:t>c</m:t>
            </m:r>
          </m:sub>
        </m:sSub>
      </m:oMath>
      <w:r>
        <w:t xml:space="preserve"> </w:t>
      </w:r>
      <w: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pPr>
      <w:r>
        <w:t xml:space="preserve">Selphi 2 differs in scope from the four main existing tools. Beagle 5.5</w:t>
      </w:r>
      <w:r>
        <w:rPr>
          <w:vertAlign w:val="superscript"/>
        </w:rPr>
        <w:t xml:space="preserve">5,6</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0.023 below Selphi 2 in overall</w:t>
      </w:r>
      <w:r>
        <w:t xml:space="preserve"> </w:t>
      </w:r>
      <m:oMath>
        <m:sSup>
          <m:e>
            <m:r>
              <m:t>R</m:t>
            </m:r>
          </m:e>
          <m:sup>
            <m:r>
              <m:t>2</m:t>
            </m:r>
          </m:sup>
        </m:sSup>
      </m:oMath>
      <w:r>
        <w:t xml:space="preserve">. IMPUTE5</w:t>
      </w:r>
      <w:r>
        <w:rPr>
          <w:vertAlign w:val="superscript"/>
        </w:rPr>
        <w:t xml:space="preserve">4</w:t>
      </w:r>
      <w:r>
        <w:t xml:space="preserve"> </w:t>
      </w:r>
      <w:r>
        <w:t xml:space="preserve">uses PBWT-based haplotype selection with sub-linear scaling but requires pre-phased input from an external phaser and processes per chromosome. Minimac4</w:t>
      </w:r>
      <w:r>
        <w:rPr>
          <w:vertAlign w:val="superscript"/>
        </w:rPr>
        <w:t xml:space="preserve">7</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0.4884; Table 3), reproducing for Selphi 2 the accuracy ordering that Selphi 1 reported against the same three tools. SHAPEIT5</w:t>
      </w:r>
      <w:r>
        <w:rPr>
          <w:vertAlign w:val="superscript"/>
        </w:rPr>
        <w:t xml:space="preserve">9</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t xml:space="preserve"> </w:t>
      </w:r>
      <w:r>
        <w:t xml:space="preserve">SHAPEIT5’s wall time on chromosome 22 and 0.56</w:t>
      </w:r>
      <m:oMath>
        <m:r>
          <m:rPr>
            <m:sty m:val="p"/>
          </m:rPr>
          <m:t>×</m:t>
        </m:r>
      </m:oMath>
      <w:r>
        <w:t xml:space="preserve"> </w:t>
      </w:r>
      <w: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4-6</w:t>
      </w:r>
      <m:oMath>
        <m:r>
          <m:rPr>
            <m:sty m:val="p"/>
          </m:rPr>
          <m:t>×</m:t>
        </m:r>
      </m:oMath>
      <w:r>
        <w:t xml:space="preserve"> </w:t>
      </w:r>
      <w:r>
        <w:t xml:space="preserve">less memory and runs at 0.40</w:t>
      </w:r>
      <m:oMath>
        <m:r>
          <m:rPr>
            <m:sty m:val="p"/>
          </m:rPr>
          <m:t>×</m:t>
        </m:r>
      </m:oMath>
      <w:r>
        <w:t xml:space="preserve"> </w:t>
      </w:r>
      <w:r>
        <w:t xml:space="preserve">Beagle’s wall time on these benchmarks. Handling both kinds of input in one tool is not itself unprecedented: Beagle 4.1</w:t>
      </w:r>
      <w:r>
        <w:rPr>
          <w:vertAlign w:val="superscript"/>
        </w:rPr>
        <w:t xml:space="preserve">30</w:t>
      </w:r>
      <w:r>
        <w:t xml:space="preserve"> </w:t>
      </w:r>
      <w:r>
        <w:t xml:space="preserve">accepted genotype likelihoods alongside called genotypes, a mode dropped in Beagle 5, and today no array imputer reads likelihoods while GLIMPSE2 and QUILT2 have no pathway for called genotypes. What is new is that a single binary routes each input to a dedicated engine and matches or exceeds the specialist tool in both regimes. The remaining architectural difference is the integration with the downstream imputation HMM: phased haplotypes are passed in memory to the Li-Stephens forward-backward pass with no intermediate VCF emission. Of Selphi 1’s</w:t>
      </w:r>
      <w:r>
        <w:rPr>
          <w:vertAlign w:val="superscript"/>
        </w:rPr>
        <w:t xml:space="preserve">12</w:t>
      </w:r>
      <w:r>
        <w:t xml:space="preserve"> </w:t>
      </w:r>
      <w: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t xml:space="preserve"> </w:t>
      </w:r>
      <m:oMath>
        <m:sSup>
          <m:e>
            <m:r>
              <m:t>R</m:t>
            </m:r>
          </m:e>
          <m:sup>
            <m:r>
              <m:t>2</m:t>
            </m:r>
          </m:sup>
        </m:sSup>
      </m:oMath>
      <w:r>
        <w:t xml:space="preserve"> </w:t>
      </w:r>
      <w: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t xml:space="preserve"> </w:t>
      </w:r>
      <w:r>
        <w:t xml:space="preserve">= 36.4</w:t>
      </w:r>
      <w:r>
        <w:t xml:space="preserve"> </w:t>
      </w:r>
      <m:oMath>
        <m:r>
          <m:rPr>
            <m:sty m:val="p"/>
          </m:rPr>
          <m:t>×</m:t>
        </m:r>
      </m:oMath>
      <w:r>
        <w:t xml:space="preserve"> </w:t>
      </w:r>
      <m:oMath>
        <m:sSub>
          <m:e>
            <m:r>
              <m:t>n</m:t>
            </m:r>
          </m:e>
          <m:sub>
            <m:r>
              <m:rPr>
                <m:nor/>
                <m:sty m:val="p"/>
              </m:rPr>
              <m:t>ref</m:t>
            </m:r>
          </m:sub>
        </m:sSub>
      </m:oMath>
      <w:r>
        <w:t xml:space="preserve">) contributes a further 0.008 over a fixed</w:t>
      </w:r>
      <w:r>
        <w:t xml:space="preserve"> </w:t>
      </w:r>
      <m:oMath>
        <m:sSub>
          <m:e>
            <m:r>
              <m:t>N</m:t>
            </m:r>
          </m:e>
          <m:sub>
            <m:r>
              <m:t>e</m:t>
            </m:r>
          </m:sub>
        </m:sSub>
      </m:oMath>
      <w:r>
        <w:t xml:space="preserve"> </w:t>
      </w:r>
      <w:r>
        <w:t xml:space="preserve">= 20,000. The principal extensions are the integrated phasing engines, the panel-adaptive candidate-set sizing, the multi-chromosome single-pass workflow, and the panel-format-agnostic input (BCF, VCF, BREF3) with multi-format output. GLIMPSE2</w:t>
      </w:r>
      <w:r>
        <w:rPr>
          <w:vertAlign w:val="superscript"/>
        </w:rPr>
        <w:t xml:space="preserve">15</w:t>
      </w:r>
      <w:r>
        <w:t xml:space="preserve"> </w:t>
      </w:r>
      <w:r>
        <w:t xml:space="preserve">and QUILT2</w:t>
      </w:r>
      <w:r>
        <w:rPr>
          <w:vertAlign w:val="superscript"/>
        </w:rPr>
        <w:t xml:space="preserve">16</w:t>
      </w:r>
      <w:r>
        <w:t xml:space="preserve"> </w:t>
      </w:r>
      <w: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t xml:space="preserve"> </w:t>
      </w:r>
      <w:r>
        <w:t xml:space="preserve">genomes it leads in per-sample</w:t>
      </w:r>
      <w:r>
        <w:t xml:space="preserve"> </w:t>
      </w:r>
      <m:oMath>
        <m:sSup>
          <m:e>
            <m:r>
              <m:t>R</m:t>
            </m:r>
          </m:e>
          <m:sup>
            <m:r>
              <m:t>2</m:t>
            </m:r>
          </m:sup>
        </m:sSup>
      </m:oMath>
      <w:r>
        <w:t xml:space="preserve"> </w:t>
      </w:r>
      <w:r>
        <w:t xml:space="preserve">in five of six (0.9493 versus 0.9455); and it is 3.1</w:t>
      </w:r>
      <m:oMath>
        <m:r>
          <m:rPr>
            <m:sty m:val="p"/>
          </m:rPr>
          <m:t>×</m:t>
        </m:r>
      </m:oMath>
      <w:r>
        <w:t xml:space="preserve"> </w:t>
      </w:r>
      <w:r>
        <w:t xml:space="preserve">faster per sample end-to-end from the BAM. At minor allele frequencies below 0.5% the per-sample ordering on chromosome 22 is not consistent under either metric (Table 1c; Table 2b at 1</w:t>
      </w:r>
      <m:oMath>
        <m:r>
          <m:rPr>
            <m:sty m:val="p"/>
          </m:rPr>
          <m:t>×</m:t>
        </m:r>
      </m:oMath>
      <w:r>
        <w:t xml:space="preserve">), whereas on chromosomes 10 and 1 the rare stratum is where Selphi 2’s lead is largest and unanimous (Table 1d), and in the coverage sweep Selphi 2 is ahead from 2</w:t>
      </w:r>
      <m:oMath>
        <m:r>
          <m:rPr>
            <m:sty m:val="p"/>
          </m:rPr>
          <m:t>×</m:t>
        </m:r>
      </m:oMath>
      <w:r>
        <w:t xml:space="preserve"> </w:t>
      </w:r>
      <w:r>
        <w:t xml:space="preserve">upward. GLIMPSE2 read the panel restricted to polymorphic sites (Limitations).</w:t>
      </w:r>
    </w:p>
    <w:p>
      <w:pPr>
        <w:pStyle w:val="BodyText"/>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whereas the choice of imputer moved overall</w:t>
      </w:r>
      <w:r>
        <w:t xml:space="preserve"> </w:t>
      </w:r>
      <m:oMath>
        <m:sSup>
          <m:e>
            <m:r>
              <m:t>R</m:t>
            </m:r>
          </m:e>
          <m:sup>
            <m:r>
              <m:t>2</m:t>
            </m:r>
          </m:sup>
        </m:sSup>
      </m:oMath>
      <w:r>
        <w:t xml:space="preserve"> </w:t>
      </w:r>
      <w: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pPr>
      <w: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t xml:space="preserve"> </w:t>
      </w:r>
      <m:oMath>
        <m:sSup>
          <m:e>
            <m:r>
              <m:t>R</m:t>
            </m:r>
          </m:e>
          <m:sup>
            <m:r>
              <m:t>2</m:t>
            </m:r>
          </m:sup>
        </m:sSup>
      </m:oMath>
      <w:r>
        <w:t xml:space="preserve"> </w:t>
      </w:r>
      <w: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pPr>
      <w: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t xml:space="preserve"> </w:t>
      </w:r>
      <w:r>
        <w:t xml:space="preserve">≈ -0.001 to -0.004</w:t>
      </w:r>
      <w:r>
        <w:t xml:space="preserve"> </w:t>
      </w:r>
      <m:oMath>
        <m:sSup>
          <m:e>
            <m:r>
              <m:t>R</m:t>
            </m:r>
          </m:e>
          <m:sup>
            <m:r>
              <m:t>2</m:t>
            </m:r>
          </m:sup>
        </m:sSup>
      </m:oMath>
      <w: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as Selphi 2 is deployed, it leads at this bin as well (Table 3).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5),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t xml:space="preserve"> </w:t>
      </w:r>
      <m:oMath>
        <m:r>
          <m:rPr>
            <m:sty m:val="p"/>
          </m:rPr>
          <m:t>×</m:t>
        </m:r>
      </m:oMath>
      <w:r>
        <w:t xml:space="preserve"> </w:t>
      </w:r>
      <w: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pPr>
      <w: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t xml:space="preserve"> </w:t>
      </w:r>
      <m:oMath>
        <m:sSup>
          <m:e>
            <m:r>
              <m:t>R</m:t>
            </m:r>
          </m:e>
          <m:sup>
            <m:r>
              <m:t>2</m:t>
            </m:r>
          </m:sup>
        </m:sSup>
      </m:oMath>
      <w:r>
        <w:t xml:space="preserve"> </w:t>
      </w:r>
      <w: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t xml:space="preserve"> </w:t>
      </w:r>
      <w:r>
        <w:rPr>
          <w:rStyle w:val="VerbatimChar"/>
        </w:rPr>
        <w:t xml:space="preserve">--bam-file</w:t>
      </w:r>
      <w:r>
        <w:t xml:space="preserve"> </w:t>
      </w:r>
      <w:r>
        <w:t xml:space="preserve">path skips panel sites that are monomorphic in the panel during its scan pass but not during parsing, and aborts every chunk with</w:t>
      </w:r>
      <w:r>
        <w:t xml:space="preserve"> </w:t>
      </w:r>
      <w:r>
        <w:t xml:space="preserve">“AC/AN INFO fields in VCF are inconsistent with GT field”</w:t>
      </w:r>
      <w:r>
        <w:t xml:space="preserve"> </w:t>
      </w:r>
      <w:r>
        <w:t xml:space="preserve">(54,406 such sites on chromosome 22); the documented workaround is</w:t>
      </w:r>
      <w:r>
        <w:t xml:space="preserve"> </w:t>
      </w:r>
      <w:r>
        <w:rPr>
          <w:rStyle w:val="VerbatimChar"/>
        </w:rPr>
        <w:t xml:space="preserve">--keep-monomorphic-ref-sites</w:t>
      </w:r>
      <w: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t xml:space="preserve"> </w:t>
      </w:r>
      <w:r>
        <w:rPr>
          <w:rStyle w:val="VerbatimChar"/>
        </w:rPr>
        <w:t xml:space="preserve">PL</w:t>
      </w:r>
      <w:r>
        <w:t xml:space="preserve"> </w:t>
      </w:r>
      <w:r>
        <w:t xml:space="preserve">field as flat-likelihood target sites, so a</w:t>
      </w:r>
      <w:r>
        <w:t xml:space="preserve"> </w:t>
      </w:r>
      <w:r>
        <w:rPr>
          <w:rStyle w:val="VerbatimChar"/>
        </w:rPr>
        <w:t xml:space="preserve">PL</w:t>
      </w:r>
      <w:r>
        <w:t xml:space="preserve"> </w:t>
      </w:r>
      <w: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Eighth, the conditioning set of the low-coverage engine is largely target-independent under the default settings: the PBWT-selected union is capped in haplotype-index order and, because the union covers nearly the whole panel, the cap keeps an almost fixed low-index subset, so the per-haplotype rare-carrier augmentation carries the target-specific information (Methods). A rank-order cap that recovers the ultra-rare bin at 0.5</w:t>
      </w:r>
      <m:oMath>
        <m:r>
          <m:rPr>
            <m:sty m:val="p"/>
          </m:rPr>
          <m:t>×</m:t>
        </m:r>
      </m:oMath>
      <w:r>
        <w:t xml:space="preserve"> </w:t>
      </w:r>
      <w:r>
        <w:t xml:space="preserve">lowers other bins, and a cap that preserves both the panel-wide diversity of the fixed subset and the local specificity of the PBWT ranking remains to be designed and measured. Finally, a seventh capture library (NA12878) was excluded for the reason given in Methods.</w:t>
      </w:r>
    </w:p>
    <w:p>
      <w:pPr>
        <w:pStyle w:val="BodyText"/>
      </w:pPr>
      <w:r>
        <w:rPr>
          <w:b/>
          <w:bCs/>
        </w:rPr>
        <w:t xml:space="preserve">Privacy considerations.</w:t>
      </w:r>
      <w:r>
        <w:t xml:space="preserve"> </w:t>
      </w:r>
      <w: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r>
        <w:rPr>
          <w:vertAlign w:val="superscript"/>
        </w:rPr>
        <w:t xml:space="preserve">31</w:t>
      </w:r>
      <w: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bookmarkEnd w:id="52"/>
    <w:bookmarkStart w:id="53" w:name="data-availability"/>
    <w:p>
      <w:pPr>
        <w:pStyle w:val="Heading1"/>
      </w:pPr>
      <w:r>
        <w:rPr>
          <w:b/>
          <w:bCs/>
        </w:rPr>
        <w:t xml:space="preserve">Data availability</w:t>
      </w:r>
    </w:p>
    <w:p>
      <w:pPr>
        <w:pStyle w:val="FirstParagraph"/>
      </w:pPr>
      <w:r>
        <w:t xml:space="preserve">The 1000 Genomes Project Phase 3 reference panel</w:t>
      </w:r>
      <w:r>
        <w:rPr>
          <w:vertAlign w:val="superscript"/>
        </w:rPr>
        <w:t xml:space="preserve">13</w:t>
      </w:r>
      <w:r>
        <w:t xml:space="preserve"> </w:t>
      </w:r>
      <w:r>
        <w:t xml:space="preserve">and the Genome in a Bottle (GIAB) reference-sample sequencing and v4.2.1 high-confidence truth genotypes are publicly available. The TOPMed Freeze 8 reference panel</w:t>
      </w:r>
      <w:r>
        <w:rPr>
          <w:vertAlign w:val="superscript"/>
        </w:rPr>
        <w:t xml:space="preserve">14</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t xml:space="preserve"> </w:t>
      </w:r>
      <w:r>
        <w:t xml:space="preserve">GRCh38 call set (public) is the source of the 2,398-sample panel used for the capture-library benchmark; the brain-genomics-public 30</w:t>
      </w:r>
      <m:oMath>
        <m:r>
          <m:rPr>
            <m:sty m:val="p"/>
          </m:rPr>
          <m:t>×</m:t>
        </m:r>
      </m:oMath>
      <w:r>
        <w:t xml:space="preserve"> </w:t>
      </w:r>
      <w:r>
        <w:t xml:space="preserve">GIAB alignments (public) underlie Tables 2 and 2b; the gnomAD HGDP and 1000 Genomes harmonized callset</w:t>
      </w:r>
      <w:r>
        <w:rPr>
          <w:vertAlign w:val="superscript"/>
        </w:rPr>
        <w:t xml:space="preserve">29</w:t>
      </w:r>
      <w:r>
        <w:t xml:space="preserve"> </w:t>
      </w:r>
      <w: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bookmarkEnd w:id="53"/>
    <w:bookmarkStart w:id="54"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at https://github.com/omicsedge/selphi (branch</w:t>
      </w:r>
      <w:r>
        <w:t xml:space="preserve"> </w:t>
      </w:r>
      <w:r>
        <w:rPr>
          <w:rStyle w:val="VerbatimChar"/>
        </w:rPr>
        <w:t xml:space="preserve">new_version/selphi2_cluster</w:t>
      </w:r>
      <w: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Style w:val="VerbatimChar"/>
        </w:rPr>
        <w:t xml:space="preserve">concordance.py</w:t>
      </w:r>
      <w:r>
        <w:t xml:space="preserve">) and the driver scripts of the capture-library benchmark are provided under</w:t>
      </w:r>
      <w:r>
        <w:t xml:space="preserve"> </w:t>
      </w:r>
      <w:r>
        <w:rPr>
          <w:rStyle w:val="VerbatimChar"/>
        </w:rPr>
        <w:t xml:space="preserve">paper/benchmarks/lcwgs_capture/</w:t>
      </w:r>
      <w:r>
        <w:t xml:space="preserve">.</w:t>
      </w:r>
    </w:p>
    <w:bookmarkEnd w:id="54"/>
    <w:bookmarkStart w:id="55"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55"/>
    <w:bookmarkStart w:id="56"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56"/>
    <w:bookmarkStart w:id="57" w:name="references"/>
    <w:p>
      <w:pPr>
        <w:pStyle w:val="Heading1"/>
      </w:pPr>
      <w:r>
        <w:rPr>
          <w:b/>
          <w:bCs/>
        </w:rPr>
        <w:t xml:space="preserve">References</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2023;55(7):1088-1090.</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2025;17(1):524.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Li H. Improving SNP discovery by base alignment quality.</w:t>
      </w:r>
      <w:r>
        <w:t xml:space="preserve"> </w:t>
      </w:r>
      <w:r>
        <w:rPr>
          <w:i/>
          <w:iCs/>
        </w:rPr>
        <w:t xml:space="preserve">Bioinformatics</w:t>
      </w:r>
      <w:r>
        <w:t xml:space="preserve">. 2011;27(8):1157-1158.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p>
      <w:pPr>
        <w:pStyle w:val="Compact"/>
        <w:numPr>
          <w:ilvl w:val="0"/>
          <w:numId w:val="1001"/>
        </w:numPr>
      </w:pPr>
      <w:r>
        <w:t xml:space="preserve">Browning BL, Browning SR. Genotype imputation with millions of reference samples.</w:t>
      </w:r>
      <w:r>
        <w:t xml:space="preserve"> </w:t>
      </w:r>
      <w:r>
        <w:rPr>
          <w:i/>
          <w:iCs/>
        </w:rPr>
        <w:t xml:space="preserve">Am J Hum Genet</w:t>
      </w:r>
      <w:r>
        <w:t xml:space="preserve">. 2016;98(1):116-126.</w:t>
      </w:r>
    </w:p>
    <w:p>
      <w:pPr>
        <w:pStyle w:val="Compact"/>
        <w:numPr>
          <w:ilvl w:val="0"/>
          <w:numId w:val="1001"/>
        </w:numPr>
      </w:pPr>
      <w:r>
        <w:t xml:space="preserve">Mosca MJ, Cho H. Reconstruction of private genomes through reference-based genotype imputation.</w:t>
      </w:r>
      <w:r>
        <w:t xml:space="preserve"> </w:t>
      </w:r>
      <w:r>
        <w:rPr>
          <w:i/>
          <w:iCs/>
        </w:rPr>
        <w:t xml:space="preserve">Genome Biol</w:t>
      </w:r>
      <w:r>
        <w:t xml:space="preserve">. 2023;24(1):271. doi:10.1186/s13059-023-03105-6.</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2026-10-07T16:15:43Z</dcterms:created>
  <dcterms:modified xsi:type="dcterms:W3CDTF">2026-10-07T16:15:43Z</dcterms:modified>
</cp:coreProperties>
</file>

<file path=docProps/custom.xml><?xml version="1.0" encoding="utf-8"?>
<Properties xmlns="http://schemas.openxmlformats.org/officeDocument/2006/custom-properties" xmlns:vt="http://schemas.openxmlformats.org/officeDocument/2006/docPropsVTypes"/>
</file>