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unifies phasing, imputation, and low-coverage sequencing in a single whole-genome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End-to-end genotype imputation today requires chaining multiple specialized tools, Eagle2 or SHAPEIT5 for phasing, Beagle, IMPUTE5, or Minimac4 for imputation, dedicated reference panel converters, bcftools for indexing, and per-format writers, each operating on per-chromosome inputs and emitting intermediate VCF files between stages. Here we present Selphi 2, a complete reimplementation of the Selphi genotype imputation framework in Rust that integrates the full workflow into a single tool. Selphi 2 adds two phasing engines (a diploid genotype-graph engine with MCMC sampling, used by default, and a haploid composite HMM) and imputes whole-genome targets against a single multi-chromosome reference panel in one command, eliminating per-chromosome file splitting and output concatenation. Selphi 2 reduces wall time by an order of magnitude relative to Selphi 1 and reduces peak memory by up to 58% relative to Beagle 5.5 (and is comparable on the largest chromosome), while matching or exceeding Selphi 1's accuracy: on homogeneous reference panels accuracy is preserved, and on admixed cohorts imputed against biobank-scale panels a panel-adaptive candidate-set sizing rule, derived from reference panel size and haplotype-pattern diversity, improves rare-variant accuracy over a fixed candidate-set size, which on very large panels retains too few of the haplotypes that carry rare alleles in minority ancestries. On six held-out individuals, each with a consumer genotyping array and a matched high-coverage genome (imputed against a 75,552-haplotype reference panel), Selphi 2's imputer matches or exceeds Beagle 5.5 at equal phasing on both SNPs and indels, and with its own default diploid phasing (which averages a small intra-run phase ensemble for one extra imputation pass and no extra phasing) exceeds Beagle's full pipeline on both SNPs and indels. The same binary additionally provides a low-coverage sequencing (lcWGS) imputation engine: a genotype-likelihood-aware Li-Stephens model that imputes directly from soft-called sequencing data. Benchmarked against GLIMPSE2 on real low-coverage sequencing of six Genome in a Bottle reference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it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variant sites on five of the six (tied on the sixth) while imputing each sample independently against the panel without ever materializing the full-chromosome reference panel; run one sample at a time (its native mode),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current imputation ecosystem is fragmented across multiple specialized tools. A standard end-to-end workflow phases the target with a dedicated phaser such as Eagle2</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or an earlier biobank-scale haplotype estimator</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imputes the phased target with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or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and processed one chromosome at a time.</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complete reimplementation of the Selphi algorithm in Rust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number of reference haplotypes retained per target is set by a panel-adaptive sizing formula derived from the reference panel size and the haplotype-pattern diversity of the panel; on admixed cohorts imputed against biobank-scale panels this preserves rare-variant accuracy that a fixed candidate-set size loses by retaining too few rare-allele-carrying haplotypes from minority ancestries.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Selphi 2 further provides a dedicated low-coverage sequencing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in the same binary, applying a genotype-likelihood-aware Li-Stephens model to soft-called sequencing input, so that array and low-coverage-sequencing imputation are served by one tool. In this paper, we describe the algorithmic components of Selphi 2 (Methods), benchmark its imputation accuracy and resource consumption against Selphi 1</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compare its phasing accuracy against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and compare its low-coverage engine against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Genome in a Bottle sequencing</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consistent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low-coverage sequencing input (0.5-2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depth),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 diplotype-mosaic phase-commitment step in a Gibbs schedule,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self-contained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3;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the averaged weights yield the exact mean dosage over the N phasings, marginalising phase uncertainty in dosage space.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3).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color w:val="0563C1"/>
          <w:vertAlign w:val="superscript"/>
        </w:rPr>
        <w:t xml:space="preserve">,</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and FNV-1a hashing is used for steps spanning more than 20 SNPs.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The forward pass uses 32-bit floating-point arithmetic for 2x cache density and SIMD throughput; the backward pass uses 64-bit precision to maintain numerical stability in the recombination probability computation. The per-site recombination probability follows the standard Li-Stephens formulation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fixed constant typically calibrated on a single reference panel (e.g.,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 in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or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in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1000 Genomes composite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(a multi-ethnic global panel, a UK Biobank and 1000 Genomes composite, and a multi-ethnic clinical cohort, respectively). A per-MAF sweep on the current implementation confirms both the optimum and its structure (Supplementary Table S13): on the 1000 Genomes panel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maximised at the formula's</w:t>
      </w:r>
      <w:r>
        <w:rPr>
          <w:rFonts w:ascii="Times New Roman" w:hAnsi="Times New Roman" w:cs="Times New Roman" w:eastAsia="Times New Roman"/>
        </w:rPr>
        <w:t xml:space="preserve"> </w:t>
      </w:r>
      <m:oMath>
        <m:sSub>
          <m:e>
            <m:r>
              <m:t>N</m:t>
            </m:r>
          </m:e>
          <m:sub>
            <m:r>
              <m:t>e</m:t>
            </m:r>
          </m:sub>
        </m:sSub>
        <m:r>
          <m:rPr>
            <m:sty m:val="p"/>
          </m:rPr>
          <m:t>≈</m:t>
        </m:r>
        <m:r>
          <m:t>175</m:t>
        </m:r>
        <m:r>
          <m:rPr>
            <m:sty m:val="p"/>
          </m:rPr>
          <m:t>,</m:t>
        </m:r>
        <m:r>
          <m:t>000</m:t>
        </m:r>
      </m:oMath>
      <w:r>
        <w:rPr>
          <w:rFonts w:ascii="Times New Roman" w:hAnsi="Times New Roman" w:cs="Times New Roman" w:eastAsia="Times New Roman"/>
        </w:rPr>
        <w:t xml:space="preserve">, while rare variants favour a lower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(≈50,000) and common variants a higher one (≈350,000), so the single formula value balances a genuine rare-versus-common tradeoff rather than sitting at either extreme.</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example</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color w:val="0563C1"/>
          <w:vertAlign w:val="superscript"/>
        </w:rPr>
        <w:t xml:space="preserv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To accelerate VCF output formatting, a fast path is employed for samples with trivial dosages: when both haplotype probabilities are below 0.005 (homozygous reference) or above 0.995 (homozygous alternate), a pre-compiled constant string is written directly, bypassing all floating-point-to-string conversion. For rare variants (MAF &lt; 1%), more than 99% of samples follow this fast path.</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(capacity 64 blocks), decoupling interpolation throughput from I/O throughput.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most sites carry no confident call but a soft genotype likelihood (GL) derived from one or two reads.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Indel panel sites are imputed flat from the haplotype scaffold by default, as in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 bit-packed conditioning representation loads 16 reference alleles directly as a mask register), with a scalar fallback on other hosts;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 is lossless, reproducing the panel genotypes byte-for-byte on an SRP round-trip (Results).</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Reference panels and relatedness</w:t>
      </w:r>
    </w:p>
    <w:p>
      <w:pPr>
        <w:pStyle w:val="FirstParagraph"/>
        <w:jc w:val="both"/>
      </w:pPr>
      <w:r>
        <w:rPr>
          <w:rFonts w:ascii="Times New Roman" w:hAnsi="Times New Roman" w:cs="Times New Roman" w:eastAsia="Times New Roman"/>
        </w:rPr>
        <w:t xml:space="preserve">Five reference panels are used.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(2,401 samples, 4,802 haplotypes) is used with its published phasing; the 801 evaluation targets are a disjoint held-out subset.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(2,239 samples, 4,478 haplotypes), used for the phasing and low-coverage benchmarks, is the 1000 Genomes cohort with all declared trio offspring and parents removed.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out-of-panel</w:t>
      </w:r>
      <w:r>
        <w:rPr>
          <w:rFonts w:ascii="Times New Roman" w:hAnsi="Times New Roman" w:cs="Times New Roman" w:eastAsia="Times New Roman"/>
        </w:rPr>
        <w:t xml:space="preserve"> </w:t>
      </w:r>
      <w:r>
        <w:rPr>
          <w:rFonts w:ascii="Times New Roman" w:hAnsi="Times New Roman" w:cs="Times New Roman" w:eastAsia="Times New Roman"/>
        </w:rPr>
        <w:t xml:space="preserve">benchmark uses the 3,166 1000 Genomes samples of the gnomAD Human Genome Diversity Project and 1000 Genomes harmonized callset (6,332 haplotypes) as the panel and the 925 HGDP individuals as targets.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panel (37,776 samples) combines 34,582 UK Biobank whole-genome sequences, ancestry-balanced by down-sampling the majority European-ancestry set, with the full 1000 Genomes cohort (3,194 samples), phased with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its ancestry composition is approximately 49% European, 22% South Asian, 19% African, 10% East Asian and 1% admixed-American.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TOPMed Freeze 8</w:t>
      </w:r>
      <w:r>
        <w:rPr>
          <w:rFonts w:ascii="Times New Roman" w:hAnsi="Times New Roman" w:cs="Times New Roman" w:eastAsia="Times New Roman"/>
        </w:rPr>
        <w:t xml:space="preserve"> </w:t>
      </w:r>
      <w:r>
        <w:rPr>
          <w:rFonts w:ascii="Times New Roman" w:hAnsi="Times New Roman" w:cs="Times New Roman" w:eastAsia="Times New Roman"/>
        </w:rPr>
        <w:t xml:space="preserve">panel (171,054 haplotypes, 85,527 samples) is a TOPMed Freeze 8 reference panel from which the MESA study samples were removed, so the 5,000 MESA evaluation targets are held out from it.</w:t>
      </w:r>
    </w:p>
    <w:p>
      <w:pPr>
        <w:pStyle w:val="BodyText"/>
        <w:jc w:val="both"/>
      </w:pPr>
      <w:r>
        <w:rPr>
          <w:rFonts w:ascii="Times New Roman" w:hAnsi="Times New Roman" w:cs="Times New Roman" w:eastAsia="Times New Roman"/>
        </w:rPr>
        <w:t xml:space="preserve">Following standard practice for imputation reference panels, related individuals are retained rather than pruned. Unlike a genome-wide association cohort, in which cryptic relatedness inflates association test statistics, an imputation reference panel benefits from related haplotypes: they raise the local minor-allele count available to the copying model and thereby improve rare-variant accuracy, so panels such as 1000 Genomes, HRC and TOPMed are distributed without relatedness pruning. Only exact duplicate samples were removed during construction of the 75,552-haplotype panel. The relatedness that can bias an accuracy benchmark is instead the relatedness between a panel and its</w:t>
      </w:r>
      <w:r>
        <w:rPr>
          <w:rFonts w:ascii="Times New Roman" w:hAnsi="Times New Roman" w:cs="Times New Roman" w:eastAsia="Times New Roman"/>
        </w:rPr>
        <w:t xml:space="preserve"> </w:t>
      </w:r>
      <w:r>
        <w:rPr>
          <w:rFonts w:ascii="Times New Roman" w:hAnsi="Times New Roman" w:cs="Times New Roman" w:eastAsia="Times New Roman"/>
          <w:i/>
          <w:iCs/>
        </w:rPr>
        <w:t xml:space="preserve">evaluation targets</w:t>
      </w:r>
      <w:r>
        <w:rPr>
          <w:rFonts w:ascii="Times New Roman" w:hAnsi="Times New Roman" w:cs="Times New Roman" w:eastAsia="Times New Roman"/>
        </w:rPr>
        <w:t xml:space="preserve">, and this is controlled at the target side: the GIAB and HGDP benchmarks use targets provably absent from their panels (leak-free), whereas the 1000 Genomes benchmark, whose held-out targets share haplotypes with the panel by descent, is reported as such (Results) and is the reason the leak-free GIAB and HGDP results are treated as the decisive accuracy evidence.</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3),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13% of raw calls on average across the six samples (9% to 14% per sample; e.g. 4.98M to 4.34M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 "Beagle-phased" rows, both Selphi 2 and Selphi 1.5.3 were given Beagle's phase-only output as their phased input, isolating the imputation step from phasing quality; the "haploid"/"diploid" 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3"/>
        <w:jc w:val="both"/>
      </w:pPr>
      <w:r>
        <w:rPr>
          <w:rFonts w:ascii="Times New Roman" w:hAnsi="Times New Roman" w:cs="Times New Roman" w:eastAsia="Times New Roman"/>
          <w:b/>
          <w:bCs/>
        </w:rPr>
        <w:t xml:space="preserve">Comparator tools and versions</w:t>
      </w:r>
    </w:p>
    <w:p>
      <w:pPr>
        <w:pStyle w:val="FirstParagraph"/>
        <w:jc w:val="both"/>
      </w:pPr>
      <w:r>
        <w:rPr>
          <w:rFonts w:ascii="Times New Roman" w:hAnsi="Times New Roman" w:cs="Times New Roman" w:eastAsia="Times New Roman"/>
        </w:rPr>
        <w:t xml:space="preserve">Comparators were run at their default parameters unless noted, given the same per-chromosome genetic maps and the identical reference panel as Selphi 2 on each benchmark, and imputed variants were scored on the identical site set across the compared tools. Beagle 5.5 (build 03Oct25.f35702) was run as an integrated phase-and-impute pipeline against the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 IMPUTE5 v1.1.5 was run after converting the panel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imp5Convert</w:t>
      </w:r>
      <w:r>
        <w:rPr>
          <w:rFonts w:ascii="Times New Roman" w:hAnsi="Times New Roman" w:cs="Times New Roman" w:eastAsia="Times New Roman"/>
        </w:rPr>
        <w:t xml:space="preserve">, and Minimac4 v4.1.6 after converting the panel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msav</w:t>
      </w:r>
      <w:r>
        <w:rPr>
          <w:rFonts w:ascii="Times New Roman" w:hAnsi="Times New Roman" w:cs="Times New Roman" w:eastAsia="Times New Roman"/>
        </w:rPr>
        <w:t xml:space="preserve"> </w:t>
      </w:r>
      <w:r>
        <w:rPr>
          <w:rFonts w:ascii="Times New Roman" w:hAnsi="Times New Roman" w:cs="Times New Roman" w:eastAsia="Times New Roman"/>
        </w:rPr>
        <w:t xml:space="preserve">(the current Minimac4 panel format; the deprecated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m3vcf</w:t>
      </w:r>
      <w:r>
        <w:rPr>
          <w:rFonts w:ascii="Times New Roman" w:hAnsi="Times New Roman" w:cs="Times New Roman" w:eastAsia="Times New Roman"/>
        </w:rPr>
        <w:t xml:space="preserve"> </w:t>
      </w:r>
      <w:r>
        <w:rPr>
          <w:rFonts w:ascii="Times New Roman" w:hAnsi="Times New Roman" w:cs="Times New Roman" w:eastAsia="Times New Roman"/>
        </w:rPr>
        <w:t xml:space="preserve">was not used). Phasing was compared against SHAPEIT5 v5.1.1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Low-coverage imputation was compared against GLIMPSE2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and QUILT2, each deriving genotype likelihoods from the same BAM files with its own in-process pileup. The original Selphi 1.5.3 was run from its published Docker image with the published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--chunk_size 10000</w:t>
      </w:r>
      <w:r>
        <w:rPr>
          <w:rFonts w:ascii="Times New Roman" w:hAnsi="Times New Roman" w:cs="Times New Roman" w:eastAsia="Times New Roman"/>
        </w:rPr>
        <w:t xml:space="preserve"> </w:t>
      </w:r>
      <w:r>
        <w:rPr>
          <w:rFonts w:ascii="Times New Roman" w:hAnsi="Times New Roman" w:cs="Times New Roman" w:eastAsia="Times New Roman"/>
        </w:rPr>
        <w:t xml:space="preserve">configuration. We verified that these defaults do not disadvantage the comparators: on the 1000 Genomes chromosome-22 benchmark, varying Beagle 5.5's window from 20 to 80 cM changed its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less than 0.0001, consistent with the near-insensitivity to window size reported by its authors; IMPUTE5's and Minimac4's default conditioning-state and blocking parameters are likewise the settings their authors recommend for large reference panels.</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We evaluated Selphi 2 against Beagle 5.5 and the original Selphi 1.5.3 on three reference panels spanning two orders of magnitude in size: the 1000 Genomes Phase 3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(37,776-sample) reference panel combining UK Biobank whole-genome sequences (34,582 samples) with the full 1000 Genomes cohort (3,194 samples).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all evaluated against the identical 1000 Genomes reference panel and truth (Selphi 2 and Beagle 5.5 run as full phase-and-impute pipelines from the unphased chip; IMPUTE5 and Minimac4, which require pre-phased input, given the identical phased target, as detailed in the Table 1 caption).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Across the 801 held-out samples this per-sample advantage is consistent and paired-significant: on chromosome 22 Selphi 2 exceeds Beagle 5.5 by a mean +0.0110 (95% CI [+0.0105, +0.0114] from 20,000 paired bootstrap resamples; higher in 769 of 801 samples), IMPUTE5 by +0.0134, and Minimac4 by +0.0129 (all 95% CIs exclude zero;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each tool).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a per-sample gain of +0.0057 (95% CI [+0.0056, +0.0059]) that favours Selphi 2 in all 801 of 801 samples.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1). Aggregated genome-wide across 20 autosomes (chromosomes 8 and 11 excluded, where Beagle aborted on a duplicate panel marker, so all tools span the identical chromosome set), the same ordering holds. To compare imputation on an equal footing, independent of each tool's phasing, we ran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benchmark in which all five tools — Selphi 2, the original Selphi 1.5.3, Beagle 5.5, Minimac4 and IMPUTE5 — receive the</w:t>
      </w:r>
      <w:r>
        <w:rPr>
          <w:rFonts w:ascii="Times New Roman" w:hAnsi="Times New Roman" w:cs="Times New Roman" w:eastAsia="Times New Roman"/>
        </w:rPr>
        <w:t xml:space="preserve"> </w:t>
      </w:r>
      <w:r>
        <w:rPr>
          <w:rFonts w:ascii="Times New Roman" w:hAnsi="Times New Roman" w:cs="Times New Roman" w:eastAsia="Times New Roman"/>
          <w:i/>
          <w:iCs/>
        </w:rPr>
        <w:t xml:space="preserve">identical</w:t>
      </w:r>
      <w:r>
        <w:rPr>
          <w:rFonts w:ascii="Times New Roman" w:hAnsi="Times New Roman" w:cs="Times New Roman" w:eastAsia="Times New Roman"/>
        </w:rPr>
        <w:t xml:space="preserve"> </w:t>
      </w:r>
      <w:r>
        <w:rPr>
          <w:rFonts w:ascii="Times New Roman" w:hAnsi="Times New Roman" w:cs="Times New Roman" w:eastAsia="Times New Roman"/>
        </w:rPr>
        <w:t xml:space="preserve">phased target haplotypes and the same 1000 Genomes panel, and impute from that shared phasing (Figure 2a; Supplementary Table S9). Selphi 2 leads at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0.5808, ahead of Selphi 1.5.3 and Beagle 5.5 (both 0.5739), Minimac4 (0.5668) and IMPUTE5 (0.5635). Because the shared target is fully phased and contains no missing genotypes, all five tools are compared purely as imputation methods on identical input haplotypes; under this condition Beagle 5.5 likewise imputes without re-estimating the target phase. Selphi 2 is highest at overall and across the low-frequency bins (0.1-2%); it and Selphi 1.5.3 lie within ≈0.001 (seed-level noise) at the common bins (2-50%), both above the three external tools, and only at the rarest bin (MAF 0.05-0.1%) does Beagle 5.5 narrowly lead. Minimac4 and IMPUTE5, which require pre-phased input, were imputed against that identical phased target and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(Table 1 reports their per-MAF detail on chromosome 22). In deployment as a full phase-and-impute pipeline from the unphased chip — the mode in which it is actually run — Selphi 2's own internal phasing lifts its genome-wide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further, to 0.5838 (per-sample mean 0.9548) versus Beagle 5.5's 0.5764 (0.9503), each re-run with the current release. Extended per-MAF detail is in Supplementary Table S1 (chr22 and chr1), Supplementary Table S9 (the genome-wide five-way imputation-only breakdown underlying Figure 2a) and Supplementary Table S12 (Selphi 2 versus Selphi 1.5.3 on chr22 and chr1: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0.4776 versus 0.4703 and 0.5643 versus 0.5581, Selphi 2 higher at every bin from the rarest through low frequency, the two within ≈0.001 at the most common bins). The Rust reimplementation thus preserves, and at rare frequencies improves on, Selphi 1's imputation accuracy, while Selphi 2's integrated phasing carries the full pipeline beyond every external tool.</w:t>
      </w:r>
    </w:p>
    <w:p>
      <w:pPr>
        <w:pStyle w:val="BodyText"/>
        <w:jc w:val="both"/>
      </w:pPr>
      <w:r>
        <w:rPr>
          <w:rFonts w:ascii="Times New Roman" w:hAnsi="Times New Roman" w:cs="Times New Roman" w:eastAsia="Times New Roman"/>
          <w:b/>
          <w:bCs/>
        </w:rPr>
        <w:t xml:space="preserve">Table 1.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Minimac4 and the original Selphi 1.5.3 are impute-only, run on the identical phased target and 1000 Genomes reference panel (Selphi 1.5.3 requires pre-phased input) and evaluated on chromosome 22 (Selphi 1.5.3 also on chromosome 1); Selphi 2 and Beagle 5.5 are the full unphased-to-imputed pipeline, both additionally evaluated on chromosome 1. Bold marks the best full-pipeline result (Selphi 2 or Beagle 5.5) in each chromosome group; at common bins the impute-only tools can marginally exceed it because they are handed a high-quality phasing rather than performing their own, so the like-for-like impute-only comparison of the two Selphi versions is given separately in Supplementary Table S12.</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61"/>
        <w:gridCol w:w="1074"/>
        <w:gridCol w:w="1074"/>
        <w:gridCol w:w="1201"/>
        <w:gridCol w:w="1328"/>
        <w:gridCol w:w="1074"/>
        <w:gridCol w:w="1074"/>
        <w:gridCol w:w="1074"/>
      </w:tblGrid>
      <w:tr>
        <w:trPr>
          <w:tblHeader w:val="on"/>
        </w:trPr>
        <w:tc>
          <w:tcPr>
            <w:shd w:val="clear" w:color="auto" w:fill="595959"/>
            <w:vAlign w:val="center"/>
            <w:tcW w:type="dxa" w:w="146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201"/>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328"/>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0.6753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0.7598</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0.7972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0.8432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A fixed per-target candidate-set size retains a panel-relative fraction that shrinks sharply as the panel grows, so a size adequate for a small panel retains only a small fraction of a biobank-scale panel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retains 1.5% of the 171,054-haplotype TOPMed panel), systematically excluding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2's default diploid engine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0.6148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+0.0227).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2b).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only a marginal additional gain, confirming the diminishing-returns regime captured by the formula (the full candidate-set-size sweep is in Supplementary Table S2). Run at their default settings on the identical 17.9-million-variant, 5,000-sample set, IMPUTE5 and Minimac4 attain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0.4967 and 0.4795 respectively, well below both Beagle 5.5 (0.5921) and Selphi 2 (0.6148): IMPUTE5's fixed</w:t>
      </w:r>
      <w:r>
        <w:rPr>
          <w:rFonts w:ascii="Times New Roman" w:hAnsi="Times New Roman" w:cs="Times New Roman" w:eastAsia="Times New Roman"/>
        </w:rPr>
        <w:t xml:space="preserve"> </w:t>
      </w:r>
      <m:oMath>
        <m:r>
          <m:t>L</m:t>
        </m:r>
      </m:oMath>
      <w:r>
        <w:rPr>
          <w:rFonts w:ascii="Times New Roman" w:hAnsi="Times New Roman" w:cs="Times New Roman" w:eastAsia="Times New Roman"/>
        </w:rPr>
        <w:t xml:space="preserve"> </w:t>
      </w:r>
      <w:r>
        <w:rPr>
          <w:rFonts w:ascii="Times New Roman" w:hAnsi="Times New Roman" w:cs="Times New Roman" w:eastAsia="Times New Roman"/>
        </w:rPr>
        <w:t xml:space="preserve">= 4 conditioning states and Minimac4's block-based state reduction retain too few of the rare-allele carriers present in a 171,054-haplotype panel, the same truncation the candidate-sizing ablation isolates, and Selphi 2 leads both at every MAF bin (Supplementary Table S11).</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(a representative fixed candidate-set size).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2).</w:t>
      </w:r>
    </w:p>
    <w:p>
      <w:pPr>
        <w:pStyle w:val="BodyText"/>
        <w:jc w:val="both"/>
      </w:pPr>
      <w:r>
        <w:rPr>
          <w:rFonts w:ascii="Times New Roman" w:hAnsi="Times New Roman" w:cs="Times New Roman" w:eastAsia="Times New Roman"/>
          <w:b/>
          <w:bCs/>
        </w:rPr>
        <w:t xml:space="preserve">Table 2.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2b).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is a representative fixed candidate-set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7"/>
        <w:gridCol w:w="2093"/>
        <w:gridCol w:w="2340"/>
        <w:gridCol w:w="2340"/>
      </w:tblGrid>
      <w:tr>
        <w:trPr>
          <w:tblHeader w:val="on"/>
        </w:trPr>
        <w:tc>
          <w:tcPr>
            <w:shd w:val="clear" w:color="auto" w:fill="595959"/>
            <w:vAlign w:val="center"/>
            <w:tcW w:type="dxa" w:w="258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093"/>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2340"/>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2340"/>
          </w:tcPr>
          <w:p>
            <w:pPr>
              <w:pStyle w:val="Compact"/>
              <w:jc w:val="center"/>
            </w:pPr>
            <m:oMath>
              <m:r>
                <m:rPr>
                  <m:sty m:val="p"/>
                </m:rPr>
                <m:t>Δ</m:t>
              </m:r>
            </m:oMath>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candidate-set size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2b):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2b). The monotonic decay from rare to common variants, and the ordering by population admixture and divergence, are the signature of the proposed mechanism: a fixed candidate cap, dominated by the panel's majority-ancestry haplotypes,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2b.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2529"/>
        <w:gridCol w:w="1433"/>
        <w:gridCol w:w="1297"/>
        <w:gridCol w:w="252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433"/>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297"/>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+0.1391</w:t>
            </w:r>
          </w:p>
        </w:tc>
        <w:tc>
          <w:tcPr>
            <w:shd w:val="clear" w:color="auto" w:fill="FFFFFF"/>
            <w:vAlign w:val="center"/>
            <w:tcW w:type="dxa" w:w="1433"/>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+0.1211</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+0.0123</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+0.0885</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+0.0642</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+0.0008</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+0.0528</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-0.0034</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+0.0343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+0.0266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-0.0059</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-0.0038</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+0.0874</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2c). The advantage is unanimous across individuals: Selphi 2's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Beagle 5.5's in all 925 targets (mean</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 +0.0066, 95% CI [+0.0064, +0.0069] from 20,000 paired bootstrap resamples;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and in every one of the seven regions taken separately (every per-region 95% CI excludes zero; every sample favours Selphi 2).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1).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2c.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5307"/>
            <wp:effectExtent b="0" l="0" r="0" t="0"/>
            <wp:docPr descr="Figure 2" title="" id="32" name="Picture"/>
            <a:graphic>
              <a:graphicData uri="http://schemas.openxmlformats.org/drawingml/2006/picture">
                <pic:pic>
                  <pic:nvPicPr>
                    <pic:cNvPr descr="figures/figure2_accuracy.png" id="33" name="Picture"/>
                    <pic:cNvPicPr>
                      <a:picLocks noChangeArrowheads="1" noChangeAspect="1"/>
                    </pic:cNvPicPr>
                  </pic:nvPicPr>
                  <pic:blipFill>
                    <a:blip r:embed="rId31"/>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tools use the identical chromosome set), imputation-only: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the original Selphi 1.5.3, Beagle 5.5, Minimac4 and IMPUTE5, all imputing from the identical phased target haplotypes and the same reference panel (the target is fully phased and complete, so Beagle 5.5 likewise imputes without re-estimating phase). Selphi 2 leads at overall</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(0.5808) and across the low-frequency bins; it and Selphi 1.5.3 lie within ≈0.001 at the common bins, both above the three external tools, and Beagle 5.5 leads only the rarest 0.05-0.1% bin (Supplementary Table S9).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candidate-set-sizing ablation behind the rare-variant gains in the admixed and diverged groups is in Table 2b.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2c);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6b).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6b)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 (Supplementary Table S3).</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3).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exact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3.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 "Beagle-phased" rows feed both imputers the identical Beagle phase-only output (isolating the imputation step); "haploid/diploid" 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3b).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3b.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845"/>
        <w:gridCol w:w="1520"/>
        <w:gridCol w:w="995"/>
      </w:tblGrid>
      <w:tr>
        <w:trPr>
          <w:tblHeader w:val="on"/>
        </w:trPr>
        <w:tc>
          <w:tcPr>
            <w:shd w:val="clear" w:color="auto" w:fill="595959"/>
            <w:vAlign w:val="center"/>
            <w:tcW w:type="dxa" w:w="68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6845"/>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27.7 min</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W w:type="dxa" w:w="6845"/>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("no-trios" 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4; Supplementary Table S5).</w:t>
      </w:r>
    </w:p>
    <w:p>
      <w:pPr>
        <w:pStyle w:val="BodyText"/>
        <w:jc w:val="both"/>
      </w:pPr>
      <w:r>
        <w:rPr>
          <w:rFonts w:ascii="Times New Roman" w:hAnsi="Times New Roman" w:cs="Times New Roman" w:eastAsia="Times New Roman"/>
          <w:b/>
          <w:bCs/>
        </w:rPr>
        <w:t xml:space="preserve">Table 4.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20"/>
        <w:gridCol w:w="785"/>
        <w:gridCol w:w="785"/>
        <w:gridCol w:w="995"/>
        <w:gridCol w:w="785"/>
        <w:gridCol w:w="995"/>
        <w:gridCol w:w="995"/>
      </w:tblGrid>
      <w:tr>
        <w:trPr>
          <w:tblHeader w:val="on"/>
        </w:trPr>
        <w:tc>
          <w:tcPr>
            <w:shd w:val="clear" w:color="auto" w:fill="595959"/>
            <w:vAlign w:val="center"/>
            <w:tcW w:type="dxa" w:w="402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4020"/>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W w:type="dxa" w:w="785"/>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W w:type="dxa" w:w="4020"/>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(a 66% reduction),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4b).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1.876%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4)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on the SHAPEIT5 run reported in Table 4b, within the ≤0.012 pp run-to-run range of Table 4's headline value; 95% CI [-0.104, -0.053], 44 of 54 trios), while on chromosome 1 Beagle 5.5 is marginally lowest but again not significantly different from Selphi 2 (Δ = +0.011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4c).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4b.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4 (Selphi 2 and Beagle 5.5 identical; SHAPEIT5 within 0.012 pp of Table 4's independent run); paired significance is given in the text. Pedigree-aware SER is partially circular (see text); the no-pedigree columns are the unconfounded comparison and Table 4c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960"/>
        <w:gridCol w:w="1100"/>
        <w:gridCol w:w="1100"/>
        <w:gridCol w:w="1100"/>
        <w:gridCol w:w="1100"/>
      </w:tblGrid>
      <w:tr>
        <w:trPr>
          <w:tblHeader w:val="on"/>
        </w:trPr>
        <w:tc>
          <w:tcPr>
            <w:shd w:val="clear" w:color="auto" w:fill="595959"/>
            <w:vAlign w:val="center"/>
            <w:tcW w:type="dxa" w:w="496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2.521</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0.335</w:t>
            </w:r>
          </w:p>
        </w:tc>
      </w:tr>
      <w:tr>
        <w:tc>
          <w:tcPr>
            <w:shd w:val="clear" w:color="auto" w:fill="E7E6E6"/>
            <w:vAlign w:val="center"/>
            <w:tcW w:type="dxa" w:w="496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2.599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4c.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528"/>
        <w:gridCol w:w="1458"/>
        <w:gridCol w:w="1458"/>
        <w:gridCol w:w="1458"/>
        <w:gridCol w:w="1458"/>
      </w:tblGrid>
      <w:tr>
        <w:trPr>
          <w:tblHeader w:val="on"/>
        </w:trPr>
        <w:tc>
          <w:tcPr>
            <w:shd w:val="clear" w:color="auto" w:fill="595959"/>
            <w:vAlign w:val="center"/>
            <w:tcW w:type="dxa" w:w="35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35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5 summarizes wall time and peak resident memory for Selphi 2, Selphi 1.5.3, and Beagle on the three reference panels evaluated above, on the same machine (16 threads) and on identical inputs; a fuller per-benchmark breakdown, including the lcWGS runs, is in Supplementary Table S6.</w:t>
      </w:r>
    </w:p>
    <w:p>
      <w:pPr>
        <w:pStyle w:val="BodyText"/>
        <w:jc w:val="both"/>
      </w:pPr>
      <w:r>
        <w:rPr>
          <w:rFonts w:ascii="Times New Roman" w:hAnsi="Times New Roman" w:cs="Times New Roman" w:eastAsia="Times New Roman"/>
          <w:b/>
          <w:bCs/>
        </w:rPr>
        <w:t xml:space="preserve">Table 5.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40274"/>
            <wp:effectExtent b="0" l="0" r="0" t="0"/>
            <wp:docPr descr="Figure 3" title="" id="39" name="Picture"/>
            <a:graphic>
              <a:graphicData uri="http://schemas.openxmlformats.org/drawingml/2006/picture">
                <pic:pic>
                  <pic:nvPicPr>
                    <pic:cNvPr descr="figures/figure3_efficiency.png" id="40" name="Picture"/>
                    <pic:cNvPicPr>
                      <a:picLocks noChangeArrowheads="1" noChangeAspect="1"/>
                    </pic:cNvPicPr>
                  </pic:nvPicPr>
                  <pic:blipFill>
                    <a:blip r:embed="rId38"/>
                    <a:stretch>
                      <a:fillRect/>
                    </a:stretch>
                  </pic:blipFill>
                  <pic:spPr bwMode="auto">
                    <a:xfrm>
                      <a:off x="0" y="0"/>
                      <a:ext cx="5334000" cy="1640274"/>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Whole-genome wall time and (b)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3b). (c) Per-sample low-coverage wall time for chromosome 22, all three tools measured on the entire chromosome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coverage, 16 threads, same machine; log scale): 115 s for Selphi 2 versus 287 s for GLIMPSE2 (its 15 native chunks plus ligation) and 1,729 s for QUILT2 (tiled across the chromosome), so Selphi 2 is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GLIMPSE2 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QUILT2 (Table 6b).</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the same gap holds at genome scale: on the multi-sample 1000 Genomes benchmark underlying Figure 2a (801 held-out samples, 20 autosomes, imputation-only, 16 threads), Selphi 2 imputes the full set in ≈1.3 h versus ≈36 h for Selphi 1.5.3 (≈27</w:t>
      </w:r>
      <m:oMath>
        <m:r>
          <m:rPr>
            <m:sty m:val="p"/>
          </m:rPr>
          <m:t>×</m:t>
        </m:r>
      </m:oMath>
      <w:r>
        <w:rPr>
          <w:rFonts w:ascii="Times New Roman" w:hAnsi="Times New Roman" w:cs="Times New Roman" w:eastAsia="Times New Roman"/>
        </w:rPr>
        <w:t xml:space="preserve">), with Selphi 1.5.3 peaking near 34 GB. Its peak memory is 39-58% lower than Beagle's on the 1000 Genomes chromosome 22 and both GIAB benchmarks, and comparable to Beagle on 1000 Genomes chromosome 1 (21.9 GB versus 20.2 GB). On the TOPMed biobank-scale run, Selphi 2 is slower than Beagle 5.5 (2.7</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+0.0227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with Selphi 2 leading Beagle across the MAF spectrum.</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w:t>
      </w:r>
    </w:p>
    <w:p>
      <w:pPr>
        <w:pStyle w:val="Heading2"/>
        <w:jc w:val="both"/>
      </w:pPr>
      <w:r>
        <w:rPr>
          <w:rFonts w:ascii="Times New Roman" w:hAnsi="Times New Roman" w:cs="Times New Roman" w:eastAsia="Times New Roman"/>
          <w:b/>
          <w:bCs/>
        </w:rPr>
        <w:t xml:space="preserve">Low-coverage sequencing imputation</w:t>
      </w:r>
    </w:p>
    <w:p>
      <w:pPr>
        <w:pStyle w:val="FirstParagraph"/>
        <w:jc w:val="both"/>
      </w:pPr>
      <w:r>
        <w:rPr>
          <w:rFonts w:ascii="Times New Roman" w:hAnsi="Times New Roman" w:cs="Times New Roman" w:eastAsia="Times New Roman"/>
        </w:rPr>
        <w:t xml:space="preserve">We assessed the lcWGS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on real low-coverage sequencing of the Genome in a Bottle (GIAB) reference samples HG002-HG007 (the Ashkenazi and Han Chinese trios), none of which are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above,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2's lcWGS engine imputes each target sample independently against the reference panel with a genotype-likelihood-aware Li-Stephens forward-backward: sparse-PBWT conditioning-set selection, a faithful eight-founder phasing HMM re-committed at each Gibbs iteration,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the single change that lifts the ultra-rare bin to parity with or above GLIMPSE2 (Results, Table 6b),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extension feeds each heterozygous rare site's locally-best-matching panel carriers into the per-segment phase commitment, so the rarest carriers are committed without perturbing the global conditioning HMM. The chromosome is processed in overlapping cM windows whose reference bitmatrix is extracted from the SRP and discarded per window, and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so the full-chromosome reference panel is never materialized in memory.</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6). The advantage is consistent across the six samples (95% CI [+0.0021, +0.0050] from 20,000 paired bootstrap resamples of the per-sample differences; Selphi 2 higher in five of six), though with n = 6 the two-sided exact Wilcoxon signed-rank test does not reach significance (p = 0.0625), the single exception (HG007) differing by 0.0002.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6b, Figure 2d). Because each sample is imputed independently against the panel, the engine's natural mode is one sample at a time: a single chromosome-22 sample completes in approximately 2.0 minutes on 16 cores at a few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The Gibbs iteration count and the cM window size are explicit accuracy/speed controls.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6b; per-sample and coverage-swept detail in Supplementary Table S4).</w:t>
      </w:r>
    </w:p>
    <w:p>
      <w:pPr>
        <w:pStyle w:val="BodyText"/>
        <w:jc w:val="both"/>
      </w:pPr>
      <w:r>
        <w:rPr>
          <w:rFonts w:ascii="Times New Roman" w:hAnsi="Times New Roman" w:cs="Times New Roman" w:eastAsia="Times New Roman"/>
          <w:b/>
          <w:bCs/>
        </w:rPr>
        <w:t xml:space="preserve">Table 6.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149"/>
        <w:gridCol w:w="2149"/>
        <w:gridCol w:w="2657"/>
        <w:gridCol w:w="2405"/>
      </w:tblGrid>
      <w:tr>
        <w:trPr>
          <w:tblHeader w:val="on"/>
        </w:trPr>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657"/>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405"/>
          </w:tcPr>
          <w:p>
            <w:pPr>
              <w:pStyle w:val="Compact"/>
              <w:jc w:val="center"/>
            </w:pPr>
            <m:oMath>
              <m:r>
                <m:rPr>
                  <m:sty m:val="p"/>
                </m:rPr>
                <m:t>Δ</m:t>
              </m:r>
            </m:oMath>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-0.0002</w:t>
            </w:r>
          </w:p>
        </w:tc>
      </w:tr>
      <w:tr>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657"/>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405"/>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At the rarest frequencies (MAF 0-0.5%) Selphi 2's band-mode recombination (default; Methods) places it level with or ahead of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(quantified across the coverage sweep in Table 6b). Single-sample efficiency on chromosome 22: Selphi 2 completes in ≈2.0 minutes at ≈3.3 GB peak memory, never materializing the full-chromosome reference panel, versus ≈5.4 minutes for GLIMPSE2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GLIMPSE2's lower per-sample footprint (≈2.1 GB) reflects its separate one-time panel-splitting step, excluded here from both tools.</w:t>
      </w:r>
    </w:p>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6b).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2d).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3c); QUILT2's runtime grows further with sequencing depth. QUILT2's distinguishing mechanism, a read-level latent-label model that retains within-read linkage rather than collapsing reads to per-site genotype likelihoods, may confer an advantage below the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evaluated here, a regime outside the range we tested.</w:t>
      </w:r>
    </w:p>
    <w:p>
      <w:pPr>
        <w:pStyle w:val="BodyText"/>
        <w:jc w:val="both"/>
      </w:pPr>
      <w:r>
        <w:rPr>
          <w:rFonts w:ascii="Times New Roman" w:hAnsi="Times New Roman" w:cs="Times New Roman" w:eastAsia="Times New Roman"/>
          <w:b/>
          <w:bCs/>
        </w:rPr>
        <w:t xml:space="preserve">Table 6b.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58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0.9437</w:t>
            </w:r>
          </w:p>
        </w:tc>
      </w:tr>
    </w:tbl>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reimplementation of the Selphi genotype imputation algorithm</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phasing and imputation in a single tool, performs whole-genome imputation in one command against a single multi-chromosome reference panel, and introduces a panel-adaptive candidate-set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0.0227 on the MESA admixed cohort, leading Beagle across all four ancestry groups (Figure 2b); this advantage over Beagle reflects the larger panel-adaptive candidate set retained per target versus Beagle's window-local composite haplotypes. The same panel-adaptive sizing recovers +0.0651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a fixed candidate-set size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a recovery that is monotonically larger at rarer bins and largest for the most admixed groups (Table 2, Table 2b).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color w:val="0563C1"/>
          <w:vertAlign w:val="superscript"/>
        </w:rPr>
        <w:t xml:space="preserve">,</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0.023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1), reproducing for Selphi 2 the accuracy ordering that Selphi 1 reported against the same three tools.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An ablation on chromosome 22 (Supplementary Table S10) quantifies the two: restricting the scan to an IMPUTE5-like 8 cM window costs 0.013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is shorter than the 80 cM window, so the default window already spans the whole chromosome and coincides with Selphi 1's whole-chromosome pass), and the panel-adaptive effective population size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36.4</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contributes a further 0.008 over a fixed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The principal extensions are the integrated phasing engines, the panel-adaptive candidate-set sizing, the multi-chromosome single-pass workflow, and the panel-format-agnostic input (BCF, VCF, BREF3) with multi-format output.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rather than from genotyping arrays. Selphi 2 addresses this regime with its dedicated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(Methods; Results, Low-coverage sequencing imputation), so the two tools are now directly comparable on lcWGS input: on real low-coverage Genome in a Bottle sequencing (six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six samples (mean 0.9493 versus 0.9455) without ever materializing the full-chromosome reference panel; run one sample at a time (its native mode, since each target is imputed independently against the panel),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per sample, and the two tools are effectively tied at the rarest frequencies.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in favour of Selphi 2 regardless of which tool produced the phasing (Supplementary Table S7). This is consistent with the near-tied switch-error rates on common variants (Table 4):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(Supplementary Table S8). The pedigree result (Table 4c)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-0.004</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3),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3):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biobank-scale MESA</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benchmark is restricted to chromosome 20 and the per-MAF panel breakdowns to chromosomes 1, 21 and 22, though the 1000 Genomes and out-of-panel HGDP aggregates (Figure 2a; Table 2c) are genome-wide; the panel-adaptive rule's behavior on the X chromosome under sex-aware phasing remains to be characterized in a dedicated whole-genome study.</w:t>
      </w:r>
    </w:p>
    <w:p>
      <w:pPr>
        <w:pStyle w:val="BodyText"/>
        <w:jc w:val="both"/>
      </w:pPr>
      <w:r>
        <w:rPr>
          <w:rFonts w:ascii="Times New Roman" w:hAnsi="Times New Roman" w:cs="Times New Roman" w:eastAsia="Times New Roman"/>
          <w:b/>
          <w:bCs/>
        </w:rPr>
        <w:t xml:space="preserve">Privacy considerations.</w:t>
      </w:r>
      <w:r>
        <w:rPr>
          <w:rFonts w:ascii="Times New Roman" w:hAnsi="Times New Roman" w:cs="Times New Roman" w:eastAsia="Times New Roman"/>
        </w:rPr>
        <w:t xml:space="preserve"> </w:t>
      </w:r>
      <w:r>
        <w:rPr>
          <w:rFonts w:ascii="Times New Roman" w:hAnsi="Times New Roman" w:cs="Times New Roman" w:eastAsia="Times New Roman"/>
        </w:rPr>
        <w:t xml:space="preserve">Imputation output can in principle leak information about the reference panel, because each imputed dosage is a deterministic function of the panel haplotypes the model copies from, and adaptively constructed queries can reconstruct panel haplotypes from an imputation server's output</w:t>
      </w:r>
      <w:hyperlink w:anchor="ref29">
        <w:r>
          <w:rPr>
            <w:rFonts w:ascii="Times New Roman" w:hAnsi="Times New Roman" w:cs="Times New Roman" w:eastAsia="Times New Roman"/>
            <w:color w:val="0563C1"/>
            <w:vertAlign w:val="superscript"/>
          </w:rPr>
          <w:t xml:space="preserve">29</w:t>
        </w:r>
      </w:hyperlink>
      <w:r>
        <w:rPr>
          <w:rFonts w:ascii="Times New Roman" w:hAnsi="Times New Roman" w:cs="Times New Roman" w:eastAsia="Times New Roman"/>
        </w:rPr>
        <w:t xml:space="preserve">. Two aspects of Selphi 2's design bear on this. Unlike Selphi 1's single whole-chromosome PBWT pass, Selphi 2 confines haplotype matching to large overlapping windows (80 cM by default), which bounds the longest contiguous reference segment any single query can expose, the quantity that segment-linking reconstruction attacks exploit. For deployments serving sensitive panels, the panel can additionally be held under controlled access (as the TOPMed and MESA data used here are) and per-query output aggregated or rate-limited. We did not perform a formal privacy analysis; quantifying the reconstruction risk of windowed matching relative to a whole-chromosome scan is a direction for server deployments.</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six consumer-array and matched high-coverage whole-genome sequences used for the consumer-array benchmark (Results, Table 3)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at https://github.com/omicsedge/selphi (branch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new_version/selphi2_cluster</w:t>
      </w:r>
      <w:r>
        <w:rPr>
          <w:rFonts w:ascii="Times New Roman" w:hAnsi="Times New Roman" w:cs="Times New Roman" w:eastAsia="Times New Roman"/>
        </w:rPr>
        <w:t xml:space="preserve">). The repository provides the source, a self-contained binary, documentation, and the reference-panel preparation utilities required to reproduce the analyses in this work. The binary is fully self-contained and requires no container runtime, root privileges, or external tools, and is provided for x86-64 (with AVX2 and AVX-512 kernels) and ARM64 (NEON), including a statically linked build for older-glibc clusters.</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1"/>
    </w:p>
    <w:p>
      <w:pPr>
        <w:pStyle w:val="Compact"/>
        <w:numPr>
          <w:ilvl w:val="0"/>
          <w:numId w:val="1001"/>
        </w:numPr>
        <w:jc w:val="both"/>
      </w:pPr>
      <w:bookmarkStart w:id="4002" w:name="ref2"/>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2"/>
    </w:p>
    <w:p>
      <w:pPr>
        <w:pStyle w:val="Compact"/>
        <w:numPr>
          <w:ilvl w:val="0"/>
          <w:numId w:val="1001"/>
        </w:numPr>
        <w:jc w:val="both"/>
      </w:pPr>
      <w:bookmarkStart w:id="4003" w:name="ref3"/>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3"/>
    </w:p>
    <w:p>
      <w:pPr>
        <w:pStyle w:val="Compact"/>
        <w:numPr>
          <w:ilvl w:val="0"/>
          <w:numId w:val="1001"/>
        </w:numPr>
        <w:jc w:val="both"/>
      </w:pPr>
      <w:bookmarkStart w:id="4004" w:name="ref4"/>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4"/>
    </w:p>
    <w:p>
      <w:pPr>
        <w:pStyle w:val="Compact"/>
        <w:numPr>
          <w:ilvl w:val="0"/>
          <w:numId w:val="1001"/>
        </w:numPr>
        <w:jc w:val="both"/>
      </w:pPr>
      <w:bookmarkStart w:id="4005" w:name="ref5"/>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5"/>
    </w:p>
    <w:p>
      <w:pPr>
        <w:pStyle w:val="Compact"/>
        <w:numPr>
          <w:ilvl w:val="0"/>
          <w:numId w:val="1001"/>
        </w:numPr>
        <w:jc w:val="both"/>
      </w:pPr>
      <w:bookmarkStart w:id="4006" w:name="ref6"/>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6"/>
    </w:p>
    <w:p>
      <w:pPr>
        <w:pStyle w:val="Compact"/>
        <w:numPr>
          <w:ilvl w:val="0"/>
          <w:numId w:val="1001"/>
        </w:numPr>
        <w:jc w:val="both"/>
      </w:pPr>
      <w:bookmarkStart w:id="4007" w:name="ref7"/>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7"/>
    </w:p>
    <w:p>
      <w:pPr>
        <w:pStyle w:val="Compact"/>
        <w:numPr>
          <w:ilvl w:val="0"/>
          <w:numId w:val="1001"/>
        </w:numPr>
        <w:jc w:val="both"/>
      </w:pPr>
      <w:bookmarkStart w:id="4008" w:name="ref8"/>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08"/>
    </w:p>
    <w:p>
      <w:pPr>
        <w:pStyle w:val="Compact"/>
        <w:numPr>
          <w:ilvl w:val="0"/>
          <w:numId w:val="1001"/>
        </w:numPr>
        <w:jc w:val="both"/>
      </w:pPr>
      <w:bookmarkStart w:id="4009" w:name="ref9"/>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2023;55(7):1088-1090.</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2025;17(1):524.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Style w:val="Compact"/>
        <w:numPr>
          <w:ilvl w:val="0"/>
          <w:numId w:val="1001"/>
        </w:numPr>
        <w:jc w:val="both"/>
      </w:pPr>
      <w:bookmarkStart w:id="4029" w:name="ref29"/>
      <w:r>
        <w:rPr>
          <w:rFonts w:ascii="Times New Roman" w:hAnsi="Times New Roman" w:cs="Times New Roman" w:eastAsia="Times New Roman"/>
        </w:rPr>
        <w:t xml:space="preserve">Mosca MJ, Cho H. Reconstruction of private genomes through reference-based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Biol</w:t>
      </w:r>
      <w:r>
        <w:rPr>
          <w:rFonts w:ascii="Times New Roman" w:hAnsi="Times New Roman" w:cs="Times New Roman" w:eastAsia="Times New Roman"/>
        </w:rPr>
        <w:t xml:space="preserve">. 2023;24(1):271. doi:10.1186/s13059-023-03105-6.</w:t>
      </w:r>
      <w:bookmarkEnd w:id="4029"/>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585"/>
        <w:gridCol w:w="2647"/>
        <w:gridCol w:w="1282"/>
        <w:gridCol w:w="1282"/>
        <w:gridCol w:w="1736"/>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585"/>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2647"/>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736"/>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0.9152</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0.2672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0.5033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0.8418</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0.5643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0.3453</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0.3495</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0.9305</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The first row is the camera-ready headline that matches the main-text MESA result and Figure 2b (full</w:t>
      </w:r>
      <w:r>
        <w:rPr>
          <w:rFonts w:ascii="Times New Roman" w:hAnsi="Times New Roman" w:cs="Times New Roman" w:eastAsia="Times New Roman"/>
        </w:rPr>
        <w:t xml:space="preserve"> </w:t>
      </w:r>
      <w:r>
        <w:rPr>
          <w:rFonts w:ascii="Times New Roman" w:hAnsi="Times New Roman" w:cs="Times New Roman" w:eastAsia="Times New Roman"/>
        </w:rPr>
        <w:t xml:space="preserve">17.9 M-variant set,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panel-adaptive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132,676); the</w:t>
      </w:r>
      <w:r>
        <w:rPr>
          <w:rFonts w:ascii="Times New Roman" w:hAnsi="Times New Roman" w:cs="Times New Roman" w:eastAsia="Times New Roman"/>
        </w:rPr>
        <w:t xml:space="preserve"> </w:t>
      </w:r>
      <w:r>
        <w:rPr>
          <w:rFonts w:ascii="Times New Roman" w:hAnsi="Times New Roman" w:cs="Times New Roman" w:eastAsia="Times New Roman"/>
        </w:rPr>
        <w:t xml:space="preserve">subsequent rows are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r>
        <w:rPr>
          <w:rFonts w:ascii="Times New Roman" w:hAnsi="Times New Roman" w:cs="Times New Roman" w:eastAsia="Times New Roman"/>
        </w:rPr>
        <w:t xml:space="preserve"> </w:t>
      </w:r>
      <w:r>
        <w:rPr>
          <w:rFonts w:ascii="Times New Roman" w:hAnsi="Times New Roman" w:cs="Times New Roman" w:eastAsia="Times New Roman"/>
        </w:rPr>
        <w:t xml:space="preserve">measured against an earlier Beagle 5.5 baseline (0.5975) and retained to show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trajectory (so their Beagle column differs from the headline by design).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2038"/>
        <w:gridCol w:w="2922"/>
        <w:gridCol w:w="890"/>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2038"/>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2922"/>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(headline, diploid 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0.6148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0.5921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(haploid, larger mc)</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0.6162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(haploid auto-mc)</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0.6156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per-sample mean (headline, diploid default)</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0.8978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0.8764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0.05-0.1% (rarest, Ne-default)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0.5211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0.6554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0.6360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5-10%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0.6809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0.6635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0.6653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0.6541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0.6624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0.6242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0.6548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0.6079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0.6645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0.6290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EC2 r7a.4xlarge, 16 threads. Reference: Beagle 5 (03Oct25); old Selphi 1.5.3.</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3);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4030"/>
        <w:gridCol w:w="1415"/>
        <w:gridCol w:w="995"/>
        <w:gridCol w:w="995"/>
        <w:gridCol w:w="1205"/>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403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0.9676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7.2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6.2 GB</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0.9815</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0.9825</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38.8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43.2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16.3 GB</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39.2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0.9812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bl>
    <w:p>
      <w:pPr>
        <w:pStyle w:val="Heading2"/>
        <w:jc w:val="both"/>
      </w:pPr>
      <w:r>
        <w:rPr>
          <w:rFonts w:ascii="Times New Roman" w:hAnsi="Times New Roman" w:cs="Times New Roman" w:eastAsia="Times New Roman"/>
        </w:rPr>
        <w:t xml:space="preserve">Table S4. Low-coverage WGS (lcWGS) accuracy (R²) - vs GLIMPSE2 and QUILT2</w:t>
      </w:r>
    </w:p>
    <w:p>
      <w:pPr>
        <w:pStyle w:val="FirstParagraph"/>
        <w:jc w:val="both"/>
      </w:pPr>
      <w:r>
        <w:rPr>
          <w:rFonts w:ascii="Times New Roman" w:hAnsi="Times New Roman" w:cs="Times New Roman" w:eastAsia="Times New Roman"/>
        </w:rPr>
        <w:t xml:space="preserve">Extended detail behind main-text</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 6</w:t>
      </w:r>
      <w:r>
        <w:rPr>
          <w:rFonts w:ascii="Times New Roman" w:hAnsi="Times New Roman" w:cs="Times New Roman" w:eastAsia="Times New Roman"/>
        </w:rPr>
        <w:t xml:space="preserve"> </w:t>
      </w:r>
      <w:r>
        <w:rPr>
          <w:rFonts w:ascii="Times New Roman" w:hAnsi="Times New Roman" w:cs="Times New Roman" w:eastAsia="Times New Roman"/>
        </w:rPr>
        <w:t xml:space="preserve">(per-sample real-GIAB accuracy) and</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 6b</w:t>
      </w:r>
      <w:r>
        <w:rPr>
          <w:rFonts w:ascii="Times New Roman" w:hAnsi="Times New Roman" w:cs="Times New Roman" w:eastAsia="Times New Roman"/>
        </w:rPr>
        <w:t xml:space="preserve"> </w:t>
      </w:r>
      <w:r>
        <w:rPr>
          <w:rFonts w:ascii="Times New Roman" w:hAnsi="Times New Roman" w:cs="Times New Roman" w:eastAsia="Times New Roman"/>
        </w:rPr>
        <w:t xml:space="preserve">(three-way coverage sweep). Default engine = the reference-faithful</w:t>
      </w:r>
      <w:r>
        <w:rPr>
          <w:rFonts w:ascii="Times New Roman" w:hAnsi="Times New Roman" w:cs="Times New Roman" w:eastAsia="Times New Roman"/>
        </w:rPr>
        <w:t xml:space="preserve"> </w:t>
      </w:r>
      <w:r>
        <w:rPr>
          <w:rFonts w:ascii="Times New Roman" w:hAnsi="Times New Roman" w:cs="Times New Roman" w:eastAsia="Times New Roman"/>
        </w:rPr>
        <w:t xml:space="preserve">8-founder phasing HMM run every iteration (opt 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with</w:t>
      </w:r>
      <w:r>
        <w:rPr>
          <w:rFonts w:ascii="Times New Roman" w:hAnsi="Times New Roman" w:cs="Times New Roman" w:eastAsia="Times New Roman"/>
        </w:rPr>
        <w:t xml:space="preserve"> </w:t>
      </w:r>
      <w:r>
        <w:rPr>
          <w:rFonts w:ascii="Times New Roman" w:hAnsi="Times New Roman" w:cs="Times New Roman" w:eastAsia="Times New Roman"/>
        </w:rPr>
        <w:t xml:space="preserve">band-mode recombination (default; Methods). All rows compute genotype likelihoods</w:t>
      </w:r>
      <w:r>
        <w:rPr>
          <w:rFonts w:ascii="Times New Roman" w:hAnsi="Times New Roman" w:cs="Times New Roman" w:eastAsia="Times New Roman"/>
        </w:rPr>
        <w:t xml:space="preserve"> </w:t>
      </w:r>
      <w:r>
        <w:rPr>
          <w:rFonts w:ascii="Times New Roman" w:hAnsi="Times New Roman" w:cs="Times New Roman" w:eastAsia="Times New Roman"/>
        </w:rPr>
        <w:t xml:space="preserve">from the BAM with each tool's own in-process pileup (no external caller) and score</w:t>
      </w:r>
      <w:r>
        <w:rPr>
          <w:rFonts w:ascii="Times New Roman" w:hAnsi="Times New Roman" w:cs="Times New Roman" w:eastAsia="Times New Roman"/>
        </w:rPr>
        <w:t xml:space="preserve"> </w:t>
      </w:r>
      <w:r>
        <w:rPr>
          <w:rFonts w:ascii="Times New Roman" w:hAnsi="Times New Roman" w:cs="Times New Roman" w:eastAsia="Times New Roman"/>
        </w:rPr>
        <w:t xml:space="preserve">on the identical site set across the compared tools.</w:t>
      </w:r>
    </w:p>
    <w:p>
      <w:pPr>
        <w:pStyle w:val="BodyText"/>
        <w:jc w:val="both"/>
      </w:pPr>
      <w:r>
        <w:rPr>
          <w:rFonts w:ascii="Times New Roman" w:hAnsi="Times New Roman" w:cs="Times New Roman" w:eastAsia="Times New Roman"/>
          <w:b/>
          <w:bCs/>
        </w:rPr>
        <w:t xml:space="preserve">S4a. Per-sample real-GIAB accuracy (= main-text Table 6).</w:t>
      </w:r>
      <w:r>
        <w:rPr>
          <w:rFonts w:ascii="Times New Roman" w:hAnsi="Times New Roman" w:cs="Times New Roman" w:eastAsia="Times New Roman"/>
        </w:rPr>
        <w:t xml:space="preserve"> </w:t>
      </w:r>
      <w:r>
        <w:rPr>
          <w:rFonts w:ascii="Times New Roman" w:hAnsi="Times New Roman" w:cs="Times New Roman" w:eastAsia="Times New Roman"/>
        </w:rPr>
        <w:t xml:space="preserve">Six GIAB samples</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NovaSeq PCR-free 30× downsampled to ~1.8× chromosome 22, imputed</w:t>
      </w:r>
      <w:r>
        <w:rPr>
          <w:rFonts w:ascii="Times New Roman" w:hAnsi="Times New Roman" w:cs="Times New Roman" w:eastAsia="Times New Roman"/>
        </w:rPr>
        <w:t xml:space="preserve"> </w:t>
      </w:r>
      <w:r>
        <w:rPr>
          <w:rFonts w:ascii="Times New Roman" w:hAnsi="Times New Roman" w:cs="Times New Roman" w:eastAsia="Times New Roman"/>
        </w:rPr>
        <w:t xml:space="preserve">independently against the 4,478-haplotype (2,239-sample) no-trios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panel. Per-sample dosage R² over the high-confidence variant sites carrying a</w:t>
      </w:r>
      <w:r>
        <w:rPr>
          <w:rFonts w:ascii="Times New Roman" w:hAnsi="Times New Roman" w:cs="Times New Roman" w:eastAsia="Times New Roman"/>
        </w:rPr>
        <w:t xml:space="preserve"> </w:t>
      </w:r>
      <w:r>
        <w:rPr>
          <w:rFonts w:ascii="Times New Roman" w:hAnsi="Times New Roman" w:cs="Times New Roman" w:eastAsia="Times New Roman"/>
        </w:rPr>
        <w:t xml:space="preserve">non-reference allele (≈37-40k per sample), identical site set for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09"/>
        <w:gridCol w:w="2211"/>
        <w:gridCol w:w="2731"/>
        <w:gridCol w:w="2209"/>
      </w:tblGrid>
      <w:tr>
        <w:trPr>
          <w:tblHeader w:val="on"/>
        </w:trPr>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211"/>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2731"/>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0.9457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0.9515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0.9479</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0.9455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0.9547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211"/>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0.9455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S4b. Three-way coverage sweep (= main-text Table 6b).</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 R²</w:t>
      </w:r>
      <w:r>
        <w:rPr>
          <w:rFonts w:ascii="Times New Roman" w:hAnsi="Times New Roman" w:cs="Times New Roman" w:eastAsia="Times New Roman"/>
        </w:rPr>
        <w:t xml:space="preserve"> </w:t>
      </w:r>
      <w:r>
        <w:rPr>
          <w:rFonts w:ascii="Times New Roman" w:hAnsi="Times New Roman" w:cs="Times New Roman" w:eastAsia="Times New Roman"/>
        </w:rPr>
        <w:t xml:space="preserve">over GIAB HG002/HG003/HG004 downsampled to each depth over chr22:20-30 Mb, imputed</w:t>
      </w:r>
      <w:r>
        <w:rPr>
          <w:rFonts w:ascii="Times New Roman" w:hAnsi="Times New Roman" w:cs="Times New Roman" w:eastAsia="Times New Roman"/>
        </w:rPr>
        <w:t xml:space="preserve"> </w:t>
      </w:r>
      <w:r>
        <w:rPr>
          <w:rFonts w:ascii="Times New Roman" w:hAnsi="Times New Roman" w:cs="Times New Roman" w:eastAsia="Times New Roman"/>
        </w:rPr>
        <w:t xml:space="preserve">against a leak-free 1000 Genomes panel (6,332 haplotypes), scored (reference-homozygous</w:t>
      </w:r>
      <w:r>
        <w:rPr>
          <w:rFonts w:ascii="Times New Roman" w:hAnsi="Times New Roman" w:cs="Times New Roman" w:eastAsia="Times New Roman"/>
        </w:rPr>
        <w:t xml:space="preserve"> </w:t>
      </w:r>
      <w:r>
        <w:rPr>
          <w:rFonts w:ascii="Times New Roman" w:hAnsi="Times New Roman" w:cs="Times New Roman" w:eastAsia="Times New Roman"/>
        </w:rPr>
        <w:t xml:space="preserve">sites as dosage zero) on the set of sites imputed by all three tools. Overall and</w:t>
      </w:r>
      <w:r>
        <w:rPr>
          <w:rFonts w:ascii="Times New Roman" w:hAnsi="Times New Roman" w:cs="Times New Roman" w:eastAsia="Times New Roman"/>
        </w:rPr>
        <w:t xml:space="preserve"> </w:t>
      </w:r>
      <w:r>
        <w:rPr>
          <w:rFonts w:ascii="Times New Roman" w:hAnsi="Times New Roman" w:cs="Times New Roman" w:eastAsia="Times New Roman"/>
        </w:rPr>
        <w:t xml:space="preserve">ultra-rare (MAF 0-0.5%).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383"/>
        <w:gridCol w:w="2841"/>
        <w:gridCol w:w="1119"/>
        <w:gridCol w:w="1383"/>
        <w:gridCol w:w="1119"/>
        <w:gridCol w:w="1515"/>
      </w:tblGrid>
      <w:tr>
        <w:trPr>
          <w:tblHeader w:val="on"/>
        </w:trPr>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841"/>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QUILT2 R²</w:t>
            </w:r>
          </w:p>
        </w:tc>
        <w:tc>
          <w:tcPr>
            <w:shd w:val="clear" w:color="auto" w:fill="595959"/>
            <w:vAlign w:val="center"/>
            <w:tcW w:type="dxa" w:w="151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0.9919</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0.9944</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0.9968</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0.9973</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1383"/>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0.8864</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0.9150</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0.9415</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0.9437</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Earlier lcWGS benchmark rounds (simulated 54-sample chr22 sets, and a 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large-panel multi-coverage sweep) were superseded for accuracy by the real-read measurements</w:t>
      </w:r>
      <w:r>
        <w:rPr>
          <w:rFonts w:ascii="Times New Roman" w:hAnsi="Times New Roman" w:cs="Times New Roman" w:eastAsia="Times New Roman"/>
        </w:rPr>
        <w:t xml:space="preserve"> </w:t>
      </w:r>
      <w:r>
        <w:rPr>
          <w:rFonts w:ascii="Times New Roman" w:hAnsi="Times New Roman" w:cs="Times New Roman" w:eastAsia="Times New Roman"/>
        </w:rPr>
        <w:t xml:space="preserve">above, so their accuracy is not reproduced here and the real-GIAB numbers are the accuracy</w:t>
      </w:r>
      <w:r>
        <w:rPr>
          <w:rFonts w:ascii="Times New Roman" w:hAnsi="Times New Roman" w:cs="Times New Roman" w:eastAsia="Times New Roman"/>
        </w:rPr>
        <w:t xml:space="preserve"> </w:t>
      </w:r>
      <w:r>
        <w:rPr>
          <w:rFonts w:ascii="Times New Roman" w:hAnsi="Times New Roman" w:cs="Times New Roman" w:eastAsia="Times New Roman"/>
        </w:rPr>
        <w:t xml:space="preserve">reported in the paper; the large-panel run's wall time and peak memory are retained as an</w:t>
      </w:r>
      <w:r>
        <w:rPr>
          <w:rFonts w:ascii="Times New Roman" w:hAnsi="Times New Roman" w:cs="Times New Roman" w:eastAsia="Times New Roman"/>
        </w:rPr>
        <w:t xml:space="preserve"> </w:t>
      </w:r>
      <w:r>
        <w:rPr>
          <w:rFonts w:ascii="Times New Roman" w:hAnsi="Times New Roman" w:cs="Times New Roman" w:eastAsia="Times New Roman"/>
        </w:rPr>
        <w:t xml:space="preserve">efficiency data point in Table S6.</w:t>
      </w:r>
    </w:p>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96"/>
        <w:gridCol w:w="1378"/>
        <w:gridCol w:w="1233"/>
        <w:gridCol w:w="1233"/>
        <w:gridCol w:w="1524"/>
        <w:gridCol w:w="1672"/>
        <w:gridCol w:w="1524"/>
      </w:tblGrid>
      <w:tr>
        <w:trPr>
          <w:tblHeader w:val="on"/>
        </w:trPr>
        <w:tc>
          <w:tcPr>
            <w:shd w:val="clear" w:color="auto" w:fill="595959"/>
            <w:vAlign w:val="center"/>
            <w:tcW w:type="dxa" w:w="796"/>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378"/>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672"/>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vs SHAPEIT5</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2.569</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2.548</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79"/>
        <w:gridCol w:w="1093"/>
        <w:gridCol w:w="1392"/>
        <w:gridCol w:w="1591"/>
        <w:gridCol w:w="1205"/>
      </w:tblGrid>
      <w:tr>
        <w:trPr>
          <w:tblHeader w:val="on"/>
        </w:trPr>
        <w:tc>
          <w:tcPr>
            <w:shd w:val="clear" w:color="auto" w:fill="595959"/>
            <w:vAlign w:val="center"/>
            <w:tcW w:type="dxa" w:w="4079"/>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1093"/>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392"/>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591"/>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7.2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 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6.2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 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38.8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 43.2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16.3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 39.2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69 s / 82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13.2 / 13.1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373 s / 437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sz w:val="20"/>
              </w:rPr>
              <w:t xml:space="preserve">11,289 s (~3.1 h)</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65.5 GB</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whole-chr22, 1 sample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w:t>
            </w:r>
            <w:r>
              <w:rPr>
                <w:rFonts w:ascii="Times New Roman" w:hAnsi="Times New Roman" w:cs="Times New Roman" w:eastAsia="Times New Roman"/>
                <w:sz w:val="20"/>
              </w:rPr>
              <w:t xml:space="preserve">× (= Fig 3c)</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115 s</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287 s; QUILT2: 1,729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lcWGS single-sample (chr22), real GIAB ~1.8×</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~2:01</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GLIMPSE2: ~5:22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single-sample (chr22), real GIAB</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sz w:val="20"/>
              </w:rPr>
              <w:t xml:space="preserve">~3.3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~2.1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lcWGS 54-sample multi-sample whole-chr22 (simulated; only regime Selphi is slower)</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41:50</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GLIMPSE2: 21:36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2:10-2:34</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4:41-4:49</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~2.9-3.2 GB</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GLIMPSE2: ~2.2-2.6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31 s (fast) / 51 s (default)</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102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 to 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20"/>
        <w:gridCol w:w="1710"/>
        <w:gridCol w:w="1710"/>
        <w:gridCol w:w="1710"/>
        <w:gridCol w:w="1710"/>
      </w:tblGrid>
      <w:tr>
        <w:trPr>
          <w:tblHeader w:val="on"/>
        </w:trPr>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Selphi 2</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SHAPEIT5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versus its original published phasing; the same Selphi-phased</w:t>
      </w:r>
      <w:r>
        <w:rPr>
          <w:rFonts w:ascii="Times New Roman" w:hAnsi="Times New Roman" w:cs="Times New Roman" w:eastAsia="Times New Roman"/>
        </w:rPr>
        <w:t xml:space="preserve"> </w:t>
      </w:r>
      <w:r>
        <w:rPr>
          <w:rFonts w:ascii="Times New Roman" w:hAnsi="Times New Roman" w:cs="Times New Roman" w:eastAsia="Times New Roman"/>
        </w:rPr>
        <w:t xml:space="preserve">target is imputed against each panel. Re-phasing a well-phased panel is</w:t>
      </w:r>
      <w:r>
        <w:rPr>
          <w:rFonts w:ascii="Times New Roman" w:hAnsi="Times New Roman" w:cs="Times New Roman" w:eastAsia="Times New Roman"/>
        </w:rPr>
        <w:t xml:space="preserve"> </w:t>
      </w:r>
      <w:r>
        <w:rPr>
          <w:rFonts w:ascii="Times New Roman" w:hAnsi="Times New Roman" w:cs="Times New Roman" w:eastAsia="Times New Roman"/>
        </w:rPr>
        <w:t xml:space="preserve">net-negative on overall R², driven entirely by the rarest bins (it helps common</w:t>
      </w:r>
      <w:r>
        <w:rPr>
          <w:rFonts w:ascii="Times New Roman" w:hAnsi="Times New Roman" w:cs="Times New Roman" w:eastAsia="Times New Roman"/>
        </w:rPr>
        <w:t xml:space="preserve"> </w:t>
      </w:r>
      <w:r>
        <w:rPr>
          <w:rFonts w:ascii="Times New Roman" w:hAnsi="Times New Roman" w:cs="Times New Roman" w:eastAsia="Times New Roman"/>
        </w:rPr>
        <w:t xml:space="preserve">variants but loses rare-allele fidelity), so a panel's published phasing is best</w:t>
      </w:r>
      <w:r>
        <w:rPr>
          <w:rFonts w:ascii="Times New Roman" w:hAnsi="Times New Roman" w:cs="Times New Roman" w:eastAsia="Times New Roman"/>
        </w:rPr>
        <w:t xml:space="preserve"> </w:t>
      </w:r>
      <w:r>
        <w:rPr>
          <w:rFonts w:ascii="Times New Roman" w:hAnsi="Times New Roman" w:cs="Times New Roman" w:eastAsia="Times New Roman"/>
        </w:rPr>
        <w:t xml:space="preserve">retained.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26"/>
        <w:gridCol w:w="1197"/>
        <w:gridCol w:w="1998"/>
        <w:gridCol w:w="1083"/>
        <w:gridCol w:w="1540"/>
        <w:gridCol w:w="2116"/>
      </w:tblGrid>
      <w:tr>
        <w:trPr>
          <w:tblHeader w:val="on"/>
        </w:trPr>
        <w:tc>
          <w:tcPr>
            <w:shd w:val="clear" w:color="auto" w:fill="595959"/>
            <w:vAlign w:val="center"/>
            <w:tcW w:type="dxa" w:w="1426"/>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197"/>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1998"/>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083"/>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540"/>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2116"/>
          </w:tcPr>
          <w:p>
            <w:pPr>
              <w:pStyle w:val="Compact"/>
              <w:jc w:val="center"/>
            </w:pPr>
            <w:r>
              <w:rPr>
                <w:rFonts w:ascii="Times New Roman" w:hAnsi="Times New Roman" w:cs="Times New Roman" w:eastAsia="Times New Roman"/>
                <w:b/>
                <w:color w:val="FFFFFF"/>
                <w:sz w:val="20"/>
              </w:rPr>
              <w:t xml:space="preserve">common-bin Δ (0.5-50%)</w:t>
            </w:r>
          </w:p>
        </w:tc>
      </w:tr>
      <w:tr>
        <w:tc>
          <w:tcPr>
            <w:shd w:val="clear" w:color="auto" w:fill="FFFFFF"/>
            <w:vAlign w:val="center"/>
            <w:tcW w:type="dxa" w:w="1426"/>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197"/>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998"/>
          </w:tcPr>
          <w:p>
            <w:pPr>
              <w:pStyle w:val="Compact"/>
              <w:jc w:val="center"/>
            </w:pPr>
            <w:r>
              <w:rPr>
                <w:rFonts w:ascii="Times New Roman" w:hAnsi="Times New Roman" w:cs="Times New Roman" w:eastAsia="Times New Roman"/>
                <w:sz w:val="20"/>
              </w:rPr>
              <w:t xml:space="preserve">0.4696</w:t>
            </w:r>
          </w:p>
        </w:tc>
        <w:tc>
          <w:tcPr>
            <w:shd w:val="clear" w:color="auto" w:fill="FFFFFF"/>
            <w:vAlign w:val="center"/>
            <w:tcW w:type="dxa" w:w="1083"/>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540"/>
          </w:tcPr>
          <w:p>
            <w:pPr>
              <w:pStyle w:val="Compact"/>
              <w:jc w:val="center"/>
            </w:pPr>
            <w:r>
              <w:rPr>
                <w:rFonts w:ascii="Times New Roman" w:hAnsi="Times New Roman" w:cs="Times New Roman" w:eastAsia="Times New Roman"/>
                <w:sz w:val="20"/>
              </w:rPr>
              <w:t xml:space="preserve">-0.014</w:t>
            </w:r>
          </w:p>
        </w:tc>
        <w:tc>
          <w:tcPr>
            <w:shd w:val="clear" w:color="auto" w:fill="FFFFFF"/>
            <w:vAlign w:val="center"/>
            <w:tcW w:type="dxa" w:w="2116"/>
          </w:tcPr>
          <w:p>
            <w:pPr>
              <w:pStyle w:val="Compact"/>
              <w:jc w:val="center"/>
            </w:pPr>
            <w:r>
              <w:rPr>
                <w:rFonts w:ascii="Times New Roman" w:hAnsi="Times New Roman" w:cs="Times New Roman" w:eastAsia="Times New Roman"/>
                <w:sz w:val="20"/>
              </w:rPr>
              <w:t xml:space="preserve">+0.001 to +0.004</w:t>
            </w:r>
          </w:p>
        </w:tc>
      </w:tr>
      <w:tr>
        <w:tc>
          <w:tcPr>
            <w:shd w:val="clear" w:color="auto" w:fill="E7E6E6"/>
            <w:vAlign w:val="center"/>
            <w:tcW w:type="dxa" w:w="1426"/>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197"/>
          </w:tcPr>
          <w:p>
            <w:pPr>
              <w:pStyle w:val="Compact"/>
              <w:jc w:val="center"/>
            </w:pPr>
            <w:r>
              <w:rPr>
                <w:rFonts w:ascii="Times New Roman" w:hAnsi="Times New Roman" w:cs="Times New Roman" w:eastAsia="Times New Roman"/>
                <w:sz w:val="20"/>
              </w:rPr>
              <w:t xml:space="preserve">0.4821</w:t>
            </w:r>
          </w:p>
        </w:tc>
        <w:tc>
          <w:tcPr>
            <w:shd w:val="clear" w:color="auto" w:fill="E7E6E6"/>
            <w:vAlign w:val="center"/>
            <w:tcW w:type="dxa" w:w="1998"/>
          </w:tcPr>
          <w:p>
            <w:pPr>
              <w:pStyle w:val="Compact"/>
              <w:jc w:val="center"/>
            </w:pPr>
            <w:r>
              <w:rPr>
                <w:rFonts w:ascii="Times New Roman" w:hAnsi="Times New Roman" w:cs="Times New Roman" w:eastAsia="Times New Roman"/>
                <w:sz w:val="20"/>
              </w:rPr>
              <w:t xml:space="preserve">0.4788</w:t>
            </w:r>
          </w:p>
        </w:tc>
        <w:tc>
          <w:tcPr>
            <w:shd w:val="clear" w:color="auto" w:fill="E7E6E6"/>
            <w:vAlign w:val="center"/>
            <w:tcW w:type="dxa" w:w="1083"/>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540"/>
          </w:tcPr>
          <w:p>
            <w:pPr>
              <w:pStyle w:val="Compact"/>
              <w:jc w:val="center"/>
            </w:pPr>
            <w:r>
              <w:rPr>
                <w:rFonts w:ascii="Times New Roman" w:hAnsi="Times New Roman" w:cs="Times New Roman" w:eastAsia="Times New Roman"/>
                <w:sz w:val="20"/>
              </w:rPr>
              <w:t xml:space="preserve">-0.013</w:t>
            </w:r>
          </w:p>
        </w:tc>
        <w:tc>
          <w:tcPr>
            <w:shd w:val="clear" w:color="auto" w:fill="E7E6E6"/>
            <w:vAlign w:val="center"/>
            <w:tcW w:type="dxa" w:w="2116"/>
          </w:tcPr>
          <w:p>
            <w:pPr>
              <w:pStyle w:val="Compact"/>
              <w:jc w:val="center"/>
            </w:pPr>
            <w:r>
              <w:rPr>
                <w:rFonts w:ascii="Times New Roman" w:hAnsi="Times New Roman" w:cs="Times New Roman" w:eastAsia="Times New Roman"/>
                <w:sz w:val="20"/>
              </w:rPr>
              <w:t xml:space="preserve">+0.001 to +0.003</w:t>
            </w:r>
          </w:p>
        </w:tc>
      </w:tr>
    </w:tbl>
    <w:p>
      <w:pPr>
        <w:pStyle w:val="Heading2"/>
        <w:jc w:val="both"/>
      </w:pPr>
      <w:r>
        <w:rPr>
          <w:rFonts w:ascii="Times New Roman" w:hAnsi="Times New Roman" w:cs="Times New Roman" w:eastAsia="Times New Roman"/>
        </w:rPr>
        <w:t xml:space="preserve">Table S9. Genome-wide per-MAF R² underlying Figure 2a (1KG, five-way, imputation-only)</w:t>
      </w:r>
    </w:p>
    <w:p>
      <w:pPr>
        <w:pStyle w:val="FirstParagraph"/>
        <w:jc w:val="both"/>
      </w:pPr>
      <w:r>
        <w:rPr>
          <w:rFonts w:ascii="Times New Roman" w:hAnsi="Times New Roman" w:cs="Times New Roman" w:eastAsia="Times New Roman"/>
        </w:rPr>
        <w:t xml:space="preserve">Source data for Figure 2a: n-weighted imputation R² by MAF bin, aggregated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across 20 autosomes (chromosomes 8 and 11 excluded because Beagle aborted on a duplicate</w:t>
      </w:r>
      <w:r>
        <w:rPr>
          <w:rFonts w:ascii="Times New Roman" w:hAnsi="Times New Roman" w:cs="Times New Roman" w:eastAsia="Times New Roman"/>
        </w:rPr>
        <w:t xml:space="preserve"> </w:t>
      </w:r>
      <w:r>
        <w:rPr>
          <w:rFonts w:ascii="Times New Roman" w:hAnsi="Times New Roman" w:cs="Times New Roman" w:eastAsia="Times New Roman"/>
        </w:rPr>
        <w:t xml:space="preserve">panel marker, so all tools span the identical chromosome set). 801 held-out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samples imputed against the 1000 Genomes Phase 3 panel (2,401 samples / 4,802 haplotypes</w:t>
      </w:r>
      <w:r>
        <w:rPr>
          <w:rFonts w:ascii="Times New Roman" w:hAnsi="Times New Roman" w:cs="Times New Roman" w:eastAsia="Times New Roman"/>
        </w:rPr>
        <w:t xml:space="preserve"> </w:t>
      </w:r>
      <w:r>
        <w:rPr>
          <w:rFonts w:ascii="Times New Roman" w:hAnsi="Times New Roman" w:cs="Times New Roman" w:eastAsia="Times New Roman"/>
        </w:rPr>
        <w:t xml:space="preserve">per chromosome), scored against WGS truth. This is a like-for-like</w:t>
      </w:r>
      <w:r>
        <w:rPr>
          <w:rFonts w:ascii="Times New Roman" w:hAnsi="Times New Roman" w:cs="Times New Roman" w:eastAsia="Times New Roman"/>
        </w:rPr>
        <w:t xml:space="preserve"> </w:t>
      </w:r>
      <w:r>
        <w:rPr>
          <w:rFonts w:ascii="Times New Roman" w:hAnsi="Times New Roman" w:cs="Times New Roman" w:eastAsia="Times New Roman"/>
          <w:b/>
          <w:bCs/>
        </w:rPr>
        <w:t xml:space="preserve">imputation-only</w:t>
      </w:r>
      <w:r>
        <w:rPr>
          <w:rFonts w:ascii="Times New Roman" w:hAnsi="Times New Roman" w:cs="Times New Roman" w:eastAsia="Times New Roman"/>
        </w:rPr>
        <w:t xml:space="preserve"> </w:t>
      </w:r>
      <w:r>
        <w:rPr>
          <w:rFonts w:ascii="Times New Roman" w:hAnsi="Times New Roman" w:cs="Times New Roman" w:eastAsia="Times New Roman"/>
        </w:rPr>
        <w:t xml:space="preserve">comparison: every tool receives the</w:t>
      </w:r>
      <w:r>
        <w:rPr>
          <w:rFonts w:ascii="Times New Roman" w:hAnsi="Times New Roman" w:cs="Times New Roman" w:eastAsia="Times New Roman"/>
        </w:rPr>
        <w:t xml:space="preserve"> </w:t>
      </w:r>
      <w:r>
        <w:rPr>
          <w:rFonts w:ascii="Times New Roman" w:hAnsi="Times New Roman" w:cs="Times New Roman" w:eastAsia="Times New Roman"/>
          <w:i/>
          <w:iCs/>
        </w:rPr>
        <w:t xml:space="preserve">identical</w:t>
      </w:r>
      <w:r>
        <w:rPr>
          <w:rFonts w:ascii="Times New Roman" w:hAnsi="Times New Roman" w:cs="Times New Roman" w:eastAsia="Times New Roman"/>
        </w:rPr>
        <w:t xml:space="preserve"> </w:t>
      </w:r>
      <w:r>
        <w:rPr>
          <w:rFonts w:ascii="Times New Roman" w:hAnsi="Times New Roman" w:cs="Times New Roman" w:eastAsia="Times New Roman"/>
        </w:rPr>
        <w:t xml:space="preserve">phased target haplotypes (the same input</w:t>
      </w:r>
      <w:r>
        <w:rPr>
          <w:rFonts w:ascii="Times New Roman" w:hAnsi="Times New Roman" w:cs="Times New Roman" w:eastAsia="Times New Roman"/>
        </w:rPr>
        <w:t xml:space="preserve"> </w:t>
      </w:r>
      <w:r>
        <w:rPr>
          <w:rFonts w:ascii="Times New Roman" w:hAnsi="Times New Roman" w:cs="Times New Roman" w:eastAsia="Times New Roman"/>
        </w:rPr>
        <w:t xml:space="preserve">file) and the same reference panel, so the figure isolates the imputation step. All five</w:t>
      </w:r>
      <w:r>
        <w:rPr>
          <w:rFonts w:ascii="Times New Roman" w:hAnsi="Times New Roman" w:cs="Times New Roman" w:eastAsia="Times New Roman"/>
        </w:rPr>
        <w:t xml:space="preserve"> </w:t>
      </w:r>
      <w:r>
        <w:rPr>
          <w:rFonts w:ascii="Times New Roman" w:hAnsi="Times New Roman" w:cs="Times New Roman" w:eastAsia="Times New Roman"/>
        </w:rPr>
        <w:t xml:space="preserve">tools impute directly from the supplied phasing; because the target is fully phased and</w:t>
      </w:r>
      <w:r>
        <w:rPr>
          <w:rFonts w:ascii="Times New Roman" w:hAnsi="Times New Roman" w:cs="Times New Roman" w:eastAsia="Times New Roman"/>
        </w:rPr>
        <w:t xml:space="preserve"> </w:t>
      </w:r>
      <w:r>
        <w:rPr>
          <w:rFonts w:ascii="Times New Roman" w:hAnsi="Times New Roman" w:cs="Times New Roman" w:eastAsia="Times New Roman"/>
        </w:rPr>
        <w:t xml:space="preserve">contains no missing genotypes, Beagle 5.5 likewise imputes without re-estimating phase, so</w:t>
      </w:r>
      <w:r>
        <w:rPr>
          <w:rFonts w:ascii="Times New Roman" w:hAnsi="Times New Roman" w:cs="Times New Roman" w:eastAsia="Times New Roman"/>
        </w:rPr>
        <w:t xml:space="preserve"> </w:t>
      </w:r>
      <w:r>
        <w:rPr>
          <w:rFonts w:ascii="Times New Roman" w:hAnsi="Times New Roman" w:cs="Times New Roman" w:eastAsia="Times New Roman"/>
        </w:rPr>
        <w:t xml:space="preserve">every row reflects imputation from identical input haplotypes. Bold marks the per-row maximum. Selphi 2's full phase-and-</w:t>
      </w:r>
      <w:r>
        <w:rPr>
          <w:rFonts w:ascii="Times New Roman" w:hAnsi="Times New Roman" w:cs="Times New Roman" w:eastAsia="Times New Roman"/>
        </w:rPr>
        <w:t xml:space="preserve"> </w:t>
      </w:r>
      <w:r>
        <w:rPr>
          <w:rFonts w:ascii="Times New Roman" w:hAnsi="Times New Roman" w:cs="Times New Roman" w:eastAsia="Times New Roman"/>
        </w:rPr>
        <w:t xml:space="preserve">impute pipeline (its own internal phasing) reaches a higher genome-wide overall R² of</w:t>
      </w:r>
      <w:r>
        <w:rPr>
          <w:rFonts w:ascii="Times New Roman" w:hAnsi="Times New Roman" w:cs="Times New Roman" w:eastAsia="Times New Roman"/>
        </w:rPr>
        <w:t xml:space="preserve"> </w:t>
      </w:r>
      <w:r>
        <w:rPr>
          <w:rFonts w:ascii="Times New Roman" w:hAnsi="Times New Roman" w:cs="Times New Roman" w:eastAsia="Times New Roman"/>
        </w:rPr>
        <w:t xml:space="preserve">0.5838 (Table 1; Results); the 0.5808 here is Selphi 2 imputing from the shared external</w:t>
      </w:r>
      <w:r>
        <w:rPr>
          <w:rFonts w:ascii="Times New Roman" w:hAnsi="Times New Roman" w:cs="Times New Roman" w:eastAsia="Times New Roman"/>
        </w:rPr>
        <w:t xml:space="preserve"> </w:t>
      </w:r>
      <w:r>
        <w:rPr>
          <w:rFonts w:ascii="Times New Roman" w:hAnsi="Times New Roman" w:cs="Times New Roman" w:eastAsia="Times New Roman"/>
        </w:rPr>
        <w:t xml:space="preserve">phasing. The OVERALL row matches the genome-wide aggregate reported in Results.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891"/>
        <w:gridCol w:w="1395"/>
        <w:gridCol w:w="1395"/>
        <w:gridCol w:w="1395"/>
        <w:gridCol w:w="1724"/>
        <w:gridCol w:w="1560"/>
      </w:tblGrid>
      <w:tr>
        <w:trPr>
          <w:tblHeader w:val="on"/>
        </w:trPr>
        <w:tc>
          <w:tcPr>
            <w:shd w:val="clear" w:color="auto" w:fill="595959"/>
            <w:vAlign w:val="center"/>
            <w:tcW w:type="dxa" w:w="189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395"/>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724"/>
          </w:tcPr>
          <w:p>
            <w:pPr>
              <w:pStyle w:val="Compact"/>
              <w:jc w:val="center"/>
            </w:pPr>
            <w:r>
              <w:rPr>
                <w:rFonts w:ascii="Times New Roman" w:hAnsi="Times New Roman" w:cs="Times New Roman" w:eastAsia="Times New Roman"/>
                <w:b/>
                <w:color w:val="FFFFFF"/>
                <w:sz w:val="20"/>
              </w:rPr>
              <w:t xml:space="preserve">Minimac4</w:t>
            </w:r>
          </w:p>
        </w:tc>
        <w:tc>
          <w:tcPr>
            <w:shd w:val="clear" w:color="auto" w:fill="595959"/>
            <w:vAlign w:val="center"/>
            <w:tcW w:type="dxa" w:w="1560"/>
          </w:tcPr>
          <w:p>
            <w:pPr>
              <w:pStyle w:val="Compact"/>
              <w:jc w:val="center"/>
            </w:pPr>
            <w:r>
              <w:rPr>
                <w:rFonts w:ascii="Times New Roman" w:hAnsi="Times New Roman" w:cs="Times New Roman" w:eastAsia="Times New Roman"/>
                <w:b/>
                <w:color w:val="FFFFFF"/>
                <w:sz w:val="20"/>
              </w:rPr>
              <w:t xml:space="preserve">IMPUTE5</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0.3528</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0.3375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0.3570</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0.3529</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0.3458</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0.4222</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0.4106</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0.4151</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0.4132</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0.4062</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0.5235</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0.5149</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0.5092</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0.5048</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0.5005</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0.6250</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0.6207</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0.6083</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0.6013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0.5991</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0.6910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0.6898</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0.6742</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0.6663</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0.6654</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0.7618</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0.7629</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0.7460</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0.7367</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0.7381</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0.8525</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0.8539</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0.8414</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0.8323</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0.8355</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0.8962</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0.8973</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0.8885</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0.8803</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0.8840</w:t>
            </w:r>
          </w:p>
        </w:tc>
      </w:tr>
      <w:tr>
        <w:tc>
          <w:tcPr>
            <w:shd w:val="clear" w:color="auto" w:fill="FFFFFF"/>
            <w:vAlign w:val="center"/>
            <w:tcW w:type="dxa" w:w="189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0.9254</w:t>
            </w:r>
          </w:p>
        </w:tc>
        <w:tc>
          <w:tcPr>
            <w:shd w:val="clear" w:color="auto" w:fill="FFFFFF"/>
            <w:vAlign w:val="center"/>
            <w:tcW w:type="dxa" w:w="1395"/>
          </w:tcPr>
          <w:p>
            <w:pPr>
              <w:pStyle w:val="Compact"/>
              <w:jc w:val="center"/>
            </w:pPr>
            <w:r>
              <w:rPr>
                <w:rFonts w:ascii="Times New Roman" w:hAnsi="Times New Roman" w:cs="Times New Roman" w:eastAsia="Times New Roman"/>
                <w:b/>
                <w:bCs/>
                <w:sz w:val="20"/>
              </w:rPr>
              <w:t xml:space="preserve">0.9262</w:t>
            </w:r>
          </w:p>
        </w:tc>
        <w:tc>
          <w:tcPr>
            <w:shd w:val="clear" w:color="auto" w:fill="FFFFFF"/>
            <w:vAlign w:val="center"/>
            <w:tcW w:type="dxa" w:w="1395"/>
          </w:tcPr>
          <w:p>
            <w:pPr>
              <w:pStyle w:val="Compact"/>
              <w:jc w:val="center"/>
            </w:pPr>
            <w:r>
              <w:rPr>
                <w:rFonts w:ascii="Times New Roman" w:hAnsi="Times New Roman" w:cs="Times New Roman" w:eastAsia="Times New Roman"/>
                <w:sz w:val="20"/>
              </w:rPr>
              <w:t xml:space="preserve">0.9196</w:t>
            </w:r>
          </w:p>
        </w:tc>
        <w:tc>
          <w:tcPr>
            <w:shd w:val="clear" w:color="auto" w:fill="FFFFFF"/>
            <w:vAlign w:val="center"/>
            <w:tcW w:type="dxa" w:w="1724"/>
          </w:tcPr>
          <w:p>
            <w:pPr>
              <w:pStyle w:val="Compact"/>
              <w:jc w:val="center"/>
            </w:pPr>
            <w:r>
              <w:rPr>
                <w:rFonts w:ascii="Times New Roman" w:hAnsi="Times New Roman" w:cs="Times New Roman" w:eastAsia="Times New Roman"/>
                <w:sz w:val="20"/>
              </w:rPr>
              <w:t xml:space="preserve">0.9112</w:t>
            </w:r>
          </w:p>
        </w:tc>
        <w:tc>
          <w:tcPr>
            <w:shd w:val="clear" w:color="auto" w:fill="FFFFFF"/>
            <w:vAlign w:val="center"/>
            <w:tcW w:type="dxa" w:w="1560"/>
          </w:tcPr>
          <w:p>
            <w:pPr>
              <w:pStyle w:val="Compact"/>
              <w:jc w:val="center"/>
            </w:pPr>
            <w:r>
              <w:rPr>
                <w:rFonts w:ascii="Times New Roman" w:hAnsi="Times New Roman" w:cs="Times New Roman" w:eastAsia="Times New Roman"/>
                <w:sz w:val="20"/>
              </w:rPr>
              <w:t xml:space="preserve">0.9160</w:t>
            </w:r>
          </w:p>
        </w:tc>
      </w:tr>
      <w:tr>
        <w:tc>
          <w:tcPr>
            <w:shd w:val="clear" w:color="auto" w:fill="E7E6E6"/>
            <w:vAlign w:val="center"/>
            <w:tcW w:type="dxa" w:w="189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395"/>
          </w:tcPr>
          <w:p>
            <w:pPr>
              <w:pStyle w:val="Compact"/>
              <w:jc w:val="center"/>
            </w:pPr>
            <w:r>
              <w:rPr>
                <w:rFonts w:ascii="Times New Roman" w:hAnsi="Times New Roman" w:cs="Times New Roman" w:eastAsia="Times New Roman"/>
                <w:b/>
                <w:bCs/>
                <w:sz w:val="20"/>
              </w:rPr>
              <w:t xml:space="preserve">0.5808</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0.5739</w:t>
            </w:r>
          </w:p>
        </w:tc>
        <w:tc>
          <w:tcPr>
            <w:shd w:val="clear" w:color="auto" w:fill="E7E6E6"/>
            <w:vAlign w:val="center"/>
            <w:tcW w:type="dxa" w:w="1395"/>
          </w:tcPr>
          <w:p>
            <w:pPr>
              <w:pStyle w:val="Compact"/>
              <w:jc w:val="center"/>
            </w:pPr>
            <w:r>
              <w:rPr>
                <w:rFonts w:ascii="Times New Roman" w:hAnsi="Times New Roman" w:cs="Times New Roman" w:eastAsia="Times New Roman"/>
                <w:sz w:val="20"/>
              </w:rPr>
              <w:t xml:space="preserve">0.5739</w:t>
            </w:r>
          </w:p>
        </w:tc>
        <w:tc>
          <w:tcPr>
            <w:shd w:val="clear" w:color="auto" w:fill="E7E6E6"/>
            <w:vAlign w:val="center"/>
            <w:tcW w:type="dxa" w:w="1724"/>
          </w:tcPr>
          <w:p>
            <w:pPr>
              <w:pStyle w:val="Compact"/>
              <w:jc w:val="center"/>
            </w:pPr>
            <w:r>
              <w:rPr>
                <w:rFonts w:ascii="Times New Roman" w:hAnsi="Times New Roman" w:cs="Times New Roman" w:eastAsia="Times New Roman"/>
                <w:sz w:val="20"/>
              </w:rPr>
              <w:t xml:space="preserve">0.5668</w:t>
            </w:r>
          </w:p>
        </w:tc>
        <w:tc>
          <w:tcPr>
            <w:shd w:val="clear" w:color="auto" w:fill="E7E6E6"/>
            <w:vAlign w:val="center"/>
            <w:tcW w:type="dxa" w:w="1560"/>
          </w:tcPr>
          <w:p>
            <w:pPr>
              <w:pStyle w:val="Compact"/>
              <w:jc w:val="center"/>
            </w:pPr>
            <w:r>
              <w:rPr>
                <w:rFonts w:ascii="Times New Roman" w:hAnsi="Times New Roman" w:cs="Times New Roman" w:eastAsia="Times New Roman"/>
                <w:sz w:val="20"/>
              </w:rPr>
              <w:t xml:space="preserve">0.5635</w:t>
            </w:r>
          </w:p>
        </w:tc>
      </w:tr>
    </w:tbl>
    <w:p>
      <w:pPr>
        <w:pStyle w:val="Heading2"/>
        <w:jc w:val="both"/>
      </w:pPr>
      <w:r>
        <w:rPr>
          <w:rFonts w:ascii="Times New Roman" w:hAnsi="Times New Roman" w:cs="Times New Roman" w:eastAsia="Times New Roman"/>
        </w:rPr>
        <w:t xml:space="preserve">Table S10. Component ablation (1KG chromosome 22, 801 held-out samples)</w:t>
      </w:r>
    </w:p>
    <w:p>
      <w:pPr>
        <w:pStyle w:val="FirstParagraph"/>
        <w:jc w:val="both"/>
      </w:pPr>
      <w:r>
        <w:rPr>
          <w:rFonts w:ascii="Times New Roman" w:hAnsi="Times New Roman" w:cs="Times New Roman" w:eastAsia="Times New Roman"/>
        </w:rPr>
        <w:t xml:space="preserve">Each component is varied from the Selphi 2 default with phasing and everything else held</w:t>
      </w:r>
      <w:r>
        <w:rPr>
          <w:rFonts w:ascii="Times New Roman" w:hAnsi="Times New Roman" w:cs="Times New Roman" w:eastAsia="Times New Roman"/>
        </w:rPr>
        <w:t xml:space="preserve"> </w:t>
      </w:r>
      <w:r>
        <w:rPr>
          <w:rFonts w:ascii="Times New Roman" w:hAnsi="Times New Roman" w:cs="Times New Roman" w:eastAsia="Times New Roman"/>
        </w:rPr>
        <w:t xml:space="preserve">fixed (impute-only against the phased target, so the effect is isolated from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"Default" row is identical to the chromosome-22 impute-only row of Table S1. The long-range</w:t>
      </w:r>
      <w:r>
        <w:rPr>
          <w:rFonts w:ascii="Times New Roman" w:hAnsi="Times New Roman" w:cs="Times New Roman" w:eastAsia="Times New Roman"/>
        </w:rPr>
        <w:t xml:space="preserve"> </w:t>
      </w:r>
      <w:r>
        <w:rPr>
          <w:rFonts w:ascii="Times New Roman" w:hAnsi="Times New Roman" w:cs="Times New Roman" w:eastAsia="Times New Roman"/>
        </w:rPr>
        <w:t xml:space="preserve">PBWT scan realized as an 80 cM window is worth +0.013 overall R² over a short IMPUTE5-like 8 cM</w:t>
      </w:r>
      <w:r>
        <w:rPr>
          <w:rFonts w:ascii="Times New Roman" w:hAnsi="Times New Roman" w:cs="Times New Roman" w:eastAsia="Times New Roman"/>
        </w:rPr>
        <w:t xml:space="preserve"> </w:t>
      </w:r>
      <w:r>
        <w:rPr>
          <w:rFonts w:ascii="Times New Roman" w:hAnsi="Times New Roman" w:cs="Times New Roman" w:eastAsia="Times New Roman"/>
        </w:rPr>
        <w:t xml:space="preserve">window; because chromosome 22 is shorter than 80 cM, the default 80 cM window already spans the</w:t>
      </w:r>
      <w:r>
        <w:rPr>
          <w:rFonts w:ascii="Times New Roman" w:hAnsi="Times New Roman" w:cs="Times New Roman" w:eastAsia="Times New Roman"/>
        </w:rPr>
        <w:t xml:space="preserve"> </w:t>
      </w:r>
      <w:r>
        <w:rPr>
          <w:rFonts w:ascii="Times New Roman" w:hAnsi="Times New Roman" w:cs="Times New Roman" w:eastAsia="Times New Roman"/>
        </w:rPr>
        <w:t xml:space="preserve">whole chromosome, so the 80 cM and whole-chromosome rows coincide by construction (confirming</w:t>
      </w:r>
      <w:r>
        <w:rPr>
          <w:rFonts w:ascii="Times New Roman" w:hAnsi="Times New Roman" w:cs="Times New Roman" w:eastAsia="Times New Roman"/>
        </w:rPr>
        <w:t xml:space="preserve"> </w:t>
      </w:r>
      <w:r>
        <w:rPr>
          <w:rFonts w:ascii="Times New Roman" w:hAnsi="Times New Roman" w:cs="Times New Roman" w:eastAsia="Times New Roman"/>
        </w:rPr>
        <w:t xml:space="preserve">that windowing at 80 cM imposes no penalty relative to Selphi 1's whole-chromosome pass on this</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The panel-adaptive effective population size is worth +0.008 over a fixed Ne = 20,000. The candidate-set-size component is ablated separately in Table 2b.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80"/>
        <w:gridCol w:w="995"/>
        <w:gridCol w:w="1205"/>
        <w:gridCol w:w="890"/>
        <w:gridCol w:w="890"/>
      </w:tblGrid>
      <w:tr>
        <w:trPr>
          <w:tblHeader w:val="on"/>
        </w:trPr>
        <w:tc>
          <w:tcPr>
            <w:shd w:val="clear" w:color="auto" w:fill="595959"/>
            <w:vAlign w:val="center"/>
            <w:tcW w:type="dxa" w:w="5380"/>
          </w:tcPr>
          <w:p>
            <w:pPr>
              <w:pStyle w:val="Compact"/>
              <w:jc w:val="center"/>
            </w:pPr>
            <w:r>
              <w:rPr>
                <w:rFonts w:ascii="Times New Roman" w:hAnsi="Times New Roman" w:cs="Times New Roman" w:eastAsia="Times New Roman"/>
                <w:b/>
                <w:color w:val="FFFFFF"/>
                <w:sz w:val="20"/>
              </w:rPr>
              <w:t xml:space="preserve">Configuration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R²</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20-50%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Default (80 cM window, panel-adaptive Ne)</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Short 8 cM window (IMPUTE5-like)</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0.4645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0.4759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0.8250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Whole-chromosome window (Selphi 1 mode)</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Fixed Ne = 20,000 (IMPUTE5 default)</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0.4696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0.8312</w:t>
            </w:r>
          </w:p>
        </w:tc>
      </w:tr>
    </w:tbl>
    <w:p>
      <w:pPr>
        <w:pStyle w:val="Heading2"/>
        <w:jc w:val="both"/>
      </w:pPr>
      <w:r>
        <w:rPr>
          <w:rFonts w:ascii="Times New Roman" w:hAnsi="Times New Roman" w:cs="Times New Roman" w:eastAsia="Times New Roman"/>
        </w:rPr>
        <w:t xml:space="preserve">Table S11. Biobank-scale MESA × TOPMed, per-MAF, four imputers</w:t>
      </w:r>
    </w:p>
    <w:p>
      <w:pPr>
        <w:pStyle w:val="FirstParagraph"/>
        <w:jc w:val="both"/>
      </w:pPr>
      <w:r>
        <w:rPr>
          <w:rFonts w:ascii="Times New Roman" w:hAnsi="Times New Roman" w:cs="Times New Roman" w:eastAsia="Times New Roman"/>
        </w:rPr>
        <w:t xml:space="preserve">MESA cohort (5,000 samples, chr20) imputed against the TOPMed Freeze 8 panel (171,054</w:t>
      </w:r>
      <w:r>
        <w:rPr>
          <w:rFonts w:ascii="Times New Roman" w:hAnsi="Times New Roman" w:cs="Times New Roman" w:eastAsia="Times New Roman"/>
        </w:rPr>
        <w:t xml:space="preserve"> </w:t>
      </w:r>
      <w:r>
        <w:rPr>
          <w:rFonts w:ascii="Times New Roman" w:hAnsi="Times New Roman" w:cs="Times New Roman" w:eastAsia="Times New Roman"/>
        </w:rPr>
        <w:t xml:space="preserve">haplotypes), scored on the identical set of 17,900,635 variants for all tools. Selphi 2 uses</w:t>
      </w:r>
      <w:r>
        <w:rPr>
          <w:rFonts w:ascii="Times New Roman" w:hAnsi="Times New Roman" w:cs="Times New Roman" w:eastAsia="Times New Roman"/>
        </w:rPr>
        <w:t xml:space="preserve"> </w:t>
      </w:r>
      <w:r>
        <w:rPr>
          <w:rFonts w:ascii="Times New Roman" w:hAnsi="Times New Roman" w:cs="Times New Roman" w:eastAsia="Times New Roman"/>
        </w:rPr>
        <w:t xml:space="preserve">its panel-adaptive candidate set (mc = 132,676); IMPUTE5 (L = 4 conditioning states) and</w:t>
      </w:r>
      <w:r>
        <w:rPr>
          <w:rFonts w:ascii="Times New Roman" w:hAnsi="Times New Roman" w:cs="Times New Roman" w:eastAsia="Times New Roman"/>
        </w:rPr>
        <w:t xml:space="preserve"> </w:t>
      </w:r>
      <w:r>
        <w:rPr>
          <w:rFonts w:ascii="Times New Roman" w:hAnsi="Times New Roman" w:cs="Times New Roman" w:eastAsia="Times New Roman"/>
        </w:rPr>
        <w:t xml:space="preserve">Minimac4 (block-based state reduction) use their default settings. Beagle 5.5 attains overall</w:t>
      </w:r>
      <w:r>
        <w:rPr>
          <w:rFonts w:ascii="Times New Roman" w:hAnsi="Times New Roman" w:cs="Times New Roman" w:eastAsia="Times New Roman"/>
        </w:rPr>
        <w:t xml:space="preserve"> </w:t>
      </w:r>
      <w:r>
        <w:rPr>
          <w:rFonts w:ascii="Times New Roman" w:hAnsi="Times New Roman" w:cs="Times New Roman" w:eastAsia="Times New Roman"/>
        </w:rPr>
        <w:t xml:space="preserve">R² 0.5921 on the same set (main text). Selphi 2 leads at every MAF bin.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693"/>
        <w:gridCol w:w="1988"/>
        <w:gridCol w:w="2222"/>
        <w:gridCol w:w="2457"/>
      </w:tblGrid>
      <w:tr>
        <w:trPr>
          <w:tblHeader w:val="on"/>
        </w:trPr>
        <w:tc>
          <w:tcPr>
            <w:shd w:val="clear" w:color="auto" w:fill="595959"/>
            <w:vAlign w:val="center"/>
            <w:tcW w:type="dxa" w:w="2693"/>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988"/>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222"/>
          </w:tcPr>
          <w:p>
            <w:pPr>
              <w:pStyle w:val="Compact"/>
              <w:jc w:val="center"/>
            </w:pPr>
            <w:r>
              <w:rPr>
                <w:rFonts w:ascii="Times New Roman" w:hAnsi="Times New Roman" w:cs="Times New Roman" w:eastAsia="Times New Roman"/>
                <w:b/>
                <w:color w:val="FFFFFF"/>
                <w:sz w:val="20"/>
              </w:rPr>
              <w:t xml:space="preserve">IMPUTE5</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Minimac4</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0.5224</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0.3819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0.3693</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0.5665</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0.4107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0.3983</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0.6131</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0.4689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0.4531</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0.6537</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0.5342</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0.5150</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0.6698</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0.5695</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0.5494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0.6603</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0.5753</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0.5567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0.6780</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0.6084</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0.5909</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0.7322</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0.6720</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0.6537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0.6631</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0.6249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0.6084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0.6148</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0.4967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0.4795</w:t>
            </w:r>
          </w:p>
        </w:tc>
      </w:tr>
    </w:tbl>
    <w:p>
      <w:pPr>
        <w:pStyle w:val="Heading2"/>
        <w:jc w:val="both"/>
      </w:pPr>
      <w:r>
        <w:rPr>
          <w:rFonts w:ascii="Times New Roman" w:hAnsi="Times New Roman" w:cs="Times New Roman" w:eastAsia="Times New Roman"/>
        </w:rPr>
        <w:t xml:space="preserve">Table S12. Selphi 2 vs Selphi 1.5.3, per-MAF (1KG Phase 3, impute-only)</w:t>
      </w:r>
    </w:p>
    <w:p>
      <w:pPr>
        <w:pStyle w:val="FirstParagraph"/>
        <w:jc w:val="both"/>
      </w:pPr>
      <w:r>
        <w:rPr>
          <w:rFonts w:ascii="Times New Roman" w:hAnsi="Times New Roman" w:cs="Times New Roman" w:eastAsia="Times New Roman"/>
        </w:rPr>
        <w:t xml:space="preserve">Both tools imputed the identical phased target (801 held-out samples) against the identical 1000</w:t>
      </w:r>
      <w:r>
        <w:rPr>
          <w:rFonts w:ascii="Times New Roman" w:hAnsi="Times New Roman" w:cs="Times New Roman" w:eastAsia="Times New Roman"/>
        </w:rPr>
        <w:t xml:space="preserve"> </w:t>
      </w:r>
      <w:r>
        <w:rPr>
          <w:rFonts w:ascii="Times New Roman" w:hAnsi="Times New Roman" w:cs="Times New Roman" w:eastAsia="Times New Roman"/>
        </w:rPr>
        <w:t xml:space="preserve">Genomes Phase 3 panel, impute-only — the mode in which the original Selphi 1.5.3, which requires</w:t>
      </w:r>
      <w:r>
        <w:rPr>
          <w:rFonts w:ascii="Times New Roman" w:hAnsi="Times New Roman" w:cs="Times New Roman" w:eastAsia="Times New Roman"/>
        </w:rPr>
        <w:t xml:space="preserve"> </w:t>
      </w:r>
      <w:r>
        <w:rPr>
          <w:rFonts w:ascii="Times New Roman" w:hAnsi="Times New Roman" w:cs="Times New Roman" w:eastAsia="Times New Roman"/>
        </w:rPr>
        <w:t xml:space="preserve">pre-phased input, is run — and scored on imputed-only sites. This isolates the imputer from</w:t>
      </w:r>
      <w:r>
        <w:rPr>
          <w:rFonts w:ascii="Times New Roman" w:hAnsi="Times New Roman" w:cs="Times New Roman" w:eastAsia="Times New Roman"/>
        </w:rPr>
        <w:t xml:space="preserve"> </w:t>
      </w:r>
      <w:r>
        <w:rPr>
          <w:rFonts w:ascii="Times New Roman" w:hAnsi="Times New Roman" w:cs="Times New Roman" w:eastAsia="Times New Roman"/>
        </w:rPr>
        <w:t xml:space="preserve">phasing. Selphi 2 matches or exceeds Selphi 1.5.3 overall and at every bin from the rarest through</w:t>
      </w:r>
      <w:r>
        <w:rPr>
          <w:rFonts w:ascii="Times New Roman" w:hAnsi="Times New Roman" w:cs="Times New Roman" w:eastAsia="Times New Roman"/>
        </w:rPr>
        <w:t xml:space="preserve"> </w:t>
      </w:r>
      <w:r>
        <w:rPr>
          <w:rFonts w:ascii="Times New Roman" w:hAnsi="Times New Roman" w:cs="Times New Roman" w:eastAsia="Times New Roman"/>
        </w:rPr>
        <w:t xml:space="preserve">low frequency; at the most common bins the two are within ≈0.001 (seed-level noise). Bold marks the</w:t>
      </w:r>
      <w:r>
        <w:rPr>
          <w:rFonts w:ascii="Times New Roman" w:hAnsi="Times New Roman" w:cs="Times New Roman" w:eastAsia="Times New Roman"/>
        </w:rPr>
        <w:t xml:space="preserve"> </w:t>
      </w:r>
      <w:r>
        <w:rPr>
          <w:rFonts w:ascii="Times New Roman" w:hAnsi="Times New Roman" w:cs="Times New Roman" w:eastAsia="Times New Roman"/>
        </w:rPr>
        <w:t xml:space="preserve">higher value 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368"/>
        <w:gridCol w:w="1748"/>
        <w:gridCol w:w="1748"/>
        <w:gridCol w:w="1748"/>
        <w:gridCol w:w="1748"/>
      </w:tblGrid>
      <w:tr>
        <w:trPr>
          <w:tblHeader w:val="on"/>
        </w:trPr>
        <w:tc>
          <w:tcPr>
            <w:shd w:val="clear" w:color="auto" w:fill="595959"/>
            <w:vAlign w:val="center"/>
            <w:tcW w:type="dxa" w:w="2368"/>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1.5.3</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0.2661</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0.3453</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0.3321</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0.3166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0.4014</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0.3910</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0.4160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0.5019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0.4944</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0.6036</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0.5702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0.6759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0.6745</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0.6753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0.7521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0.7528</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0.7588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0.7598</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0.8485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0.8497</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0.7962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0.7972</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0.8999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0.9007</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0.8418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0.8432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0.9305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0.9312</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0.4776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0.5643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0.5581</w:t>
            </w:r>
          </w:p>
        </w:tc>
      </w:tr>
    </w:tbl>
    <w:p>
      <w:pPr>
        <w:pStyle w:val="Heading2"/>
        <w:jc w:val="both"/>
      </w:pPr>
      <w:r>
        <w:rPr>
          <w:rFonts w:ascii="Times New Roman" w:hAnsi="Times New Roman" w:cs="Times New Roman" w:eastAsia="Times New Roman"/>
        </w:rPr>
        <w:t xml:space="preserve">Table S13. Per-MAF imputation R² versus effective population size (1KG Phase 3 chr22)</w:t>
      </w:r>
    </w:p>
    <w:p>
      <w:pPr>
        <w:pStyle w:val="FirstParagraph"/>
        <w:jc w:val="both"/>
      </w:pPr>
      <w:r>
        <w:rPr>
          <w:rFonts w:ascii="Times New Roman" w:hAnsi="Times New Roman" w:cs="Times New Roman" w:eastAsia="Times New Roman"/>
        </w:rPr>
        <w:t xml:space="preserve">801 held-out samples, impute-only against the 4,802-haplotype panel, at a fixed base effective</w:t>
      </w:r>
      <w:r>
        <w:rPr>
          <w:rFonts w:ascii="Times New Roman" w:hAnsi="Times New Roman" w:cs="Times New Roman" w:eastAsia="Times New Roman"/>
        </w:rPr>
        <w:t xml:space="preserve"> </w:t>
      </w:r>
      <w:r>
        <w:rPr>
          <w:rFonts w:ascii="Times New Roman" w:hAnsi="Times New Roman" w:cs="Times New Roman" w:eastAsia="Times New Roman"/>
        </w:rPr>
        <w:t xml:space="preserve">population size (</w:t>
      </w:r>
      <w:r>
        <w:rPr>
          <w:rFonts w:ascii="Times New Roman" w:hAnsi="Times New Roman" w:cs="Times New Roman" w:eastAsia="Times New Roman"/>
          <w:rStyle w:val="VerbatimChar"/>
        </w:rPr>
        <w:t xml:space="preserve">--est-ne</w:t>
      </w:r>
      <w:r>
        <w:rPr>
          <w:rFonts w:ascii="Times New Roman" w:hAnsi="Times New Roman" w:cs="Times New Roman" w:eastAsia="Times New Roman"/>
        </w:rPr>
        <w:t xml:space="preserve">). The panel-adaptive formula selects Ne = 36.4 × n_ref ≈ 175,000 for</w:t>
      </w:r>
      <w:r>
        <w:rPr>
          <w:rFonts w:ascii="Times New Roman" w:hAnsi="Times New Roman" w:cs="Times New Roman" w:eastAsia="Times New Roman"/>
        </w:rPr>
        <w:t xml:space="preserve"> </w:t>
      </w:r>
      <w:r>
        <w:rPr>
          <w:rFonts w:ascii="Times New Roman" w:hAnsi="Times New Roman" w:cs="Times New Roman" w:eastAsia="Times New Roman"/>
        </w:rPr>
        <w:t xml:space="preserve">this panel (the "auto" row, byte-identical to the Ne = 175,000 row). Overall R² is maximised at</w:t>
      </w:r>
      <w:r>
        <w:rPr>
          <w:rFonts w:ascii="Times New Roman" w:hAnsi="Times New Roman" w:cs="Times New Roman" w:eastAsia="Times New Roman"/>
        </w:rPr>
        <w:t xml:space="preserve"> </w:t>
      </w:r>
      <w:r>
        <w:rPr>
          <w:rFonts w:ascii="Times New Roman" w:hAnsi="Times New Roman" w:cs="Times New Roman" w:eastAsia="Times New Roman"/>
        </w:rPr>
        <w:t xml:space="preserve">the formula's value; rare variants favour a lower Ne (≈50,000) and common variants a higher one</w:t>
      </w:r>
      <w:r>
        <w:rPr>
          <w:rFonts w:ascii="Times New Roman" w:hAnsi="Times New Roman" w:cs="Times New Roman" w:eastAsia="Times New Roman"/>
        </w:rPr>
        <w:t xml:space="preserve"> </w:t>
      </w:r>
      <w:r>
        <w:rPr>
          <w:rFonts w:ascii="Times New Roman" w:hAnsi="Times New Roman" w:cs="Times New Roman" w:eastAsia="Times New Roman"/>
        </w:rPr>
        <w:t xml:space="preserve">(≈350,000), so the formula's choice balances the rare-common tradeoff. Bold marks each column's</w:t>
      </w:r>
      <w:r>
        <w:rPr>
          <w:rFonts w:ascii="Times New Roman" w:hAnsi="Times New Roman" w:cs="Times New Roman" w:eastAsia="Times New Roman"/>
        </w:rPr>
        <w:t xml:space="preserve"> </w:t>
      </w:r>
      <w:r>
        <w:rPr>
          <w:rFonts w:ascii="Times New Roman" w:hAnsi="Times New Roman" w:cs="Times New Roman" w:eastAsia="Times New Roman"/>
        </w:rPr>
        <w:t xml:space="preserve">maximum.</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280"/>
        <w:gridCol w:w="1205"/>
        <w:gridCol w:w="890"/>
        <w:gridCol w:w="890"/>
        <w:gridCol w:w="1100"/>
        <w:gridCol w:w="995"/>
      </w:tblGrid>
      <w:tr>
        <w:trPr>
          <w:tblHeader w:val="on"/>
        </w:trPr>
        <w:tc>
          <w:tcPr>
            <w:shd w:val="clear" w:color="auto" w:fill="595959"/>
            <w:vAlign w:val="center"/>
            <w:tcW w:type="dxa" w:w="4280"/>
          </w:tcPr>
          <w:p>
            <w:pPr>
              <w:pStyle w:val="Compact"/>
              <w:jc w:val="center"/>
            </w:pPr>
            <w:r>
              <w:rPr>
                <w:rFonts w:ascii="Times New Roman" w:hAnsi="Times New Roman" w:cs="Times New Roman" w:eastAsia="Times New Roman"/>
                <w:b/>
                <w:color w:val="FFFFFF"/>
                <w:sz w:val="20"/>
              </w:rPr>
              <w:t xml:space="preserve">Ne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 (rare)</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2-5%</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20-50% (common)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20,000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0.6603</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0.8312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0.4696</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50,000</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0.2696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0.6671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0.8361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0.4742</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0.6719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0.8396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0.4769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175,000 (formula / auto)</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0.8418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0.4776</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350,000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0.2587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0.5026</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0.6762</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0.8430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0.4749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700,000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0.2452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0.4963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0.8424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0.4670</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1,400,000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0.2282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0.4858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0.6690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0.8403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0.4554</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31" Type="http://schemas.openxmlformats.org/officeDocument/2006/relationships/image" Target="media/rId31.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2026-07-12T02:20:33Z</dcterms:created>
  <dcterms:modified xsi:type="dcterms:W3CDTF">2026-07-12T02:20:33Z</dcterms:modified>
</cp:coreProperties>
</file>

<file path=docProps/custom.xml><?xml version="1.0" encoding="utf-8"?>
<Properties xmlns="http://schemas.openxmlformats.org/officeDocument/2006/custom-properties" xmlns:vt="http://schemas.openxmlformats.org/officeDocument/2006/docPropsVTypes"/>
</file>