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jc w:val="both"/>
      </w:pPr>
      <w:r>
        <w:rPr>
          <w:rFonts w:ascii="Times New Roman" w:hAnsi="Times New Roman" w:cs="Times New Roman" w:eastAsia="Times New Roman"/>
          <w:b/>
          <w:bCs/>
        </w:rPr>
        <w:t xml:space="preserve">Selphi 2 unifies phasing, imputation, and low-coverage sequencing in a single whole-genome binary</w:t>
      </w:r>
    </w:p>
    <w:p>
      <w:pPr>
        <w:pStyle w:val="FirstParagraph"/>
        <w:jc w:val="both"/>
      </w:pPr>
      <w:r>
        <w:rPr>
          <w:rFonts w:ascii="Times New Roman" w:hAnsi="Times New Roman" w:cs="Times New Roman" w:eastAsia="Times New Roman"/>
        </w:rPr>
        <w:t xml:space="preserve">Authors: Adriano De Marino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Sandra Bohn</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Jon Lerga-Jaso</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Biljana Novković</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Andrew Terpolovsky</w:t>
      </w: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Puya G. Yazdi</w:t>
      </w:r>
      <w:r>
        <w:rPr>
          <w:rFonts w:ascii="Times New Roman" w:hAnsi="Times New Roman" w:cs="Times New Roman" w:eastAsia="Times New Roman"/>
          <w:vertAlign w:val="superscript"/>
        </w:rPr>
        <w:t xml:space="preserve">1,*</w:t>
      </w:r>
    </w:p>
    <w:p>
      <w:pPr>
        <w:pStyle w:val="BodyText"/>
        <w:jc w:val="both"/>
      </w:pPr>
      <w:r>
        <w:rPr>
          <w:rFonts w:ascii="Times New Roman" w:hAnsi="Times New Roman" w:cs="Times New Roman" w:eastAsia="Times New Roman"/>
          <w:vertAlign w:val="superscript"/>
        </w:rPr>
        <w:t xml:space="preserve">1</w:t>
      </w:r>
      <w:r>
        <w:rPr>
          <w:rFonts w:ascii="Times New Roman" w:hAnsi="Times New Roman" w:cs="Times New Roman" w:eastAsia="Times New Roman"/>
        </w:rPr>
        <w:t xml:space="preserve"> </w:t>
      </w:r>
      <w:r>
        <w:rPr>
          <w:rFonts w:ascii="Times New Roman" w:hAnsi="Times New Roman" w:cs="Times New Roman" w:eastAsia="Times New Roman"/>
        </w:rPr>
        <w:t xml:space="preserve">Research and Development, Omicsedge, Miami, FL, USA</w:t>
      </w:r>
    </w:p>
    <w:p>
      <w:pPr>
        <w:pStyle w:val="BodyText"/>
        <w:jc w:val="both"/>
      </w:pPr>
      <w:r>
        <w:rPr>
          <w:rFonts w:ascii="Times New Roman" w:hAnsi="Times New Roman" w:cs="Times New Roman" w:eastAsia="Times New Roman"/>
        </w:rPr>
        <w:t xml:space="preserve">* Corresponding author: pyazdi@omicsedge.com</w:t>
      </w:r>
    </w:p>
    <w:p>
      <w:pPr>
        <w:pStyle w:val="Heading1"/>
        <w:jc w:val="both"/>
      </w:pPr>
      <w:r>
        <w:rPr>
          <w:rFonts w:ascii="Times New Roman" w:hAnsi="Times New Roman" w:cs="Times New Roman" w:eastAsia="Times New Roman"/>
          <w:b/>
          <w:bCs/>
        </w:rPr>
        <w:t xml:space="preserve">Abstract</w:t>
      </w:r>
    </w:p>
    <w:p>
      <w:pPr>
        <w:pStyle w:val="FirstParagraph"/>
        <w:jc w:val="both"/>
      </w:pPr>
      <w:r>
        <w:rPr>
          <w:rFonts w:ascii="Times New Roman" w:hAnsi="Times New Roman" w:cs="Times New Roman" w:eastAsia="Times New Roman"/>
        </w:rPr>
        <w:t xml:space="preserve">End-to-end genotype imputation today requires chaining multiple specialized tools, Eagle2 or SHAPEIT5 for phasing, Beagle, IMPUTE5, or Minimac4 for imputation, dedicated reference panel converters, bcftools for indexing, and per-format writers, each operating on per-chromosome inputs and emitting intermediate VCF files between stages. Here we present Selphi 2, a complete reimplementation of the Selphi genotype imputation framework in Rust that integrates the full workflow into a single tool. Selphi 2 adds two phasing engines (a diploid genotype-graph engine with MCMC sampling, used by default, and a haploid composite HMM) and imputes whole-genome targets against a single multi-chromosome reference panel in one command, eliminating per-chromosome file splitting and output concatenation. Selphi 2 reduces wall time by an order of magnitude relative to Selphi 1 and reduces peak memory by up to 58% relative to Beagle 5.5 (and is comparable on the largest chromosome), while matching or exceeding Selphi 1's accuracy: on homogeneous reference panels accuracy is preserved, and on admixed cohorts imputed against biobank-scale panels a panel-adaptive candidate-set sizing rule, derived from reference panel size and haplotype-pattern diversity, improves rare-variant accuracy over a fixed candidate-set size, which on very large panels retains too few of the haplotypes that carry rare alleles in minority ancestries. On six held-out individuals, each with a consumer genotyping array and a matched high-coverage genome (imputed against a 75,552-haplotype reference panel), Selphi 2's imputer matches or exceeds Beagle 5.5 at equal phasing on both SNPs and indels, and with its own default diploid phasing (which averages a small intra-run phase ensemble for one extra imputation pass and no extra phasing) exceeds Beagle's full pipeline on both SNPs and indels. The same binary additionally provides a low-coverage sequencing (lcWGS) imputation engine: a genotype-likelihood-aware Li-Stephens model that imputes directly from soft-called sequencing data. Benchmarked against GLIMPSE2 on real low-coverage sequencing of six Genome in a Bottle reference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it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variant sites on five of the six (tied on the sixth) while imputing each sample independently against the panel without ever materializing the full-chromosome reference panel; run one sample at a time (its native mode),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w:t>
      </w:r>
    </w:p>
    <w:p>
      <w:pPr>
        <w:pStyle w:val="Heading1"/>
        <w:jc w:val="both"/>
      </w:pPr>
      <w:r>
        <w:rPr>
          <w:rFonts w:ascii="Times New Roman" w:hAnsi="Times New Roman" w:cs="Times New Roman" w:eastAsia="Times New Roman"/>
          <w:b/>
          <w:bCs/>
        </w:rPr>
        <w:t xml:space="preserve">Introduction</w:t>
      </w:r>
    </w:p>
    <w:p>
      <w:pPr>
        <w:pStyle w:val="FirstParagraph"/>
        <w:jc w:val="both"/>
      </w:pPr>
      <w:r>
        <w:rPr>
          <w:rFonts w:ascii="Times New Roman" w:hAnsi="Times New Roman" w:cs="Times New Roman" w:eastAsia="Times New Roman"/>
        </w:rP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hyperlink w:anchor="ref1">
        <w:r>
          <w:rPr>
            <w:rFonts w:ascii="Times New Roman" w:hAnsi="Times New Roman" w:cs="Times New Roman" w:eastAsia="Times New Roman"/>
            <w:color w:val="0563C1"/>
            <w:vertAlign w:val="superscript"/>
          </w:rPr>
          <w:t xml:space="preserve">1</w:t>
        </w:r>
      </w:hyperlink>
      <w:r>
        <w:rPr>
          <w:rFonts w:ascii="Times New Roman" w:hAnsi="Times New Roman" w:cs="Times New Roman" w:eastAsia="Times New Roman"/>
        </w:rPr>
        <w:t xml:space="preserve">. As reference panels have grown from thousands to hundreds of thousands of sequenced individuals, and as the clinical relevance of rare and low-frequency variants has become increasingly apparent, the demands on imputation algorithms have evolved accordingly.</w:t>
      </w:r>
    </w:p>
    <w:p>
      <w:pPr>
        <w:pStyle w:val="BodyText"/>
        <w:jc w:val="both"/>
      </w:pPr>
      <w:r>
        <w:rPr>
          <w:rFonts w:ascii="Times New Roman" w:hAnsi="Times New Roman" w:cs="Times New Roman" w:eastAsia="Times New Roman"/>
        </w:rPr>
        <w:t xml:space="preserve">The dominant computational framework for genotype imputation is the Li and Stephens hidden Markov model (HMM)</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hyperlink w:anchor="ref3">
        <w:r>
          <w:rPr>
            <w:rFonts w:ascii="Times New Roman" w:hAnsi="Times New Roman" w:cs="Times New Roman" w:eastAsia="Times New Roman"/>
            <w:color w:val="0563C1"/>
            <w:vertAlign w:val="superscript"/>
          </w:rPr>
          <w:t xml:space="preserve">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for haplotype matching. The current landscape of imputation software is anchored by three widely used tools: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to achieve sub-linear scaling with panel size;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(used here at version 5.5) combines integrated phasing</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with haplotype clustering for computational efficiency; and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jc w:val="both"/>
      </w:pPr>
      <w:r>
        <w:rPr>
          <w:rFonts w:ascii="Times New Roman" w:hAnsi="Times New Roman" w:cs="Times New Roman" w:eastAsia="Times New Roman"/>
        </w:rPr>
        <w:t xml:space="preserve">The current imputation ecosystem is fragmented across multiple specialized tools. A standard end-to-end workflow phases the target with a dedicated phaser such as Eagle2</w:t>
      </w:r>
      <w:hyperlink w:anchor="ref8">
        <w:r>
          <w:rPr>
            <w:rFonts w:ascii="Times New Roman" w:hAnsi="Times New Roman" w:cs="Times New Roman" w:eastAsia="Times New Roman"/>
            <w:color w:val="0563C1"/>
            <w:vertAlign w:val="superscript"/>
          </w:rPr>
          <w:t xml:space="preserve">8</w:t>
        </w:r>
      </w:hyperlink>
      <w:r>
        <w:rPr>
          <w:rFonts w:ascii="Times New Roman" w:hAnsi="Times New Roman" w:cs="Times New Roman" w:eastAsia="Times New Roman"/>
        </w:rPr>
        <w:t xml:space="preserve">,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or an earlier biobank-scale haplotype estimator</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rPr>
        <w:t xml:space="preserve">, imputes the phased target with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or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with external writers. Each handoff requires intermediate files, shell glue, and per-chromosome bookkeeping.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mitigating some of this fragmentation, but the genome is still processed one chromosome at a time and the output is restricted to VCF.</w:t>
      </w:r>
    </w:p>
    <w:p>
      <w:pPr>
        <w:pStyle w:val="BodyText"/>
        <w:jc w:val="both"/>
      </w:pPr>
      <w:r>
        <w:rPr>
          <w:rFonts w:ascii="Times New Roman" w:hAnsi="Times New Roman" w:cs="Times New Roman" w:eastAsia="Times New Roman"/>
        </w:rPr>
        <w:t xml:space="preserve">The original Selphi</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panels. However, Selphi 1 was implemented in Python with Numba-JIT-compiled inner loops, required pre-phased input, and processed one chromosome at a time.</w:t>
      </w:r>
    </w:p>
    <w:p>
      <w:pPr>
        <w:pStyle w:val="BodyText"/>
        <w:jc w:val="both"/>
      </w:pPr>
      <w:r>
        <w:rPr>
          <w:rFonts w:ascii="Times New Roman" w:hAnsi="Times New Roman" w:cs="Times New Roman" w:eastAsia="Times New Roman"/>
        </w:rPr>
        <w:t xml:space="preserve">Recent methodological advances have addressed some of these challenges in isolation.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cut low-frequency switch-error rates in large cohorts by splitting phasing into two passes: a confident backbone built from common variants, onto which rare alleles are then placed one at a time.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made whole-genome low-coverage imputation tractable by storing the panel compactly, using dense bitmaps for frequent alleles and per-site carrier lists for the rare ones.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extended the PBWT with multi-symbol matching for application to diverse sequencing technologies. None of these tools, however, integrate phasing, imputation, panel preparation, indexing, and multi-format output in a single executable, nor do they perform whole-genome imputation in a single process against a single reference panel file.</w:t>
      </w:r>
    </w:p>
    <w:p>
      <w:pPr>
        <w:pStyle w:val="BodyText"/>
        <w:jc w:val="both"/>
      </w:pPr>
      <w:r>
        <w:rPr>
          <w:rFonts w:ascii="Times New Roman" w:hAnsi="Times New Roman" w:cs="Times New Roman" w:eastAsia="Times New Roman"/>
        </w:rPr>
        <w:t xml:space="preserve">Here we present Selphi 2, a complete reimplementation of the Selphi algorithm in Rust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jc w:val="both"/>
      </w:pPr>
      <w:r>
        <w:rPr>
          <w:rFonts w:ascii="Times New Roman" w:hAnsi="Times New Roman" w:cs="Times New Roman" w:eastAsia="Times New Roman"/>
        </w:rPr>
        <w:t xml:space="preserve">Selphi 2 further provides a dedicated low-coverage sequencing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in the same binary, applying a genotype-likelihood-aware Li-Stephens model to soft-called sequencing input, so that array and low-coverage-sequencing imputation are served by one tool. In this paper, we describe the algorithmic components of Selphi 2 (Methods), benchmark its imputation accuracy and resource consumption against Selphi 1</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Project</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TOPMed</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reference panels, compare its phasing accuracy against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the 1000 Genomes trio dataset, and compare its low-coverage engine against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on real low-coverage Genome in a Bottle sequencing</w:t>
      </w:r>
      <w:hyperlink w:anchor="ref17">
        <w:r>
          <w:rPr>
            <w:rFonts w:ascii="Times New Roman" w:hAnsi="Times New Roman" w:cs="Times New Roman" w:eastAsia="Times New Roman"/>
            <w:color w:val="0563C1"/>
            <w:vertAlign w:val="superscript"/>
          </w:rPr>
          <w:t xml:space="preserve">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(Results).</w:t>
      </w:r>
    </w:p>
    <w:p>
      <w:pPr>
        <w:pStyle w:val="BodyText"/>
        <w:jc w:val="center"/>
      </w:pPr>
      <w:r>
        <w:rPr>
          <w:rFonts w:ascii="Times New Roman" w:hAnsi="Times New Roman" w:cs="Times New Roman" w:eastAsia="Times New Roman"/>
        </w:rP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1. Overview of the Selphi 2 pipeline.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forward pass, 64-bit backward pass)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rPr>
          <w:rFonts w:ascii="Times New Roman" w:hAnsi="Times New Roman" w:cs="Times New Roman" w:eastAsia="Times New Roman"/>
          <w:sz w:val="20"/>
        </w:rP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low-coverage sequencing input (0.5-2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depth), a dedicated genotype-likelihood-aware engine (</w:t>
      </w:r>
      <w:r>
        <w:rPr>
          <w:rFonts w:ascii="Times New Roman" w:hAnsi="Times New Roman" w:cs="Times New Roman" w:eastAsia="Times New Roman"/>
          <w:rStyle w:val="VerbatimChar"/>
          <w:sz w:val="20"/>
        </w:rPr>
        <w:t xml:space="preserve">--lcwgs</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w:t>
      </w:r>
      <w:r>
        <w:rPr>
          <w:rFonts w:ascii="Times New Roman" w:hAnsi="Times New Roman" w:cs="Times New Roman" w:eastAsia="Times New Roman"/>
          <w:sz w:val="20"/>
        </w:rPr>
        <w:t xml:space="preserve"> </w:t>
      </w:r>
      <w:r>
        <w:rPr>
          <w:rFonts w:ascii="Times New Roman" w:hAnsi="Times New Roman" w:cs="Times New Roman" w:eastAsia="Times New Roman"/>
          <w:rStyle w:val="VerbatimChar"/>
          <w:sz w:val="20"/>
        </w:rPr>
        <w:t xml:space="preserve">--engine lcwgs</w:t>
      </w:r>
      <w:r>
        <w:rPr>
          <w:rFonts w:ascii="Times New Roman" w:hAnsi="Times New Roman" w:cs="Times New Roman" w:eastAsia="Times New Roman"/>
          <w:sz w:val="20"/>
        </w:rP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rPr>
          <w:rFonts w:ascii="Times New Roman" w:hAnsi="Times New Roman" w:cs="Times New Roman" w:eastAsia="Times New Roman"/>
          <w:sz w:val="20"/>
        </w:rPr>
        <w:t xml:space="preserve">-checkpointed, SIMD-accelerated) and a diplotype-mosaic phase-commitment step in a Gibbs schedule, emitting GT:DS:GP against the same reference panel and output formats. Auxiliary capabilities include multi-chromosome processing from a single SRP file with overlapped prefetch and mixed-density (WGS + chip) reference-panel construction.</w:t>
      </w:r>
    </w:p>
    <w:p>
      <w:pPr>
        <w:pStyle w:val="Heading1"/>
        <w:jc w:val="both"/>
      </w:pPr>
      <w:r>
        <w:rPr>
          <w:rFonts w:ascii="Times New Roman" w:hAnsi="Times New Roman" w:cs="Times New Roman" w:eastAsia="Times New Roman"/>
          <w:b/>
          <w:bCs/>
        </w:rPr>
        <w:t xml:space="preserve">Methods</w:t>
      </w:r>
    </w:p>
    <w:p>
      <w:pPr>
        <w:pStyle w:val="Heading2"/>
        <w:jc w:val="both"/>
      </w:pPr>
      <w:r>
        <w:rPr>
          <w:rFonts w:ascii="Times New Roman" w:hAnsi="Times New Roman" w:cs="Times New Roman" w:eastAsia="Times New Roman"/>
          <w:b/>
          <w:bCs/>
        </w:rPr>
        <w:t xml:space="preserve">Selphi 2</w:t>
      </w:r>
    </w:p>
    <w:p>
      <w:pPr>
        <w:pStyle w:val="Heading3"/>
        <w:jc w:val="both"/>
      </w:pPr>
      <w:r>
        <w:rPr>
          <w:rFonts w:ascii="Times New Roman" w:hAnsi="Times New Roman" w:cs="Times New Roman" w:eastAsia="Times New Roman"/>
          <w:b/>
          <w:bCs/>
        </w:rPr>
        <w:t xml:space="preserve">Architecture overview</w:t>
      </w:r>
    </w:p>
    <w:p>
      <w:pPr>
        <w:pStyle w:val="FirstParagraph"/>
        <w:jc w:val="both"/>
      </w:pPr>
      <w:r>
        <w:rPr>
          <w:rFonts w:ascii="Times New Roman" w:hAnsi="Times New Roman" w:cs="Times New Roman" w:eastAsia="Times New Roman"/>
        </w:rP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hyperlink w:anchor="ref18">
        <w:r>
          <w:rPr>
            <w:rFonts w:ascii="Times New Roman" w:hAnsi="Times New Roman" w:cs="Times New Roman" w:eastAsia="Times New Roman"/>
            <w:color w:val="0563C1"/>
            <w:vertAlign w:val="superscript"/>
          </w:rPr>
          <w:t xml:space="preserve">18</w:t>
        </w:r>
      </w:hyperlink>
      <w:r>
        <w:rPr>
          <w:rFonts w:ascii="Times New Roman" w:hAnsi="Times New Roman" w:cs="Times New Roman" w:eastAsia="Times New Roman"/>
        </w:rP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jc w:val="both"/>
      </w:pPr>
      <w:r>
        <w:rPr>
          <w:rFonts w:ascii="Times New Roman" w:hAnsi="Times New Roman" w:cs="Times New Roman" w:eastAsia="Times New Roman"/>
        </w:rP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p>
      <w:pPr>
        <w:pStyle w:val="Heading3"/>
        <w:jc w:val="both"/>
      </w:pPr>
      <w:r>
        <w:rPr>
          <w:rFonts w:ascii="Times New Roman" w:hAnsi="Times New Roman" w:cs="Times New Roman" w:eastAsia="Times New Roman"/>
          <w:b/>
          <w:bCs/>
        </w:rPr>
        <w:t xml:space="preserve">Phasing engines</w:t>
      </w:r>
    </w:p>
    <w:p>
      <w:pPr>
        <w:pStyle w:val="FirstParagraph"/>
        <w:jc w:val="both"/>
      </w:pPr>
      <w:r>
        <w:rPr>
          <w:rFonts w:ascii="Times New Roman" w:hAnsi="Times New Roman" w:cs="Times New Roman" w:eastAsia="Times New Roman"/>
        </w:rP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3; Discussion).</w:t>
      </w:r>
    </w:p>
    <w:p>
      <w:pPr>
        <w:pStyle w:val="BodyText"/>
        <w:jc w:val="both"/>
      </w:pPr>
      <w:r>
        <w:rPr>
          <w:rFonts w:ascii="Times New Roman" w:hAnsi="Times New Roman" w:cs="Times New Roman" w:eastAsia="Times New Roman"/>
          <w:b/>
          <w:bCs/>
        </w:rPr>
        <w:t xml:space="preserve">Haploid engine.</w:t>
      </w:r>
    </w:p>
    <w:p>
      <w:pPr>
        <w:pStyle w:val="BodyText"/>
        <w:jc w:val="both"/>
      </w:pPr>
      <w:r>
        <w:rPr>
          <w:rFonts w:ascii="Times New Roman" w:hAnsi="Times New Roman" w:cs="Times New Roman" w:eastAsia="Times New Roman"/>
        </w:rPr>
        <w:t xml:space="preserve">The haploid phasing engine models each haplotype independently through a composite HMM with a greedy swap criterion, following the approach of Browning and Browning</w:t>
      </w:r>
      <w:hyperlink w:anchor="ref19">
        <w:r>
          <w:rPr>
            <w:rFonts w:ascii="Times New Roman" w:hAnsi="Times New Roman" w:cs="Times New Roman" w:eastAsia="Times New Roman"/>
            <w:color w:val="0563C1"/>
            <w:vertAlign w:val="superscript"/>
          </w:rPr>
          <w:t xml:space="preserve">19</w:t>
        </w:r>
      </w:hyperlink>
      <w:r>
        <w:rPr>
          <w:rFonts w:ascii="Times New Roman" w:hAnsi="Times New Roman" w:cs="Times New Roman" w:eastAsia="Times New Roman"/>
        </w:rPr>
        <w:t xml:space="preserve">. The algorithm operates in 15 iterations (3 burn-in with fixed phase, 12 phasing iterations with decreasing likelihood-ratio thresholds from 100,000 to 1.0).</w:t>
      </w:r>
    </w:p>
    <w:p>
      <w:pPr>
        <w:pStyle w:val="BodyText"/>
        <w:jc w:val="both"/>
      </w:pPr>
      <w:r>
        <w:rPr>
          <w:rFonts w:ascii="Times New Roman" w:hAnsi="Times New Roman" w:cs="Times New Roman" w:eastAsia="Times New Roman"/>
        </w:rPr>
        <w:t xml:space="preserve">At each iteration,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but operates within a single iterative framework rather than as separate stages.</w:t>
      </w:r>
    </w:p>
    <w:p>
      <w:pPr>
        <w:pStyle w:val="BodyText"/>
        <w:jc w:val="both"/>
      </w:pPr>
      <w:r>
        <w:rPr>
          <w:rFonts w:ascii="Times New Roman" w:hAnsi="Times New Roman" w:cs="Times New Roman" w:eastAsia="Times New Roman"/>
        </w:rP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jc w:val="both"/>
      </w:pPr>
      <w:r>
        <w:rPr>
          <w:rFonts w:ascii="Times New Roman" w:hAnsi="Times New Roman" w:cs="Times New Roman" w:eastAsia="Times New Roman"/>
        </w:rPr>
        <w:t xml:space="preserve">For rare variants, a carrier injection mechanism ensures that haplotypes carrying rare alleles are represented in the matching: when the best IBS match at a position does not carry the target's rare allele, a random carrier from the reference panel is substituted. This prevents rare alleles from being systematically lost during the matching step.</w:t>
      </w:r>
    </w:p>
    <w:p>
      <w:pPr>
        <w:pStyle w:val="BodyText"/>
        <w:jc w:val="both"/>
      </w:pPr>
      <w:r>
        <w:rPr>
          <w:rFonts w:ascii="Times New Roman" w:hAnsi="Times New Roman" w:cs="Times New Roman" w:eastAsia="Times New Roman"/>
        </w:rPr>
        <w:t xml:space="preserve">EM parameter estimation</w:t>
      </w:r>
      <w:hyperlink w:anchor="ref20">
        <w:r>
          <w:rPr>
            <w:rFonts w:ascii="Times New Roman" w:hAnsi="Times New Roman" w:cs="Times New Roman" w:eastAsia="Times New Roman"/>
            <w:color w:val="0563C1"/>
            <w:vertAlign w:val="superscript"/>
          </w:rPr>
          <w:t xml:space="preserve">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performed within each iteration to calibrate the mismatch probability and effective recombination rate per window, enabling the HMM transition probabilities to adapt to local recombination patterns.</w:t>
      </w:r>
    </w:p>
    <w:p>
      <w:pPr>
        <w:pStyle w:val="BodyText"/>
        <w:jc w:val="both"/>
      </w:pPr>
      <w:r>
        <w:rPr>
          <w:rFonts w:ascii="Times New Roman" w:hAnsi="Times New Roman" w:cs="Times New Roman" w:eastAsia="Times New Roman"/>
          <w:b/>
          <w:bCs/>
        </w:rPr>
        <w:t xml:space="preserve">Diploid engine.</w:t>
      </w:r>
    </w:p>
    <w:p>
      <w:pPr>
        <w:pStyle w:val="BodyText"/>
        <w:jc w:val="both"/>
      </w:pPr>
      <w:r>
        <w:rPr>
          <w:rFonts w:ascii="Times New Roman" w:hAnsi="Times New Roman" w:cs="Times New Roman" w:eastAsia="Times New Roman"/>
        </w:rPr>
        <w:t xml:space="preserve">The diploid engine models the pair of haplotypes jointly through a genotype graph, following the approach of SHAPEIT4</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jc w:val="both"/>
      </w:pPr>
      <w:r>
        <w:rPr>
          <w:rFonts w:ascii="Times New Roman" w:hAnsi="Times New Roman" w:cs="Times New Roman" w:eastAsia="Times New Roman"/>
        </w:rP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jc w:val="both"/>
      </w:pPr>
      <w:r>
        <w:rPr>
          <w:rFonts w:ascii="Times New Roman" w:hAnsi="Times New Roman" w:cs="Times New Roman" w:eastAsia="Times New Roman"/>
        </w:rPr>
        <w:t xml:space="preserve">By default the diploid engine forms a small</w:t>
      </w:r>
      <w:r>
        <w:rPr>
          <w:rFonts w:ascii="Times New Roman" w:hAnsi="Times New Roman" w:cs="Times New Roman" w:eastAsia="Times New Roman"/>
        </w:rPr>
        <w:t xml:space="preserve"> </w:t>
      </w:r>
      <w:r>
        <w:rPr>
          <w:rFonts w:ascii="Times New Roman" w:hAnsi="Times New Roman" w:cs="Times New Roman" w:eastAsia="Times New Roman"/>
          <w:b/>
          <w:bCs/>
        </w:rPr>
        <w:t xml:space="preserve">intra-run phase ensemble</w:t>
      </w:r>
      <w:r>
        <w:rPr>
          <w:rFonts w:ascii="Times New Roman" w:hAnsi="Times New Roman" w:cs="Times New Roman" w:eastAsia="Times New Roman"/>
        </w:rPr>
        <w:t xml:space="preserve"> </w:t>
      </w:r>
      <w:r>
        <w:rPr>
          <w:rFonts w:ascii="Times New Roman" w:hAnsi="Times New Roman" w:cs="Times New Roman" w:eastAsia="Times New Roman"/>
        </w:rP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the averaged weights yield the exact mean dosage over the N phasings, marginalising phase uncertainty in dosage space.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from 0.9588 to 0.9605 (the ensemble step on top of the no-call-imputation fix; Results, Table 3). The ensemble is disabled (N = 1, a single Viterbi solve) under</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--phase-only</w:t>
      </w:r>
      <w:r>
        <w:rPr>
          <w:rFonts w:ascii="Times New Roman" w:hAnsi="Times New Roman" w:cs="Times New Roman" w:eastAsia="Times New Roman"/>
        </w:rPr>
        <w:t xml:space="preserve">; the haploid engine does not use it, as its greedy-swap phasing converges to a single solution rather than sampling a posterior.</w:t>
      </w:r>
    </w:p>
    <w:p>
      <w:pPr>
        <w:pStyle w:val="BodyText"/>
        <w:jc w:val="both"/>
      </w:pPr>
      <w:r>
        <w:rPr>
          <w:rFonts w:ascii="Times New Roman" w:hAnsi="Times New Roman" w:cs="Times New Roman" w:eastAsia="Times New Roman"/>
        </w:rPr>
        <w:t xml:space="preserve">During burn-in iterations, the effective population size (</w:t>
      </w:r>
      <m:oMath>
        <m:sSub>
          <m:e>
            <m:r>
              <m:t>N</m:t>
            </m:r>
          </m:e>
          <m:sub>
            <m:r>
              <m:t>e</m:t>
            </m:r>
          </m:sub>
        </m:sSub>
      </m:oMath>
      <w:r>
        <w:rPr>
          <w:rFonts w:ascii="Times New Roman" w:hAnsi="Times New Roman" w:cs="Times New Roman" w:eastAsia="Times New Roman"/>
        </w:rPr>
        <w:t xml:space="preserve">) is re-estimated from the empirical transition rate observed in the genotype graphs. The observed switch rate (fraction of sites where a genotype graph changes diplotype assignment) is related to</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through the Li-Stephens approximation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rPr>
            <m:sty m:val="p"/>
          </m:rPr>
          <m:t>s</m:t>
        </m:r>
        <m:r>
          <m:rPr>
            <m:sty m:val="p"/>
          </m:rPr>
          <m:t>w</m:t>
        </m:r>
        <m:r>
          <m:rPr>
            <m:sty m:val="p"/>
          </m:rPr>
          <m:t>i</m:t>
        </m:r>
        <m:r>
          <m:rPr>
            <m:sty m:val="p"/>
          </m:rPr>
          <m:t>t</m:t>
        </m:r>
        <m:r>
          <m:rPr>
            <m:sty m:val="p"/>
          </m:rPr>
          <m:t>c</m:t>
        </m:r>
        <m:r>
          <m:rPr>
            <m:sty m:val="p"/>
          </m:rPr>
          <m:t>h</m:t>
        </m:r>
        <m:r>
          <m:rPr>
            <m:sty m:val="p"/>
          </m:rPr>
          <m:t>_</m:t>
        </m:r>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rPr>
          <w:rFonts w:ascii="Times New Roman" w:hAnsi="Times New Roman" w:cs="Times New Roman" w:eastAsia="Times New Roman"/>
        </w:rPr>
        <w:t xml:space="preserve">, where d is the mean inter-marker distance in cM. The estimated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clamped to [1,000, 1,000,000] and applied only when the change exceeds 5% of the current value, preventing oscillation while allowing adaptation to population-specific recombination patterns.</w:t>
      </w:r>
    </w:p>
    <w:p>
      <w:pPr>
        <w:pStyle w:val="BodyText"/>
        <w:jc w:val="both"/>
      </w:pPr>
      <w:r>
        <w:rPr>
          <w:rFonts w:ascii="Times New Roman" w:hAnsi="Times New Roman" w:cs="Times New Roman" w:eastAsia="Times New Roman"/>
          <w:b/>
          <w:bCs/>
        </w:rPr>
        <w:t xml:space="preserve">Rare variant phasing (diploid).</w:t>
      </w:r>
    </w:p>
    <w:p>
      <w:pPr>
        <w:pStyle w:val="BodyText"/>
        <w:jc w:val="both"/>
      </w:pPr>
      <w:r>
        <w:rPr>
          <w:rFonts w:ascii="Times New Roman" w:hAnsi="Times New Roman" w:cs="Times New Roman" w:eastAsia="Times New Roman"/>
        </w:rPr>
        <w:t xml:space="preserve">Rare variants (those not in the common-variant scaffold) are phased in a dedicated PBWT-based pass that operates on target haplotypes only. This two-stage common-then-rare strategy parallels the approach introduced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The algorithm proceeds in four steps. First, an IBD2 scan identifies sample pairs sharing both haplotypes identical-by-descent across scaffold sites</w:t>
      </w:r>
      <w:hyperlink w:anchor="ref22">
        <w:r>
          <w:rPr>
            <w:rFonts w:ascii="Times New Roman" w:hAnsi="Times New Roman" w:cs="Times New Roman" w:eastAsia="Times New Roman"/>
            <w:color w:val="0563C1"/>
            <w:vertAlign w:val="superscript"/>
          </w:rPr>
          <w:t xml:space="preserve">22</w:t>
        </w:r>
      </w:hyperlink>
      <w:r>
        <w:rPr>
          <w:rFonts w:ascii="Times New Roman" w:hAnsi="Times New Roman" w:cs="Times New Roman" w:eastAsia="Times New Roman"/>
        </w:rP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jc w:val="both"/>
      </w:pPr>
      <w:r>
        <w:rPr>
          <w:rFonts w:ascii="Times New Roman" w:hAnsi="Times New Roman" w:cs="Times New Roman" w:eastAsia="Times New Roman"/>
        </w:rPr>
        <w:t xml:space="preserve">Second, a scaffold bitmatrix is constructed from target haplotypes at scaffold sites,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jc w:val="both"/>
      </w:pPr>
      <w:r>
        <w:rPr>
          <w:rFonts w:ascii="Times New Roman" w:hAnsi="Times New Roman" w:cs="Times New Roman" w:eastAsia="Times New Roman"/>
        </w:rPr>
        <w:t xml:space="preserve">Third, a backward PBWT sweep repeats the same procedure in reverse genomic order. The forward and backward results are merged by selecting the direction with higher confidence (absolute vote score) for each rare het.</w:t>
      </w:r>
    </w:p>
    <w:p>
      <w:pPr>
        <w:pStyle w:val="BodyText"/>
        <w:jc w:val="both"/>
      </w:pPr>
      <w:r>
        <w:rPr>
          <w:rFonts w:ascii="Times New Roman" w:hAnsi="Times New Roman" w:cs="Times New Roman" w:eastAsia="Times New Roman"/>
        </w:rPr>
        <w:t xml:space="preserve">Fourth, singleton variants (MAC = 1 among targets) are phased using IBD segment lengths at the scaffold. For each sample, the run-length of consistent alleles on each haplotype is measured at scaffold sites as a proxy for the coalescent Viterbi IBD segment length. The singleton allele is assigned to the haplotype with the longer flanking IBD segment. This is analogous to the coalescent-based singleton phasing in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but uses empirical run-lengths rather than a full coalescent HMM.</w:t>
      </w:r>
    </w:p>
    <w:p>
      <w:pPr>
        <w:pStyle w:val="BodyText"/>
        <w:jc w:val="both"/>
      </w:pPr>
      <w:r>
        <w:rPr>
          <w:rFonts w:ascii="Times New Roman" w:hAnsi="Times New Roman" w:cs="Times New Roman" w:eastAsia="Times New Roman"/>
          <w:b/>
          <w:bCs/>
        </w:rPr>
        <w:t xml:space="preserve">Pedigree scaffolding.</w:t>
      </w:r>
    </w:p>
    <w:p>
      <w:pPr>
        <w:pStyle w:val="BodyText"/>
        <w:jc w:val="both"/>
      </w:pPr>
      <w:r>
        <w:rPr>
          <w:rFonts w:ascii="Times New Roman" w:hAnsi="Times New Roman" w:cs="Times New Roman" w:eastAsia="Times New Roman"/>
        </w:rPr>
        <w:t xml:space="preserve">When pedigree information is available (PLINK PED format), Mendelian constraints from parent-child relationships are applied before the HMM-based phasing, following established practice</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color w:val="0563C1"/>
          <w:vertAlign w:val="superscript"/>
        </w:rPr>
        <w:t xml:space="preserve">,</w:t>
      </w:r>
      <w:hyperlink w:anchor="ref10">
        <w:r>
          <w:rPr>
            <w:rFonts w:ascii="Times New Roman" w:hAnsi="Times New Roman" w:cs="Times New Roman" w:eastAsia="Times New Roman"/>
            <w:color w:val="0563C1"/>
            <w:vertAlign w:val="superscript"/>
          </w:rPr>
          <w:t xml:space="preserve">10</w:t>
        </w:r>
      </w:hyperlink>
      <w:r>
        <w:rPr>
          <w:rFonts w:ascii="Times New Roman" w:hAnsi="Times New Roman" w:cs="Times New Roman" w:eastAsia="Times New Roman"/>
          <w:color w:val="0563C1"/>
          <w:vertAlign w:val="superscript"/>
        </w:rPr>
        <w:t xml:space="preserve">,</w:t>
      </w:r>
      <w:hyperlink w:anchor="ref21">
        <w:r>
          <w:rPr>
            <w:rFonts w:ascii="Times New Roman" w:hAnsi="Times New Roman" w:cs="Times New Roman" w:eastAsia="Times New Roman"/>
            <w:color w:val="0563C1"/>
            <w:vertAlign w:val="superscript"/>
          </w:rPr>
          <w:t xml:space="preserve">21</w:t>
        </w:r>
      </w:hyperlink>
      <w:r>
        <w:rPr>
          <w:rFonts w:ascii="Times New Roman" w:hAnsi="Times New Roman" w:cs="Times New Roman" w:eastAsia="Times New Roman"/>
        </w:rPr>
        <w:t xml:space="preserve">. For each trio or duo, the algorithm considers all nine combinations of parental genotype sums (homozygous reference, heterozygous, homozygous alternate) at each variant. When the child is heterozygous and at least one parent is homozygous, the phase is deterministic: the child received the homozygous allele from that parent. When both parents are heterozygous, the phase cannot be resolved by Mendelian logic alone and is deferred to the HMM. When the child has missing genotype data and both parents are homozygous, the child's genotype is imputed. Mendelian inconsistencies (e.g., child heterozygous with both parents homozygous for the same allele) are counted but not corrected.</w:t>
      </w:r>
    </w:p>
    <w:p>
      <w:pPr>
        <w:pStyle w:val="BodyText"/>
        <w:jc w:val="both"/>
      </w:pPr>
      <w:r>
        <w:rPr>
          <w:rFonts w:ascii="Times New Roman" w:hAnsi="Times New Roman" w:cs="Times New Roman" w:eastAsia="Times New Roman"/>
        </w:rP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jc w:val="both"/>
      </w:pPr>
      <w:r>
        <w:rPr>
          <w:rFonts w:ascii="Times New Roman" w:hAnsi="Times New Roman" w:cs="Times New Roman" w:eastAsia="Times New Roman"/>
          <w:b/>
          <w:bCs/>
        </w:rPr>
        <w:t xml:space="preserve">Panel phasing.</w:t>
      </w:r>
    </w:p>
    <w:p>
      <w:pPr>
        <w:pStyle w:val="BodyText"/>
        <w:jc w:val="both"/>
      </w:pPr>
      <w:r>
        <w:rPr>
          <w:rFonts w:ascii="Times New Roman" w:hAnsi="Times New Roman" w:cs="Times New Roman" w:eastAsia="Times New Roman"/>
        </w:rPr>
        <w:t xml:space="preserve">When no external reference panel is available, the same two phasing engines can phase a cohort against itself in a single command. The cohort haplotypes are used both as the target and as the conditioning set; engine selection follows the same variant-density rule (haploid for chip arrays, diploid for WGS). Output is written as a phased VCF/BCF and, optionally, as a Selphi SRP file or a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p>
      <w:pPr>
        <w:pStyle w:val="Heading3"/>
        <w:jc w:val="both"/>
      </w:pPr>
      <w:r>
        <w:rPr>
          <w:rFonts w:ascii="Times New Roman" w:hAnsi="Times New Roman" w:cs="Times New Roman" w:eastAsia="Times New Roman"/>
          <w:b/>
          <w:bCs/>
        </w:rPr>
        <w:t xml:space="preserve">PBWT matching for imputation</w:t>
      </w:r>
    </w:p>
    <w:p>
      <w:pPr>
        <w:pStyle w:val="FirstParagraph"/>
        <w:jc w:val="both"/>
      </w:pPr>
      <w:r>
        <w:rPr>
          <w:rFonts w:ascii="Times New Roman" w:hAnsi="Times New Roman" w:cs="Times New Roman" w:eastAsia="Times New Roman"/>
        </w:rPr>
        <w:t xml:space="preserve">The imputation component uses a coded-step PBWT</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and FNV-1a hashing is used for steps spanning more than 20 SNPs. The result is a set of coded-step partitions from which candidate reference haplotypes can be selected.</w:t>
      </w:r>
    </w:p>
    <w:p>
      <w:pPr>
        <w:pStyle w:val="BodyText"/>
        <w:jc w:val="both"/>
      </w:pPr>
      <w:r>
        <w:rPr>
          <w:rFonts w:ascii="Times New Roman" w:hAnsi="Times New Roman" w:cs="Times New Roman" w:eastAsia="Times New Roman"/>
        </w:rPr>
        <w:t xml:space="preserve">For each target haplotype, candidate reference haplotypes are selected based on their co-occurrence with the target in coded-step partitions. The number retained per target (</w:t>
      </w:r>
      <w:r>
        <w:rPr>
          <w:rFonts w:ascii="Times New Roman" w:hAnsi="Times New Roman" w:cs="Times New Roman" w:eastAsia="Times New Roman"/>
          <w:rStyle w:val="VerbatimChar"/>
        </w:rPr>
        <w:t xml:space="preserve">max_candidates</w:t>
      </w:r>
      <w:r>
        <w:rPr>
          <w:rFonts w:ascii="Times New Roman" w:hAnsi="Times New Roman" w:cs="Times New Roman" w:eastAsia="Times New Roman"/>
        </w:rPr>
        <w:t xml:space="preserve">, henceforth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p>
      <w:pPr>
        <w:pStyle w:val="Heading3"/>
        <w:jc w:val="both"/>
      </w:pPr>
      <w:r>
        <w:rPr>
          <w:rFonts w:ascii="Times New Roman" w:hAnsi="Times New Roman" w:cs="Times New Roman" w:eastAsia="Times New Roman"/>
          <w:b/>
          <w:bCs/>
        </w:rPr>
        <w:t xml:space="preserve">Candidate selection and HMM</w:t>
      </w:r>
    </w:p>
    <w:p>
      <w:pPr>
        <w:pStyle w:val="FirstParagraph"/>
        <w:jc w:val="both"/>
      </w:pPr>
      <w:r>
        <w:rPr>
          <w:rFonts w:ascii="Times New Roman" w:hAnsi="Times New Roman" w:cs="Times New Roman" w:eastAsia="Times New Roman"/>
        </w:rP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jc w:val="both"/>
      </w:pPr>
      <w:r>
        <w:rPr>
          <w:rFonts w:ascii="Times New Roman" w:hAnsi="Times New Roman" w:cs="Times New Roman" w:eastAsia="Times New Roman"/>
        </w:rPr>
        <w:t xml:space="preserve">A reduced array is constructed containing only the candidate haplotypes plus the target, and a PBWT forward-backward pass is run on this reduced array. The forward pass uses 32-bit floating-point arithmetic for 2x cache density and SIMD throughput; the backward pass uses 64-bit precision to maintain numerical stability in the recombination probability computation. The per-site recombination probability follows the standard Li-Stephens formulation</w:t>
      </w:r>
      <w:hyperlink w:anchor="ref2">
        <w:r>
          <w:rPr>
            <w:rFonts w:ascii="Times New Roman" w:hAnsi="Times New Roman" w:cs="Times New Roman" w:eastAsia="Times New Roman"/>
            <w:color w:val="0563C1"/>
            <w:vertAlign w:val="superscript"/>
          </w:rPr>
          <w:t xml:space="preserve">2</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d</m:t>
            </m:r>
          </m:e>
          <m:sub>
            <m:r>
              <m:t>k</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genetic distance between consecutive markers in centiMorgans,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effective population size, and</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number of candidate haplotypes. In existing imputation tools,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fixed constant typically calibrated on a single reference panel (e.g.,</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 in Beagle</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or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in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However, the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 sets</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 a linear function of the total number of reference haplotypes:</w:t>
      </w:r>
    </w:p>
    <w:p>
      <w:pPr>
        <w:pStyle w:val="BodyText"/>
        <w:jc w:val="both"/>
      </w:pPr>
      <m:oMathPara>
        <m:oMathParaPr>
          <m:jc m:val="center"/>
        </m:oMathParaPr>
        <m:oMath>
          <m:sSub>
            <m:e>
              <m:r>
                <m:t>N</m:t>
              </m:r>
            </m:e>
            <m:sub>
              <m:r>
                <m:t>e</m:t>
              </m:r>
            </m:sub>
          </m:sSub>
          <m:r>
            <m:rPr>
              <m:sty m:val="p"/>
            </m:rPr>
            <m:t>=</m:t>
          </m:r>
          <m:r>
            <m:t>36.4</m:t>
          </m:r>
          <m:r>
            <m:rPr>
              <m:sty m:val="p"/>
            </m:rPr>
            <m:t>×</m:t>
          </m:r>
          <m:sSub>
            <m:e>
              <m:r>
                <m:t>n</m:t>
              </m:r>
            </m:e>
            <m:sub>
              <m:r>
                <m:rPr>
                  <m:nor/>
                  <m:sty m:val="p"/>
                </m:rPr>
                <m:t>ref,total</m:t>
              </m:r>
            </m:sub>
          </m:sSub>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ref,total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haplotypes in the reference panel (not the number of candidates selected for the HMM). This scaling was derived empirically by optimizing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across three reference panels spanning two orders of magnitude in size: the 1000 Genomes Phase 3 panel (4,802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175,000), a UK Biobank</w:t>
      </w:r>
      <w:hyperlink w:anchor="ref23">
        <w:r>
          <w:rPr>
            <w:rFonts w:ascii="Times New Roman" w:hAnsi="Times New Roman" w:cs="Times New Roman" w:eastAsia="Times New Roman"/>
            <w:color w:val="0563C1"/>
            <w:vertAlign w:val="superscript"/>
          </w:rPr>
          <w:t xml:space="preserve">23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1000 Genomes composite (75,552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2,750,000), and the TOPMed panel (171,054 haplotypes; optimal</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6,200,000). The constant ratio</w:t>
      </w:r>
      <w:r>
        <w:rPr>
          <w:rFonts w:ascii="Times New Roman" w:hAnsi="Times New Roman" w:cs="Times New Roman" w:eastAsia="Times New Roman"/>
        </w:rPr>
        <w:t xml:space="preserve"> </w:t>
      </w:r>
      <m:oMath>
        <m:sSub>
          <m:e>
            <m:r>
              <m:t>N</m:t>
            </m:r>
          </m:e>
          <m:sub>
            <m:r>
              <m:t>e</m:t>
            </m:r>
          </m:sub>
        </m:sSub>
        <m:r>
          <m:rPr>
            <m:sty m:val="p"/>
          </m:rPr>
          <m:t>/</m:t>
        </m:r>
        <m:sSub>
          <m:e>
            <m:r>
              <m:t>n</m:t>
            </m:r>
          </m:e>
          <m:sub>
            <m:r>
              <m:rPr>
                <m:nor/>
                <m:sty m:val="p"/>
              </m:rPr>
              <m:t>ref</m:t>
            </m:r>
          </m:sub>
        </m:sSub>
        <m:r>
          <m:rPr>
            <m:sty m:val="p"/>
          </m:rPr>
          <m:t>≈</m:t>
        </m:r>
        <m:r>
          <m:t>36.4</m:t>
        </m:r>
      </m:oMath>
      <w:r>
        <w:rPr>
          <w:rFonts w:ascii="Times New Roman" w:hAnsi="Times New Roman" w:cs="Times New Roman" w:eastAsia="Times New Roman"/>
        </w:rPr>
        <w:t xml:space="preserve"> </w:t>
      </w:r>
      <w:r>
        <w:rPr>
          <w:rFonts w:ascii="Times New Roman" w:hAnsi="Times New Roman" w:cs="Times New Roman" w:eastAsia="Times New Roman"/>
        </w:rP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maximised at the formula's</w:t>
      </w:r>
      <w:r>
        <w:rPr>
          <w:rFonts w:ascii="Times New Roman" w:hAnsi="Times New Roman" w:cs="Times New Roman" w:eastAsia="Times New Roman"/>
        </w:rPr>
        <w:t xml:space="preserve"> </w:t>
      </w:r>
      <m:oMath>
        <m:sSub>
          <m:e>
            <m:r>
              <m:t>N</m:t>
            </m:r>
          </m:e>
          <m:sub>
            <m:r>
              <m:t>e</m:t>
            </m:r>
          </m:sub>
        </m:sSub>
        <m:r>
          <m:rPr>
            <m:sty m:val="p"/>
          </m:rPr>
          <m:t>≈</m:t>
        </m:r>
        <m:r>
          <m:t>175</m:t>
        </m:r>
        <m:r>
          <m:rPr>
            <m:sty m:val="p"/>
          </m:rPr>
          <m:t>,</m:t>
        </m:r>
        <m:r>
          <m:t>000</m:t>
        </m:r>
      </m:oMath>
      <w:r>
        <w:rPr>
          <w:rFonts w:ascii="Times New Roman" w:hAnsi="Times New Roman" w:cs="Times New Roman" w:eastAsia="Times New Roman"/>
        </w:rPr>
        <w:t xml:space="preserve">, while rare variants favour a lower</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(≈50,000) and common variants a higher one (≈350,000), so the single formula value balances a genuine rare-versus-common tradeoff rather than sitting at either extreme.</w:t>
      </w:r>
    </w:p>
    <w:p>
      <w:pPr>
        <w:pStyle w:val="BodyText"/>
        <w:jc w:val="both"/>
      </w:pPr>
      <w:r>
        <w:rPr>
          <w:rFonts w:ascii="Times New Roman" w:hAnsi="Times New Roman" w:cs="Times New Roman" w:eastAsia="Times New Roman"/>
        </w:rPr>
        <w:t xml:space="preserve">The effective population size is further calibrated per site using a MAF-adaptive scheme: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set to</w:t>
      </w:r>
      <w:r>
        <w:rPr>
          <w:rFonts w:ascii="Times New Roman" w:hAnsi="Times New Roman" w:cs="Times New Roman" w:eastAsia="Times New Roman"/>
        </w:rPr>
        <w:t xml:space="preserve"> </w:t>
      </w:r>
      <m:oMath>
        <m:r>
          <m:t>0.85</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rare variants (MAF &lt; 0.5%) and</w:t>
      </w:r>
      <w:r>
        <w:rPr>
          <w:rFonts w:ascii="Times New Roman" w:hAnsi="Times New Roman" w:cs="Times New Roman" w:eastAsia="Times New Roman"/>
        </w:rPr>
        <w:t xml:space="preserve"> </w:t>
      </w:r>
      <m:oMath>
        <m:r>
          <m:t>1.2</m:t>
        </m:r>
        <m:r>
          <m:rPr>
            <m:sty m:val="p"/>
          </m:rPr>
          <m:t>×</m:t>
        </m:r>
        <m:sSub>
          <m:e>
            <m:r>
              <m:t>N</m:t>
            </m:r>
          </m:e>
          <m:sub>
            <m:r>
              <m:t>e</m:t>
            </m:r>
            <m:r>
              <m:rPr>
                <m:sty m:val="p"/>
              </m:rPr>
              <m:t>,</m:t>
            </m:r>
            <m:r>
              <m:rPr>
                <m:nor/>
                <m:sty m:val="p"/>
              </m:rPr>
              <m:t>base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common variants (MAF &gt; 2%), with a smooth logistic transition between. When the diploid phasing engine is used, the</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estimated by EM during burn-in (see Diploid engine, above) may additionally inform the imputation HMM. Users may override the automatic</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b/>
          <w:bCs/>
        </w:rPr>
        <w:t xml:space="preserve">Adaptive candidate-set sizing.</w:t>
      </w:r>
      <w:r>
        <w:rPr>
          <w:rFonts w:ascii="Times New Roman" w:hAnsi="Times New Roman" w:cs="Times New Roman" w:eastAsia="Times New Roman"/>
        </w:rPr>
        <w:t xml:space="preserve"> </w:t>
      </w:r>
      <w:r>
        <w:rPr>
          <w:rFonts w:ascii="Times New Roman" w:hAnsi="Times New Roman" w:cs="Times New Roman" w:eastAsia="Times New Roman"/>
        </w:rPr>
        <w:t xml:space="preserve">The maximum number of reference haplotypes retained per target, denoted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henceforth, is set automatically as a function of reference panel size and panel diversity. A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(for example</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generates a panel-relative truncation rate that varies by two orders of magnitude across panels:</w:t>
      </w:r>
      <w:r>
        <w:rPr>
          <w:rFonts w:ascii="Times New Roman" w:hAnsi="Times New Roman" w:cs="Times New Roman" w:eastAsia="Times New Roman"/>
        </w:rPr>
        <w:t xml:space="preserve"> </w:t>
      </w:r>
      <m:oMath>
        <m:sSub>
          <m:e>
            <m:r>
              <m:t>m</m:t>
            </m:r>
          </m:e>
          <m:sub>
            <m:r>
              <m:t>c</m:t>
            </m:r>
          </m:sub>
        </m:sSub>
        <m:r>
          <m:rPr>
            <m:sty m:val="p"/>
          </m:rPr>
          <m:t>=</m:t>
        </m:r>
        <m:r>
          <m:t>2</m:t>
        </m:r>
        <m:r>
          <m:rPr>
            <m:sty m:val="p"/>
          </m:rPr>
          <m:t>,</m:t>
        </m:r>
        <m:r>
          <m:t>500</m:t>
        </m:r>
      </m:oMath>
      <w:r>
        <w:rPr>
          <w:rFonts w:ascii="Times New Roman" w:hAnsi="Times New Roman" w:cs="Times New Roman" w:eastAsia="Times New Roman"/>
        </w:rPr>
        <w:t xml:space="preserve"> </w:t>
      </w:r>
      <w:r>
        <w:rPr>
          <w:rFonts w:ascii="Times New Roman" w:hAnsi="Times New Roman" w:cs="Times New Roman" w:eastAsia="Times New Roman"/>
        </w:rP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losses concentrated on low-frequency variants in admixed cohorts.</w:t>
      </w:r>
    </w:p>
    <w:p>
      <w:pPr>
        <w:pStyle w:val="BodyText"/>
        <w:jc w:val="both"/>
      </w:pPr>
      <w:r>
        <w:rPr>
          <w:rFonts w:ascii="Times New Roman" w:hAnsi="Times New Roman" w:cs="Times New Roman" w:eastAsia="Times New Roman"/>
        </w:rPr>
        <w:t xml:space="preserve">Selphi 2 resolves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automatically as</w:t>
      </w:r>
    </w:p>
    <w:p>
      <w:pPr>
        <w:pStyle w:val="BodyText"/>
        <w:jc w:val="both"/>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the total number of reference haplotypes,</w:t>
      </w:r>
      <w:r>
        <w:rPr>
          <w:rFonts w:ascii="Times New Roman" w:hAnsi="Times New Roman" w:cs="Times New Roman" w:eastAsia="Times New Roman"/>
        </w:rPr>
        <w:t xml:space="preserve"> </w:t>
      </w:r>
      <m:oMath>
        <m:r>
          <m:t>γ</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base fraction,</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w:t>
      </w:r>
      <w:r>
        <w:rPr>
          <w:rFonts w:ascii="Times New Roman" w:hAnsi="Times New Roman" w:cs="Times New Roman" w:eastAsia="Times New Roman"/>
        </w:rPr>
        <w:t xml:space="preserve">is a diversity-coupled fraction, and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coefficient of variation of compressed tile sizes in the SRP, computed once at panel load.</w:t>
      </w:r>
      <w:r>
        <w:rPr>
          <w:rFonts w:ascii="Times New Roman" w:hAnsi="Times New Roman" w:cs="Times New Roman" w:eastAsia="Times New Roman"/>
        </w:rPr>
        <w:t xml:space="preserve"> </w:t>
      </w:r>
      <m:oMath>
        <m:sSub>
          <m:e>
            <m:r>
              <m:rPr>
                <m:sty m:val="p"/>
              </m:rPr>
              <m:t>C</m:t>
            </m:r>
            <m:r>
              <m:rPr>
                <m:sty m:val="p"/>
              </m:rPr>
              <m:t>V</m:t>
            </m:r>
          </m:e>
          <m:sub>
            <m:r>
              <m:rPr>
                <m:nor/>
                <m:sty m:val="p"/>
              </m:rPr>
              <m:t>panel</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is a proxy for haplotype-pattern diversity: panels containing multiple distinct mosaic structures (multiple ancestries, divergent sub-populations) compress less uniformly than ancestrally homogeneous panels, yielding higher CV.</w:t>
      </w:r>
    </w:p>
    <w:p>
      <w:pPr>
        <w:pStyle w:val="BodyText"/>
        <w:jc w:val="both"/>
      </w:pPr>
      <w:r>
        <w:rPr>
          <w:rFonts w:ascii="Times New Roman" w:hAnsi="Times New Roman" w:cs="Times New Roman" w:eastAsia="Times New Roman"/>
          <w:b/>
          <w:bCs/>
        </w:rPr>
        <w:t xml:space="preserve">Choice of</w:t>
      </w:r>
      <w:r>
        <w:rPr>
          <w:rFonts w:ascii="Times New Roman" w:hAnsi="Times New Roman" w:cs="Times New Roman" w:eastAsia="Times New Roman"/>
          <w:b/>
          <w:bCs/>
        </w:rPr>
        <w:t xml:space="preserve"> </w:t>
      </w:r>
      <m:oMath>
        <m:r>
          <m:t>γ</m:t>
        </m:r>
      </m:oMath>
      <w:r>
        <w:rPr>
          <w:rFonts w:ascii="Times New Roman" w:hAnsi="Times New Roman" w:cs="Times New Roman" w:eastAsia="Times New Roman"/>
          <w:b/>
          <w:bCs/>
        </w:rPr>
        <w:t xml:space="preserve">,</w:t>
      </w:r>
      <w:r>
        <w:rPr>
          <w:rFonts w:ascii="Times New Roman" w:hAnsi="Times New Roman" w:cs="Times New Roman" w:eastAsia="Times New Roman"/>
          <w:b/>
          <w:bCs/>
        </w:rPr>
        <w:t xml:space="preserve"> </w:t>
      </w:r>
      <m:oMath>
        <m:r>
          <m:t>α</m:t>
        </m:r>
      </m:oMath>
      <w:r>
        <w:rPr>
          <w:rFonts w:ascii="Times New Roman" w:hAnsi="Times New Roman" w:cs="Times New Roman" w:eastAsia="Times New Roman"/>
          <w:b/>
          <w:bCs/>
        </w:rPr>
        <w:t xml:space="preserve">, and the small-panel rule.</w:t>
      </w:r>
      <w:r>
        <w:rPr>
          <w:rFonts w:ascii="Times New Roman" w:hAnsi="Times New Roman" w:cs="Times New Roman" w:eastAsia="Times New Roman"/>
        </w:rPr>
        <w:t xml:space="preserve"> </w:t>
      </w:r>
      <w:r>
        <w:rPr>
          <w:rFonts w:ascii="Times New Roman" w:hAnsi="Times New Roman" w:cs="Times New Roman" w:eastAsia="Times New Roman"/>
        </w:rP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entire panel</w:t>
      </w:r>
      <w:r>
        <w:rPr>
          <w:rFonts w:ascii="Times New Roman" w:hAnsi="Times New Roman" w:cs="Times New Roman" w:eastAsia="Times New Roman"/>
        </w:rPr>
        <w:t xml:space="preserve"> </w:t>
      </w:r>
      <w:r>
        <w:rPr>
          <w:rFonts w:ascii="Times New Roman" w:hAnsi="Times New Roman" w:cs="Times New Roman" w:eastAsia="Times New Roman"/>
        </w:rPr>
        <w:t xml:space="preserve">as the conditioning set when it contains at most 16,000 haplotypes (≈8,000 samples), applying the formula</w:t>
      </w:r>
      <w:r>
        <w:rPr>
          <w:rFonts w:ascii="Times New Roman" w:hAnsi="Times New Roman" w:cs="Times New Roman" w:eastAsia="Times New Roman"/>
        </w:rP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γ</m:t>
        </m:r>
        <m:r>
          <m:rPr>
            <m:sty m:val="p"/>
          </m:rPr>
          <m:t>=</m:t>
        </m:r>
        <m:r>
          <m:t>0.10</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α</m:t>
        </m:r>
        <m:r>
          <m:rPr>
            <m:sty m:val="p"/>
          </m:rPr>
          <m:t>=</m:t>
        </m:r>
        <m:r>
          <m:t>0.80</m:t>
        </m:r>
      </m:oMath>
      <w:r>
        <w:rPr>
          <w:rFonts w:ascii="Times New Roman" w:hAnsi="Times New Roman" w:cs="Times New Roman" w:eastAsia="Times New Roman"/>
        </w:rPr>
        <w:t xml:space="preserve">, only above that size (the result is additionally capped at</w:t>
      </w:r>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rPr>
          <w:rFonts w:ascii="Times New Roman" w:hAnsi="Times New Roman" w:cs="Times New Roman" w:eastAsia="Times New Roman"/>
        </w:rPr>
        <w:t xml:space="preserve"> </w:t>
      </w:r>
      <m:oMath>
        <m:sSub>
          <m:e>
            <m:r>
              <m:t>m</m:t>
            </m:r>
          </m:e>
          <m:sub>
            <m:r>
              <m:t>c</m:t>
            </m:r>
          </m:sub>
        </m:sSub>
        <m:r>
          <m:rPr>
            <m:sty m:val="p"/>
          </m:rPr>
          <m:t>=</m:t>
        </m:r>
        <m:r>
          <m:t>132</m:t>
        </m:r>
        <m:r>
          <m:rPr>
            <m:sty m:val="p"/>
          </m:rPr>
          <m:t>,</m:t>
        </m:r>
        <m:r>
          <m:t>676</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the TOPMed panel (</w:t>
      </w:r>
      <m:oMath>
        <m:sSub>
          <m:e>
            <m:r>
              <m:rPr>
                <m:sty m:val="p"/>
              </m:rPr>
              <m:t>C</m:t>
            </m:r>
            <m:r>
              <m:rPr>
                <m:sty m:val="p"/>
              </m:rPr>
              <m:t>V</m:t>
            </m:r>
          </m:e>
          <m:sub>
            <m:r>
              <m:rPr>
                <m:nor/>
                <m:sty m:val="p"/>
              </m:rPr>
              <m:t>panel</m:t>
            </m:r>
          </m:sub>
        </m:sSub>
        <m:r>
          <m:rPr>
            <m:sty m:val="p"/>
          </m:rPr>
          <m:t>=</m:t>
        </m:r>
        <m:r>
          <m:t>0.845</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sSub>
          <m:e>
            <m:r>
              <m:t>N</m:t>
            </m:r>
          </m:e>
          <m:sub>
            <m:r>
              <m:rPr>
                <m:nor/>
                <m:sty m:val="p"/>
              </m:rPr>
              <m:t>ref</m:t>
            </m:r>
          </m:sub>
        </m:sSub>
        <m:r>
          <m:rPr>
            <m:sty m:val="p"/>
          </m:rPr>
          <m:t>=</m:t>
        </m:r>
        <m:r>
          <m:t>171</m:t>
        </m:r>
        <m:r>
          <m:rPr>
            <m:sty m:val="p"/>
          </m:rPr>
          <m:t>,</m:t>
        </m:r>
        <m:r>
          <m:t>054</m:t>
        </m:r>
      </m:oMath>
      <w:r>
        <w:rPr>
          <w:rFonts w:ascii="Times New Roman" w:hAnsi="Times New Roman" w:cs="Times New Roman" w:eastAsia="Times New Roman"/>
        </w:rPr>
        <w:t xml:space="preserve">; 78% of the panel). Users may override the automatic</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with a fixed value for reproducibility with prior results.</w:t>
      </w:r>
    </w:p>
    <w:p>
      <w:pPr>
        <w:pStyle w:val="BodyText"/>
        <w:jc w:val="both"/>
      </w:pPr>
      <w:r>
        <w:rPr>
          <w:rFonts w:ascii="Times New Roman" w:hAnsi="Times New Roman" w:cs="Times New Roman" w:eastAsia="Times New Roman"/>
        </w:rPr>
        <w:t xml:space="preserve">The resulting HMM posterior weights are stored as sparse CSR matrices (row-per-chip-variant, column-per-reference-haplotype), with entries below</w:t>
      </w:r>
      <w:r>
        <w:rPr>
          <w:rFonts w:ascii="Times New Roman" w:hAnsi="Times New Roman" w:cs="Times New Roman" w:eastAsia="Times New Roman"/>
        </w:rPr>
        <w:t xml:space="preserve"> </w:t>
      </w:r>
      <m:oMath>
        <m:r>
          <m:t>1</m:t>
        </m:r>
        <m:r>
          <m:rPr>
            <m:sty m:val="p"/>
          </m:rPr>
          <m:t>/</m:t>
        </m:r>
        <m:r>
          <m:rPr>
            <m:sty m:val="p"/>
          </m:rPr>
          <m:t>(</m:t>
        </m:r>
        <m:r>
          <m:t>H</m:t>
        </m:r>
        <m:r>
          <m:rPr>
            <m:sty m:val="p"/>
          </m:rPr>
          <m:t>+</m:t>
        </m:r>
        <m:r>
          <m:t>1</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set to zero.</w:t>
      </w:r>
    </w:p>
    <w:p>
      <w:pPr>
        <w:pStyle w:val="Heading3"/>
        <w:jc w:val="both"/>
      </w:pPr>
      <w:r>
        <w:rPr>
          <w:rFonts w:ascii="Times New Roman" w:hAnsi="Times New Roman" w:cs="Times New Roman" w:eastAsia="Times New Roman"/>
          <w:b/>
          <w:bCs/>
        </w:rPr>
        <w:t xml:space="preserve">Interpolation and output</w:t>
      </w:r>
    </w:p>
    <w:p>
      <w:pPr>
        <w:pStyle w:val="FirstParagraph"/>
        <w:jc w:val="both"/>
      </w:pPr>
      <w:r>
        <w:rPr>
          <w:rFonts w:ascii="Times New Roman" w:hAnsi="Times New Roman" w:cs="Times New Roman" w:eastAsia="Times New Roman"/>
        </w:rPr>
        <w:t xml:space="preserve">Between consecutive shared-variant positions (chip sites), imputed dosages at reference-panel-only positions are computed by linear interpolation of the HMM-derived haplotype weights, following the standard approach</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color w:val="0563C1"/>
          <w:vertAlign w:val="superscript"/>
        </w:rPr>
        <w:t xml:space="preserve">,</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w:t>
      </w:r>
    </w:p>
    <w:p>
      <w:pPr>
        <w:pStyle w:val="BodyText"/>
        <w:jc w:val="both"/>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sSub>
          <m:e>
            <m:r>
              <m:t>w</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interpolated weight of reference haplotype r at position j, and</w:t>
      </w:r>
      <w:r>
        <w:rPr>
          <w:rFonts w:ascii="Times New Roman" w:hAnsi="Times New Roman" w:cs="Times New Roman" w:eastAsia="Times New Roman"/>
        </w:rPr>
        <w:t xml:space="preserve"> </w:t>
      </w:r>
      <m:oMath>
        <m:sSub>
          <m:e>
            <m:r>
              <m:t>x</m:t>
            </m:r>
          </m:e>
          <m:sub>
            <m:r>
              <m:t>r</m:t>
            </m:r>
          </m:sub>
        </m:sSub>
        <m:r>
          <m:rPr>
            <m:sty m:val="p"/>
          </m:rPr>
          <m:t>(</m:t>
        </m:r>
        <m:r>
          <m:t>j</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jc w:val="both"/>
      </w:pPr>
      <w:r>
        <w:rPr>
          <w:rFonts w:ascii="Times New Roman" w:hAnsi="Times New Roman" w:cs="Times New Roman" w:eastAsia="Times New Roman"/>
        </w:rPr>
        <w:t xml:space="preserve">Interpolation operates on tiles of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jc w:val="both"/>
      </w:pPr>
      <w:r>
        <w:rPr>
          <w:rFonts w:ascii="Times New Roman" w:hAnsi="Times New Roman" w:cs="Times New Roman" w:eastAsia="Times New Roman"/>
        </w:rPr>
        <w:t xml:space="preserve">The per-variant dosage R-squared (DR2) quality metric</w:t>
      </w:r>
      <w:hyperlink w:anchor="ref24">
        <w:r>
          <w:rPr>
            <w:rFonts w:ascii="Times New Roman" w:hAnsi="Times New Roman" w:cs="Times New Roman" w:eastAsia="Times New Roman"/>
            <w:color w:val="0563C1"/>
            <w:vertAlign w:val="superscript"/>
          </w:rPr>
          <w:t xml:space="preserve">24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computed using a numerically stable two-pass method:</w:t>
      </w:r>
    </w:p>
    <w:p>
      <w:pPr>
        <w:pStyle w:val="BodyText"/>
        <w:jc w:val="both"/>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jc w:val="both"/>
      </w:pPr>
      <w:r>
        <w:rPr>
          <w:rFonts w:ascii="Times New Roman" w:hAnsi="Times New Roman" w:cs="Times New Roman" w:eastAsia="Times New Roman"/>
        </w:rPr>
        <w:t xml:space="preserve">where</w:t>
      </w:r>
      <w:r>
        <w:rPr>
          <w:rFonts w:ascii="Times New Roman" w:hAnsi="Times New Roman" w:cs="Times New Roman" w:eastAsia="Times New Roman"/>
        </w:rP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rPr>
          <w:rFonts w:ascii="Times New Roman" w:hAnsi="Times New Roman" w:cs="Times New Roman" w:eastAsia="Times New Roman"/>
        </w:rPr>
        <w:t xml:space="preserve"> </w:t>
      </w:r>
      <w:r>
        <w:rPr>
          <w:rFonts w:ascii="Times New Roman" w:hAnsi="Times New Roman" w:cs="Times New Roman" w:eastAsia="Times New Roman"/>
        </w:rPr>
        <w:t xml:space="preserve">is the estimated alternate allele frequency, and var(dosage) is computed as the mean of squared deviations from the mean (avoiding the numerically unstable single-pass</w:t>
      </w:r>
      <w:r>
        <w:rPr>
          <w:rFonts w:ascii="Times New Roman" w:hAnsi="Times New Roman" w:cs="Times New Roman" w:eastAsia="Times New Roman"/>
        </w:rP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formula).</w:t>
      </w:r>
    </w:p>
    <w:p>
      <w:pPr>
        <w:pStyle w:val="BodyText"/>
        <w:jc w:val="both"/>
      </w:pPr>
      <w:r>
        <w:rPr>
          <w:rFonts w:ascii="Times New Roman" w:hAnsi="Times New Roman" w:cs="Times New Roman" w:eastAsia="Times New Roman"/>
        </w:rPr>
        <w:t xml:space="preserve">To accelerate VCF output formatting, a fast path is employed for samples with trivial dosages: when both haplotype probabilities are below 0.005 (homozygous reference) or above 0.995 (homozygous alternate), a pre-compiled constant string is written directly, bypassing all floating-point-to-string conversion. For rare variants (MAF &lt; 1%), more than 99% of samples follow this fast path.</w:t>
      </w:r>
    </w:p>
    <w:p>
      <w:pPr>
        <w:pStyle w:val="BodyText"/>
        <w:jc w:val="both"/>
      </w:pPr>
      <w:r>
        <w:rPr>
          <w:rFonts w:ascii="Times New Roman" w:hAnsi="Times New Roman" w:cs="Times New Roman" w:eastAsia="Times New Roman"/>
        </w:rPr>
        <w:t xml:space="preserve">Selphi 2 supports five output formats from a single interpolation pass: VCF.gz (multi-threaded BGZF compression), native BCF 2.2</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Apache Parquet (zstd-compressed, variant-major columnar layout), PLINK2 PGEN</w:t>
      </w:r>
      <w:hyperlink w:anchor="ref11">
        <w:r>
          <w:rPr>
            <w:rFonts w:ascii="Times New Roman" w:hAnsi="Times New Roman" w:cs="Times New Roman" w:eastAsia="Times New Roman"/>
            <w:color w:val="0563C1"/>
            <w:vertAlign w:val="superscript"/>
          </w:rPr>
          <w:t xml:space="preserve">11</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(mode 0x03 with fixed-width records containing 2-bit hardcalls and 16-bit unphased dosage), and SelfDecode format (per-sample chunked Parquet in a ZIP archive). The VCF/BCF output channel uses a dedicated writer thread with a bounded synchronous channel (capacity 64 blocks), decoupling interpolation throughput from I/O throughput. All output formats use the same two-pass DR2 computation, ensuring consistent quality metrics regardless of format choice.</w:t>
      </w:r>
    </w:p>
    <w:p>
      <w:pPr>
        <w:pStyle w:val="Heading3"/>
        <w:jc w:val="both"/>
      </w:pPr>
      <w:r>
        <w:rPr>
          <w:rFonts w:ascii="Times New Roman" w:hAnsi="Times New Roman" w:cs="Times New Roman" w:eastAsia="Times New Roman"/>
          <w:b/>
          <w:bCs/>
        </w:rPr>
        <w:t xml:space="preserve">Low-coverage sequencing imputation engine</w:t>
      </w:r>
    </w:p>
    <w:p>
      <w:pPr>
        <w:pStyle w:val="FirstParagraph"/>
        <w:jc w:val="both"/>
      </w:pPr>
      <w:r>
        <w:rPr>
          <w:rFonts w:ascii="Times New Roman" w:hAnsi="Times New Roman" w:cs="Times New Roman" w:eastAsia="Times New Roman"/>
        </w:rPr>
        <w:t xml:space="preserve">The phasing-and-imputation pipeline above targets array-genotyped data, where the input is a set of confident hard genotype calls at chip sites. Low-coverage whole-genome sequencing (lcWGS) presents a different inference problem: at 0.5-2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most sites carry no confident call but a soft genotype likelihood (GL) derived from one or two reads. Selphi 2 provides a dedicated lcWGS engine, selected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that reuses the reference-panel ingestion (SRP),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HaplotypeBitmatrix</w:t>
      </w:r>
      <w:r>
        <w:rPr>
          <w:rFonts w:ascii="Times New Roman" w:hAnsi="Times New Roman" w:cs="Times New Roman" w:eastAsia="Times New Roman"/>
        </w:rPr>
        <w:t xml:space="preserve">, the genetic map, and the output writers, but replaces the hard-call HMM with a genotype-likelihood-aware Li-Stephens model.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established that this regime is best addressed by imputing directly from genotype likelihoods rather than from hard calls; we benchmark against it in Results.</w:t>
      </w:r>
    </w:p>
    <w:p>
      <w:pPr>
        <w:pStyle w:val="BodyText"/>
        <w:jc w:val="both"/>
      </w:pPr>
      <w:r>
        <w:rPr>
          <w:rFonts w:ascii="Times New Roman" w:hAnsi="Times New Roman" w:cs="Times New Roman" w:eastAsia="Times New Roman"/>
        </w:rPr>
        <w:t xml:space="preserve">The engine reads per-sample Phred-scaled genotype likelihoods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PL</w:t>
      </w:r>
      <w:r>
        <w:rPr>
          <w:rFonts w:ascii="Times New Roman" w:hAnsi="Times New Roman" w:cs="Times New Roman" w:eastAsia="Times New Roman"/>
        </w:rPr>
        <w:t xml:space="preserve"> </w:t>
      </w:r>
      <w:r>
        <w:rPr>
          <w:rFonts w:ascii="Times New Roman" w:hAnsi="Times New Roman" w:cs="Times New Roman" w:eastAsia="Times New Roman"/>
        </w:rPr>
        <w:t xml:space="preserve">field produced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 | call</w:t>
      </w:r>
      <w:r>
        <w:rPr>
          <w:rFonts w:ascii="Times New Roman" w:hAnsi="Times New Roman" w:cs="Times New Roman" w:eastAsia="Times New Roman"/>
        </w:rP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rPr>
          <w:rFonts w:ascii="Times New Roman" w:hAnsi="Times New Roman" w:cs="Times New Roman" w:eastAsia="Times New Roman"/>
        </w:rPr>
        <w:t xml:space="preserve"> </w:t>
      </w:r>
      <w:r>
        <w:rPr>
          <w:rFonts w:ascii="Times New Roman" w:hAnsi="Times New Roman" w:cs="Times New Roman" w:eastAsia="Times New Roman"/>
        </w:rPr>
        <w:t xml:space="preserve">if the base matches else</w:t>
      </w:r>
      <w:r>
        <w:rPr>
          <w:rFonts w:ascii="Times New Roman" w:hAnsi="Times New Roman" w:cs="Times New Roman" w:eastAsia="Times New Roman"/>
        </w:rPr>
        <w:t xml:space="preserve"> </w:t>
      </w:r>
      <m:oMath>
        <m:r>
          <m:t>ε</m:t>
        </m:r>
        <m:r>
          <m:rPr>
            <m:sty m:val="p"/>
          </m:rPr>
          <m:t>/</m:t>
        </m:r>
        <m:r>
          <m:t>3</m:t>
        </m:r>
      </m:oMath>
      <w:r>
        <w:rPr>
          <w:rFonts w:ascii="Times New Roman" w:hAnsi="Times New Roman" w:cs="Times New Roman" w:eastAsia="Times New Roman"/>
        </w:rPr>
        <w:t xml:space="preserve">, with</w:t>
      </w:r>
      <w:r>
        <w:rPr>
          <w:rFonts w:ascii="Times New Roman" w:hAnsi="Times New Roman" w:cs="Times New Roman" w:eastAsia="Times New Roman"/>
        </w:rPr>
        <w:t xml:space="preserve"> </w:t>
      </w:r>
      <m:oMath>
        <m:r>
          <m:t>ε</m:t>
        </m:r>
        <m:r>
          <m:rPr>
            <m:sty m:val="p"/>
          </m:rPr>
          <m:t>=</m:t>
        </m:r>
        <m:sSup>
          <m:e>
            <m:r>
              <m:t>10</m:t>
            </m:r>
          </m:e>
          <m:sup>
            <m:r>
              <m:rPr>
                <m:sty m:val="p"/>
              </m:rPr>
              <m:t>−</m:t>
            </m:r>
            <m:r>
              <m:t>Q</m:t>
            </m:r>
            <m:r>
              <m:rPr>
                <m:sty m:val="p"/>
              </m:rPr>
              <m:t>/</m:t>
            </m:r>
            <m:r>
              <m:t>10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and the heterozygous term</w:t>
      </w:r>
      <w:r>
        <w:rPr>
          <w:rFonts w:ascii="Times New Roman" w:hAnsi="Times New Roman" w:cs="Times New Roman" w:eastAsia="Times New Roman"/>
        </w:rP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rPr>
          <w:rFonts w:ascii="Times New Roman" w:hAnsi="Times New Roman" w:cs="Times New Roman" w:eastAsia="Times New Roman"/>
        </w:rPr>
        <w:t xml:space="preserve">), filtered by mapping and base quality; the result matches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Fonts w:ascii="Times New Roman" w:hAnsi="Times New Roman" w:cs="Times New Roman" w:eastAsia="Times New Roman"/>
          <w:rStyle w:val="VerbatimChar"/>
        </w:rPr>
        <w:t xml:space="preserve">.bai</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.crai</w:t>
      </w:r>
      <w:r>
        <w:rPr>
          <w:rFonts w:ascii="Times New Roman" w:hAnsi="Times New Roman" w:cs="Times New Roman" w:eastAsia="Times New Roman"/>
        </w:rPr>
        <w:t xml:space="preserve">) is used to decode only the requested span. Indel panel sites are imputed flat from the haplotype scaffold by default, as in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REF</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w:t>
      </w:r>
      <w:r>
        <w:rPr>
          <w:rFonts w:ascii="Times New Roman" w:hAnsi="Times New Roman" w:cs="Times New Roman" w:eastAsia="Times New Roman"/>
        </w:rPr>
        <w:t xml:space="preserve"> </w:t>
      </w:r>
      <m:oMath>
        <m:r>
          <m:t>P</m:t>
        </m:r>
        <m:r>
          <m:rPr>
            <m:sty m:val="p"/>
          </m:rPr>
          <m:t>(</m:t>
        </m:r>
        <m:r>
          <m:rPr>
            <m:nor/>
            <m:sty m:val="p"/>
          </m:rPr>
          <m:t>read</m:t>
        </m:r>
        <m:r>
          <m:t> </m:t>
        </m:r>
        <m:r>
          <m:rPr>
            <m:sty m:val="p"/>
          </m:rPr>
          <m:t>|</m:t>
        </m:r>
        <m:r>
          <m:t> </m:t>
        </m:r>
        <m:r>
          <m:rPr>
            <m:nor/>
            <m:sty m:val="p"/>
          </m:rPr>
          <m:t>ALT</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into the genotype likelihoods as for a SNP. To verify that this in-process pileup is faithful to the external</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mpileup</w:t>
      </w:r>
      <w:r>
        <w:rPr>
          <w:rFonts w:ascii="Times New Roman" w:hAnsi="Times New Roman" w:cs="Times New Roman" w:eastAsia="Times New Roman"/>
        </w:rPr>
        <w:t xml:space="preserve"> </w:t>
      </w:r>
      <w:r>
        <w:rPr>
          <w:rFonts w:ascii="Times New Roman" w:hAnsi="Times New Roman" w:cs="Times New Roman" w:eastAsia="Times New Roman"/>
        </w:rPr>
        <w:t xml:space="preserve">path, we ran a downsampling check (a 52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sample reduced to 1</w:t>
      </w:r>
      <m:oMath>
        <m:r>
          <m:rPr>
            <m:sty m:val="p"/>
          </m:rPr>
          <m:t>×</m:t>
        </m:r>
      </m:oMath>
      <w:r>
        <w:rPr>
          <w:rFonts w:ascii="Times New Roman" w:hAnsi="Times New Roman" w:cs="Times New Roman" w:eastAsia="Times New Roman"/>
        </w:rPr>
        <w:t xml:space="preserve">, with the full-depth calls as truth): Selphi 2's native pileup attains per-allele-frequency-bin aggregate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Posterior dosages from the post-burn-in iterations are averaged for the output, written as VCF.gz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GT:DS:GP</w:t>
      </w:r>
      <w:r>
        <w:rPr>
          <w:rFonts w:ascii="Times New Roman" w:hAnsi="Times New Roman" w:cs="Times New Roman" w:eastAsia="Times New Roman"/>
        </w:rPr>
        <w:t xml:space="preserve"> </w:t>
      </w:r>
      <w:r>
        <w:rPr>
          <w:rFonts w:ascii="Times New Roman" w:hAnsi="Times New Roman" w:cs="Times New Roman" w:eastAsia="Times New Roman"/>
        </w:rP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jc w:val="both"/>
      </w:pPr>
      <w:r>
        <w:rPr>
          <w:rFonts w:ascii="Times New Roman" w:hAnsi="Times New Roman" w:cs="Times New Roman" w:eastAsia="Times New Roman"/>
        </w:rP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 bit-packed conditioning representation loads 16 reference alleles directly as a mask register), with a scalar fallback on other hosts; the selection step accumulates IBS match lengths in a per-target sparse map rather than a dense target</w:t>
      </w:r>
      <m:oMath>
        <m:r>
          <m:rPr>
            <m:sty m:val="p"/>
          </m:rPr>
          <m:t>×</m:t>
        </m:r>
      </m:oMath>
      <w:r>
        <w:rPr>
          <w:rFonts w:ascii="Times New Roman" w:hAnsi="Times New Roman" w:cs="Times New Roman" w:eastAsia="Times New Roman"/>
        </w:rPr>
        <w:t xml:space="preserve">panel matrix, so its memory is independent of panel haplotype count.</w:t>
      </w:r>
    </w:p>
    <w:p>
      <w:pPr>
        <w:pStyle w:val="Heading3"/>
        <w:jc w:val="both"/>
      </w:pPr>
      <w:r>
        <w:rPr>
          <w:rFonts w:ascii="Times New Roman" w:hAnsi="Times New Roman" w:cs="Times New Roman" w:eastAsia="Times New Roman"/>
          <w:b/>
          <w:bCs/>
        </w:rPr>
        <w:t xml:space="preserve">Sparse Reference Panel format (SRP)</w:t>
      </w:r>
    </w:p>
    <w:p>
      <w:pPr>
        <w:pStyle w:val="FirstParagraph"/>
        <w:jc w:val="both"/>
      </w:pPr>
      <w:r>
        <w:rPr>
          <w:rFonts w:ascii="Times New Roman" w:hAnsi="Times New Roman" w:cs="Times New Roman" w:eastAsia="Times New Roman"/>
        </w:rPr>
        <w:t xml:space="preserve">The SRP format stores reference panel haplotypes as a 2D tiled sparse matrix. Each tile covers 1,024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jc w:val="both"/>
      </w:pPr>
      <w:r>
        <w:rPr>
          <w:rFonts w:ascii="Times New Roman" w:hAnsi="Times New Roman" w:cs="Times New Roman" w:eastAsia="Times New Roman"/>
        </w:rPr>
        <w:t xml:space="preserve">SRP creation is fully streaming: source data (BCF, VCF, or BREF3</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rPr>
        <w:t xml:space="preserve">) is processed chunk-by-chunk, with each source chunk decompressed once and scattered to tile columns in parallel. Completed stripes are flushed to disk immediately, keeping peak memory below 500 MB for any panel size. The parallel BCF reader uses CSI index</w:t>
      </w:r>
      <w:hyperlink w:anchor="ref25">
        <w:r>
          <w:rPr>
            <w:rFonts w:ascii="Times New Roman" w:hAnsi="Times New Roman" w:cs="Times New Roman" w:eastAsia="Times New Roman"/>
            <w:color w:val="0563C1"/>
            <w:vertAlign w:val="superscript"/>
          </w:rPr>
          <w:t xml:space="preserve">25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unbref3</w:t>
      </w:r>
      <w:r>
        <w:rPr>
          <w:rFonts w:ascii="Times New Roman" w:hAnsi="Times New Roman" w:cs="Times New Roman" w:eastAsia="Times New Roman"/>
        </w:rPr>
        <w:t xml:space="preserve"> </w:t>
      </w:r>
      <w:r>
        <w:rPr>
          <w:rFonts w:ascii="Times New Roman" w:hAnsi="Times New Roman" w:cs="Times New Roman" w:eastAsia="Times New Roman"/>
        </w:rPr>
        <w:t xml:space="preserve">and the per-stage intermediate files it requires; the decode is lossless, reproducing the panel genotypes byte-for-byte on an SRP round-trip (Results).</w:t>
      </w:r>
    </w:p>
    <w:p>
      <w:pPr>
        <w:pStyle w:val="BodyText"/>
        <w:jc w:val="both"/>
      </w:pPr>
      <w:r>
        <w:rPr>
          <w:rFonts w:ascii="Times New Roman" w:hAnsi="Times New Roman" w:cs="Times New Roman" w:eastAsia="Times New Roman"/>
        </w:rP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p>
      <w:pPr>
        <w:pStyle w:val="Heading3"/>
        <w:jc w:val="both"/>
      </w:pPr>
      <w:r>
        <w:rPr>
          <w:rFonts w:ascii="Times New Roman" w:hAnsi="Times New Roman" w:cs="Times New Roman" w:eastAsia="Times New Roman"/>
          <w:b/>
          <w:bCs/>
        </w:rPr>
        <w:t xml:space="preserve">Multi-chromosome processing</w:t>
      </w:r>
    </w:p>
    <w:p>
      <w:pPr>
        <w:pStyle w:val="FirstParagraph"/>
        <w:jc w:val="both"/>
      </w:pPr>
      <w:r>
        <w:rPr>
          <w:rFonts w:ascii="Times New Roman" w:hAnsi="Times New Roman" w:cs="Times New Roman" w:eastAsia="Times New Roman"/>
        </w:rP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jc w:val="both"/>
      </w:pPr>
      <w:r>
        <w:rPr>
          <w:rFonts w:ascii="Times New Roman" w:hAnsi="Times New Roman" w:cs="Times New Roman" w:eastAsia="Times New Roman"/>
        </w:rP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jc w:val="both"/>
      </w:pPr>
      <w:r>
        <w:rPr>
          <w:rFonts w:ascii="Times New Roman" w:hAnsi="Times New Roman" w:cs="Times New Roman" w:eastAsia="Times New Roman"/>
        </w:rPr>
        <w:t xml:space="preserve">Output is written to a single VCF/BCF file across all chromosomes, with per-chromosome BGZF blocks concatenated natively (preserving block alignment for tabix/CSI indexing).</w:t>
      </w:r>
    </w:p>
    <w:p>
      <w:pPr>
        <w:pStyle w:val="Heading3"/>
        <w:jc w:val="both"/>
      </w:pPr>
      <w:r>
        <w:rPr>
          <w:rFonts w:ascii="Times New Roman" w:hAnsi="Times New Roman" w:cs="Times New Roman" w:eastAsia="Times New Roman"/>
          <w:b/>
          <w:bCs/>
        </w:rPr>
        <w:t xml:space="preserve">LD correction</w:t>
      </w:r>
    </w:p>
    <w:p>
      <w:pPr>
        <w:pStyle w:val="FirstParagraph"/>
        <w:jc w:val="both"/>
      </w:pPr>
      <w:r>
        <w:rPr>
          <w:rFonts w:ascii="Times New Roman" w:hAnsi="Times New Roman" w:cs="Times New Roman" w:eastAsia="Times New Roman"/>
        </w:rPr>
        <w:t xml:space="preserve">Genetic map distances used in the HMM transition probabilities are corrected for local linkage disequilibrium (LD) patterns</w:t>
      </w:r>
      <w:hyperlink w:anchor="ref26">
        <w:r>
          <w:rPr>
            <w:rFonts w:ascii="Times New Roman" w:hAnsi="Times New Roman" w:cs="Times New Roman" w:eastAsia="Times New Roman"/>
            <w:color w:val="0563C1"/>
            <w:vertAlign w:val="superscript"/>
          </w:rPr>
          <w:t xml:space="preserve">26</w:t>
        </w:r>
      </w:hyperlink>
      <w:r>
        <w:rPr>
          <w:rFonts w:ascii="Times New Roman" w:hAnsi="Times New Roman" w:cs="Times New Roman" w:eastAsia="Times New Roman"/>
        </w:rP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p>
      <w:pPr>
        <w:pStyle w:val="Heading3"/>
        <w:jc w:val="both"/>
      </w:pPr>
      <w:r>
        <w:rPr>
          <w:rFonts w:ascii="Times New Roman" w:hAnsi="Times New Roman" w:cs="Times New Roman" w:eastAsia="Times New Roman"/>
          <w:b/>
          <w:bCs/>
        </w:rPr>
        <w:t xml:space="preserve">Reference panels and relatedness</w:t>
      </w:r>
    </w:p>
    <w:p>
      <w:pPr>
        <w:pStyle w:val="FirstParagraph"/>
        <w:jc w:val="both"/>
      </w:pPr>
      <w:r>
        <w:rPr>
          <w:rFonts w:ascii="Times New Roman" w:hAnsi="Times New Roman" w:cs="Times New Roman" w:eastAsia="Times New Roman"/>
        </w:rPr>
        <w:t xml:space="preserve">Five reference panels are used.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(2,401 samples, 4,802 haplotypes) is used with its published phasing; the 801 evaluation targets are a disjoint held-out subset.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no-trios</w:t>
      </w:r>
      <w:r>
        <w:rPr>
          <w:rFonts w:ascii="Times New Roman" w:hAnsi="Times New Roman" w:cs="Times New Roman" w:eastAsia="Times New Roman"/>
        </w:rPr>
        <w:t xml:space="preserve"> </w:t>
      </w:r>
      <w:r>
        <w:rPr>
          <w:rFonts w:ascii="Times New Roman" w:hAnsi="Times New Roman" w:cs="Times New Roman" w:eastAsia="Times New Roman"/>
        </w:rPr>
        <w:t xml:space="preserve">panel (2,239 samples, 4,478 haplotypes), used for the phasing and low-coverage benchmarks, is the 1000 Genomes cohort with all declared trio offspring and parents removed.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out-of-panel</w:t>
      </w:r>
      <w:r>
        <w:rPr>
          <w:rFonts w:ascii="Times New Roman" w:hAnsi="Times New Roman" w:cs="Times New Roman" w:eastAsia="Times New Roman"/>
        </w:rPr>
        <w:t xml:space="preserve"> </w:t>
      </w:r>
      <w:r>
        <w:rPr>
          <w:rFonts w:ascii="Times New Roman" w:hAnsi="Times New Roman" w:cs="Times New Roman" w:eastAsia="Times New Roman"/>
        </w:rPr>
        <w:t xml:space="preserve">benchmark uses the 3,166 1000 Genomes samples of the gnomAD Human Genome Diversity Project and 1000 Genomes harmonized callset (6,332 haplotypes) as the panel and the 925 HGDP individuals as targets.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panel (37,776 samples) combines 34,582 UK Biobank whole-genome sequences, ancestry-balanced by down-sampling the majority European-ancestry set, with the full 1000 Genomes cohort (3,194 samples), phased with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its ancestry composition is approximately 49% European, 22% South Asian, 19% African, 10% East Asian and 1% admixed-American. The</w:t>
      </w:r>
      <w:r>
        <w:rPr>
          <w:rFonts w:ascii="Times New Roman" w:hAnsi="Times New Roman" w:cs="Times New Roman" w:eastAsia="Times New Roman"/>
        </w:rPr>
        <w:t xml:space="preserve"> </w:t>
      </w:r>
      <w:r>
        <w:rPr>
          <w:rFonts w:ascii="Times New Roman" w:hAnsi="Times New Roman" w:cs="Times New Roman" w:eastAsia="Times New Roman"/>
          <w:b/>
          <w:bCs/>
        </w:rPr>
        <w:t xml:space="preserve">TOPMed Freeze 8</w:t>
      </w:r>
      <w:r>
        <w:rPr>
          <w:rFonts w:ascii="Times New Roman" w:hAnsi="Times New Roman" w:cs="Times New Roman" w:eastAsia="Times New Roman"/>
        </w:rPr>
        <w:t xml:space="preserve"> </w:t>
      </w:r>
      <w:r>
        <w:rPr>
          <w:rFonts w:ascii="Times New Roman" w:hAnsi="Times New Roman" w:cs="Times New Roman" w:eastAsia="Times New Roman"/>
        </w:rPr>
        <w:t xml:space="preserve">panel (171,054 haplotypes, 85,527 samples) is a TOPMed Freeze 8 reference panel from which the MESA study samples were removed, so the 5,000 MESA evaluation targets are held out from it.</w:t>
      </w:r>
    </w:p>
    <w:p>
      <w:pPr>
        <w:pStyle w:val="BodyText"/>
        <w:jc w:val="both"/>
      </w:pPr>
      <w:r>
        <w:rPr>
          <w:rFonts w:ascii="Times New Roman" w:hAnsi="Times New Roman" w:cs="Times New Roman" w:eastAsia="Times New Roman"/>
        </w:rP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rPr>
          <w:rFonts w:ascii="Times New Roman" w:hAnsi="Times New Roman" w:cs="Times New Roman" w:eastAsia="Times New Roman"/>
        </w:rPr>
        <w:t xml:space="preserve"> </w:t>
      </w:r>
      <w:r>
        <w:rPr>
          <w:rFonts w:ascii="Times New Roman" w:hAnsi="Times New Roman" w:cs="Times New Roman" w:eastAsia="Times New Roman"/>
          <w:i/>
          <w:iCs/>
        </w:rPr>
        <w:t xml:space="preserve">evaluation targets</w:t>
      </w:r>
      <w:r>
        <w:rPr>
          <w:rFonts w:ascii="Times New Roman" w:hAnsi="Times New Roman" w:cs="Times New Roman" w:eastAsia="Times New Roman"/>
        </w:rP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p>
      <w:pPr>
        <w:pStyle w:val="Heading3"/>
        <w:jc w:val="both"/>
      </w:pPr>
      <w:r>
        <w:rPr>
          <w:rFonts w:ascii="Times New Roman" w:hAnsi="Times New Roman" w:cs="Times New Roman" w:eastAsia="Times New Roman"/>
          <w:b/>
          <w:bCs/>
        </w:rPr>
        <w:t xml:space="preserve">Consumer-array benchmark: data preparation and evaluation</w:t>
      </w:r>
    </w:p>
    <w:p>
      <w:pPr>
        <w:pStyle w:val="FirstParagraph"/>
        <w:jc w:val="both"/>
      </w:pPr>
      <w:r>
        <w:rPr>
          <w:rFonts w:ascii="Times New Roman" w:hAnsi="Times New Roman" w:cs="Times New Roman" w:eastAsia="Times New Roman"/>
        </w:rPr>
        <w:t xml:space="preserve">For the consumer-array benchmark (Results,</w:t>
      </w:r>
      <w:r>
        <w:rPr>
          <w:rFonts w:ascii="Times New Roman" w:hAnsi="Times New Roman" w:cs="Times New Roman" w:eastAsia="Times New Roman"/>
        </w:rPr>
        <w:t xml:space="preserve"> </w:t>
      </w:r>
      <w:r>
        <w:rPr>
          <w:rFonts w:ascii="Times New Roman" w:hAnsi="Times New Roman" w:cs="Times New Roman" w:eastAsia="Times New Roman"/>
          <w:i/>
          <w:iCs/>
        </w:rPr>
        <w:t xml:space="preserve">Imputation accuracy on consumer arrays against high-coverage WGS truth</w:t>
      </w:r>
      <w:r>
        <w:rPr>
          <w:rFonts w:ascii="Times New Roman" w:hAnsi="Times New Roman" w:cs="Times New Roman" w:eastAsia="Times New Roman"/>
        </w:rPr>
        <w:t xml:space="preserve">; Table 3),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rPr>
          <w:rFonts w:ascii="Times New Roman" w:hAnsi="Times New Roman" w:cs="Times New Roman" w:eastAsia="Times New Roman"/>
        </w:rPr>
        <w:t xml:space="preserve">). All six were confirmed absent from the reference panel before any analysis.</w:t>
      </w:r>
    </w:p>
    <w:p>
      <w:pPr>
        <w:pStyle w:val="BodyText"/>
        <w:jc w:val="both"/>
      </w:pPr>
      <w:r>
        <w:rPr>
          <w:rFonts w:ascii="Times New Roman" w:hAnsi="Times New Roman" w:cs="Times New Roman" w:eastAsia="Times New Roman"/>
          <w:i/>
          <w:iCs/>
        </w:rPr>
        <w:t xml:space="preserve">Truth construction.</w:t>
      </w:r>
      <w:r>
        <w:rPr>
          <w:rFonts w:ascii="Times New Roman" w:hAnsi="Times New Roman" w:cs="Times New Roman" w:eastAsia="Times New Roman"/>
        </w:rPr>
        <w:t xml:space="preserve"> </w:t>
      </w:r>
      <w:r>
        <w:rPr>
          <w:rFonts w:ascii="Times New Roman" w:hAnsi="Times New Roman" w:cs="Times New Roman" w:eastAsia="Times New Roman"/>
        </w:rPr>
        <w:t xml:space="preserve">DRAGEN hard-filtered WGS calls were normalized and decomposed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norm -m-any</w:t>
      </w:r>
      <w:r>
        <w:rPr>
          <w:rFonts w:ascii="Times New Roman" w:hAnsi="Times New Roman" w:cs="Times New Roman" w:eastAsia="Times New Roman"/>
        </w:rPr>
        <w:t xml:space="preserve"> </w:t>
      </w:r>
      <w:r>
        <w:rPr>
          <w:rFonts w:ascii="Times New Roman" w:hAnsi="Times New Roman" w:cs="Times New Roman" w:eastAsia="Times New Roman"/>
        </w:rPr>
        <w:t xml:space="preserve">against the GRCh38 reference, then restricted to high-confidence genotypes by requiring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genotype quality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 ≥ 20</w:t>
      </w:r>
      <w:r>
        <w:rPr>
          <w:rFonts w:ascii="Times New Roman" w:hAnsi="Times New Roman" w:cs="Times New Roman" w:eastAsia="Times New Roman"/>
        </w:rPr>
        <w:t xml:space="preserve">, and read depth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DP ≥ 10</w:t>
      </w:r>
      <w:r>
        <w:rPr>
          <w:rFonts w:ascii="Times New Roman" w:hAnsi="Times New Roman" w:cs="Times New Roman" w:eastAsia="Times New Roman"/>
        </w:rPr>
        <w:t xml:space="preserve">. This removed roughly 13% of raw calls on average across the six samples (9% to 14% per sample; e.g. 4.98M to 4.34M for one sample);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FILTER=PASS</w:t>
      </w:r>
      <w:r>
        <w:rPr>
          <w:rFonts w:ascii="Times New Roman" w:hAnsi="Times New Roman" w:cs="Times New Roman" w:eastAsia="Times New Roman"/>
        </w:rPr>
        <w:t xml:space="preserve"> </w:t>
      </w:r>
      <w:r>
        <w:rPr>
          <w:rFonts w:ascii="Times New Roman" w:hAnsi="Times New Roman" w:cs="Times New Roman" w:eastAsia="Times New Roman"/>
        </w:rPr>
        <w:t xml:space="preserve">alone retained many low-confidence calls (genotypes supported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GQ</w:t>
      </w:r>
      <w:r>
        <w:rPr>
          <w:rFonts w:ascii="Times New Roman" w:hAnsi="Times New Roman" w:cs="Times New Roman" w:eastAsia="Times New Roman"/>
        </w:rPr>
        <w:t xml:space="preserve"> </w:t>
      </w:r>
      <w:r>
        <w:rPr>
          <w:rFonts w:ascii="Times New Roman" w:hAnsi="Times New Roman" w:cs="Times New Roman" w:eastAsia="Times New Roman"/>
        </w:rPr>
        <w:t xml:space="preserve">as low as 5) and was insufficient. Both SNPs and indels were retained and evaluated separately. The high-confidence set defines the truth genotype at every site it contains.</w:t>
      </w:r>
    </w:p>
    <w:p>
      <w:pPr>
        <w:pStyle w:val="BodyText"/>
        <w:jc w:val="both"/>
      </w:pPr>
      <w:r>
        <w:rPr>
          <w:rFonts w:ascii="Times New Roman" w:hAnsi="Times New Roman" w:cs="Times New Roman" w:eastAsia="Times New Roman"/>
          <w:i/>
          <w:iCs/>
        </w:rPr>
        <w:t xml:space="preserve">Array input.</w:t>
      </w:r>
      <w:r>
        <w:rPr>
          <w:rFonts w:ascii="Times New Roman" w:hAnsi="Times New Roman" w:cs="Times New Roman" w:eastAsia="Times New Roman"/>
        </w:rPr>
        <w:t xml:space="preserve"> </w:t>
      </w:r>
      <w:r>
        <w:rPr>
          <w:rFonts w:ascii="Times New Roman" w:hAnsi="Times New Roman" w:cs="Times New Roman" w:eastAsia="Times New Roman"/>
        </w:rP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jc w:val="both"/>
      </w:pPr>
      <w:r>
        <w:rPr>
          <w:rFonts w:ascii="Times New Roman" w:hAnsi="Times New Roman" w:cs="Times New Roman" w:eastAsia="Times New Roman"/>
          <w:i/>
          <w:iCs/>
        </w:rPr>
        <w:t xml:space="preserve">Imputation.</w:t>
      </w:r>
      <w:r>
        <w:rPr>
          <w:rFonts w:ascii="Times New Roman" w:hAnsi="Times New Roman" w:cs="Times New Roman" w:eastAsia="Times New Roman"/>
        </w:rPr>
        <w:t xml:space="preserve"> </w:t>
      </w:r>
      <w:r>
        <w:rPr>
          <w:rFonts w:ascii="Times New Roman" w:hAnsi="Times New Roman" w:cs="Times New Roman" w:eastAsia="Times New Roman"/>
        </w:rPr>
        <w:t xml:space="preserve">The array cohort was imputed against the 75,552-haplotype reference panel with each tool given the same per-chromosome genetic map. For the "Beagle-phased" rows, both Selphi 2 and Selphi 1.5.3 were given Beagle's phase-only output as their phased input, isolating the imputation step from phasing quality; the "haploid"/"diploid" rows use Selphi 2's internal phasing engines. Beagle 5.5 (build 03 Oct 2025) was run as a full phase-plus-impute pipeline against the same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w:t>
      </w:r>
    </w:p>
    <w:p>
      <w:pPr>
        <w:pStyle w:val="BodyText"/>
        <w:jc w:val="both"/>
      </w:pPr>
      <w:r>
        <w:rPr>
          <w:rFonts w:ascii="Times New Roman" w:hAnsi="Times New Roman" w:cs="Times New Roman" w:eastAsia="Times New Roman"/>
          <w:i/>
          <w:iCs/>
        </w:rPr>
        <w:t xml:space="preserve">Evaluation.</w:t>
      </w:r>
      <w:r>
        <w:rPr>
          <w:rFonts w:ascii="Times New Roman" w:hAnsi="Times New Roman" w:cs="Times New Roman" w:eastAsia="Times New Roman"/>
        </w:rPr>
        <w:t xml:space="preserve"> </w:t>
      </w:r>
      <w:r>
        <w:rPr>
          <w:rFonts w:ascii="Times New Roman" w:hAnsi="Times New Roman" w:cs="Times New Roman" w:eastAsia="Times New Roman"/>
        </w:rPr>
        <w:t xml:space="preserve">For each sample, variant class (SNP, indel), and chromosome we computed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 95% confidence interval obtained from 20,000 paired bootstrap resamples of the six per-sample differences, and a two-sided exact Wilcoxon signed-rank test; with n = 6 paired samples the smallest attainable two-sided p value is 0.031.</w:t>
      </w:r>
    </w:p>
    <w:p>
      <w:pPr>
        <w:pStyle w:val="Heading3"/>
        <w:jc w:val="both"/>
      </w:pPr>
      <w:r>
        <w:rPr>
          <w:rFonts w:ascii="Times New Roman" w:hAnsi="Times New Roman" w:cs="Times New Roman" w:eastAsia="Times New Roman"/>
          <w:b/>
          <w:bCs/>
        </w:rPr>
        <w:t xml:space="preserve">Comparator tools and versions</w:t>
      </w:r>
    </w:p>
    <w:p>
      <w:pPr>
        <w:pStyle w:val="FirstParagraph"/>
        <w:jc w:val="both"/>
      </w:pPr>
      <w:r>
        <w:rPr>
          <w:rFonts w:ascii="Times New Roman" w:hAnsi="Times New Roman" w:cs="Times New Roman" w:eastAsia="Times New Roman"/>
        </w:rP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bref3</w:t>
      </w:r>
      <w:r>
        <w:rPr>
          <w:rFonts w:ascii="Times New Roman" w:hAnsi="Times New Roman" w:cs="Times New Roman" w:eastAsia="Times New Roman"/>
        </w:rPr>
        <w:t xml:space="preserve"> </w:t>
      </w:r>
      <w:r>
        <w:rPr>
          <w:rFonts w:ascii="Times New Roman" w:hAnsi="Times New Roman" w:cs="Times New Roman" w:eastAsia="Times New Roman"/>
        </w:rPr>
        <w:t xml:space="preserve">form. IMPUTE5 v1.1.5 was run after converting the panel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imp5Convert</w:t>
      </w:r>
      <w:r>
        <w:rPr>
          <w:rFonts w:ascii="Times New Roman" w:hAnsi="Times New Roman" w:cs="Times New Roman" w:eastAsia="Times New Roman"/>
        </w:rPr>
        <w:t xml:space="preserve">, and Minimac4 v4.1.6 after converting the panel to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msav</w:t>
      </w:r>
      <w:r>
        <w:rPr>
          <w:rFonts w:ascii="Times New Roman" w:hAnsi="Times New Roman" w:cs="Times New Roman" w:eastAsia="Times New Roman"/>
        </w:rPr>
        <w:t xml:space="preserve"> </w:t>
      </w:r>
      <w:r>
        <w:rPr>
          <w:rFonts w:ascii="Times New Roman" w:hAnsi="Times New Roman" w:cs="Times New Roman" w:eastAsia="Times New Roman"/>
        </w:rPr>
        <w:t xml:space="preserve">(the current Minimac4 panel format; the deprecated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m3vcf</w:t>
      </w:r>
      <w:r>
        <w:rPr>
          <w:rFonts w:ascii="Times New Roman" w:hAnsi="Times New Roman" w:cs="Times New Roman" w:eastAsia="Times New Roman"/>
        </w:rPr>
        <w:t xml:space="preserve"> </w:t>
      </w:r>
      <w:r>
        <w:rPr>
          <w:rFonts w:ascii="Times New Roman" w:hAnsi="Times New Roman" w:cs="Times New Roman" w:eastAsia="Times New Roman"/>
        </w:rPr>
        <w:t xml:space="preserve">was not used). Phasing was compared against SHAPEIT5 v5.1.1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followed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Low-coverage imputation was compared against GLIMPSE2 (native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phase</w:t>
      </w:r>
      <w:r>
        <w:rPr>
          <w:rFonts w:ascii="Times New Roman" w:hAnsi="Times New Roman" w:cs="Times New Roman" w:eastAsia="Times New Roman"/>
        </w:rPr>
        <w:t xml:space="preserve">/</w:t>
      </w:r>
      <w:r>
        <w:rPr>
          <w:rFonts w:ascii="Times New Roman" w:hAnsi="Times New Roman" w:cs="Times New Roman" w:eastAsia="Times New Roman"/>
          <w:rStyle w:val="VerbatimChar"/>
        </w:rPr>
        <w:t xml:space="preserve">ligate</w:t>
      </w:r>
      <w:r>
        <w:rPr>
          <w:rFonts w:ascii="Times New Roman" w:hAnsi="Times New Roman" w:cs="Times New Roman" w:eastAsia="Times New Roman"/>
        </w:rPr>
        <w:t xml:space="preserve">) and QUILT2, each deriving genotype likelihoods from the same BAM files with its own in-process pileup. The original Selphi 1.5.3 was run from its published Docker image with the published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--chunk_size 10000</w:t>
      </w:r>
      <w:r>
        <w:rPr>
          <w:rFonts w:ascii="Times New Roman" w:hAnsi="Times New Roman" w:cs="Times New Roman" w:eastAsia="Times New Roman"/>
        </w:rPr>
        <w:t xml:space="preserve"> </w:t>
      </w:r>
      <w:r>
        <w:rPr>
          <w:rFonts w:ascii="Times New Roman" w:hAnsi="Times New Roman" w:cs="Times New Roman" w:eastAsia="Times New Roman"/>
        </w:rPr>
        <w:t xml:space="preserve">configuration. We verified that these defaults do not disadvantage the comparators: on the 1000 Genomes chromosome-22 benchmark, varying Beagle 5.5's window from 20 to 80 cM changed its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less than 0.0001, consistent with the near-insensitivity to window size reported by its authors; IMPUTE5's and Minimac4's default conditioning-state and blocking parameters are likewise the settings their authors recommend for large reference panels.</w:t>
      </w:r>
    </w:p>
    <w:p>
      <w:pPr>
        <w:pStyle w:val="Heading1"/>
        <w:jc w:val="both"/>
      </w:pPr>
      <w:r>
        <w:rPr>
          <w:rFonts w:ascii="Times New Roman" w:hAnsi="Times New Roman" w:cs="Times New Roman" w:eastAsia="Times New Roman"/>
          <w:b/>
          <w:bCs/>
        </w:rPr>
        <w:t xml:space="preserve">Results</w:t>
      </w:r>
    </w:p>
    <w:p>
      <w:pPr>
        <w:pStyle w:val="FirstParagraph"/>
        <w:jc w:val="both"/>
      </w:pPr>
      <w:r>
        <w:rPr>
          <w:rFonts w:ascii="Times New Roman" w:hAnsi="Times New Roman" w:cs="Times New Roman" w:eastAsia="Times New Roman"/>
        </w:rPr>
        <w:t xml:space="preserve">We evaluated Selphi 2 against Beagle 5.5 and the original Selphi 1.5.3 on three reference panels spanning two orders of magnitude in size: the 1000 Genomes Phase 3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(4,802 haplotypes), the TOPMed Freeze 8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computed against held-out whole-genome-sequenced truth, stratified by minor allele frequency (MAF) in the reference panel. All benchmarks were run on the same machine with 16 threads.</w:t>
      </w:r>
    </w:p>
    <w:p>
      <w:pPr>
        <w:pStyle w:val="Heading2"/>
        <w:jc w:val="both"/>
      </w:pPr>
      <w:r>
        <w:rPr>
          <w:rFonts w:ascii="Times New Roman" w:hAnsi="Times New Roman" w:cs="Times New Roman" w:eastAsia="Times New Roman"/>
          <w:b/>
          <w:bCs/>
        </w:rPr>
        <w:t xml:space="preserve">Imputation accuracy on the 1000 Genomes Phase 3 reference panel</w:t>
      </w:r>
    </w:p>
    <w:p>
      <w:pPr>
        <w:pStyle w:val="FirstParagraph"/>
        <w:jc w:val="both"/>
      </w:pPr>
      <w:r>
        <w:rPr>
          <w:rFonts w:ascii="Times New Roman" w:hAnsi="Times New Roman" w:cs="Times New Roman" w:eastAsia="Times New Roman"/>
        </w:rPr>
        <w:t xml:space="preserve">On chromosome 22 of the 1000 Genomes Phase 3 panel (4,802 haplotypes, 1,070,401 variants) imputed for 801 held-out samples, Selphi 2's default diploid engine attains an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0.4832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1 caption). The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0.9159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each tool). The same comparison on chromosome 1 (5,769,087 variants) gives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0.5739 (Selphi 2) versus 0.5640 (Beagle 5.5), and per-sample mean 0.9564 versus 0.9507, a per-sample gain of +0.0057 (95% CI [+0.0056, +0.0059]) that favours Selphi 2 in all 801 of 801 samples. Selphi 2 attains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of the four tools in every MAF bin from 0.1% upward on chromosome 22, and exceeds Beagle 5.5 in every bin from 0.1% upward on chromosome 1; only at the rarest bin (MAF 0.05-0.1%) does Beagle 5.5 narrowly lead (Table 1). Aggregated genome-wide across 20 autosomes (chromosomes 8 and 11 excluded, where Beagle aborted on a duplicate panel marker, so all four tools span the identical chromosome set), the same ordering holds: Selphi 2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0.5838 versus 0.5764 (Beagle 5.5), 0.5668 (Minimac4) and 0.5635 (IMPUTE5), and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0.9548 versus 0.9503, 0.9481 and 0.9471 respectively, leading every MAF bin above the rarest (Figure 2a). Minimac4 and IMPUTE5 were imputed on all 22 autosomes against the identical phased target and 1000 Genomes panel; their call sets were re-scored here with the identical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metric (the genome-wide aggregate above and in Figure 2a spans the 20-autosome set; Table 1 reports their per-MAF detail on chromosome 22). Selphi 2 and Beagle 5.5 were additionally re-run genome-wide with the current release. Extended per-MAF detail is in Supplementary Table S1 (chr22 and chr1) and Supplementary Table S9 (the genome-wide four-way breakdown underlying Figure 2a). On a like-for-like impute-only basis (the mode in which the original Selphi 1.5.3, which requires pre-phased input, is run), Selphi 2 matches or exceeds Selphi 1.5.3 across the frequency spectrum: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0.4776 versus 0.4703 (chr22) and 0.5643 versus 0.5581 (chr1), Selphi 2 higher at every bin from the rarest through low frequency, the two within ≈0.001 (seed-level noise) at the most common bins (Supplementary Table S12) — the Rust reimplementation preserves, and at rare frequencies improves on, Selphi 1's imputation accuracy.</w:t>
      </w:r>
    </w:p>
    <w:p>
      <w:pPr>
        <w:pStyle w:val="BodyText"/>
        <w:jc w:val="both"/>
      </w:pPr>
      <w:r>
        <w:rPr>
          <w:rFonts w:ascii="Times New Roman" w:hAnsi="Times New Roman" w:cs="Times New Roman" w:eastAsia="Times New Roman"/>
          <w:b/>
          <w:bCs/>
        </w:rPr>
        <w:t xml:space="preserve">Table 1.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the 1000 Genomes Phase 3 panel, by MAF.</w:t>
      </w:r>
      <w:r>
        <w:rPr>
          <w:rFonts w:ascii="Times New Roman" w:hAnsi="Times New Roman" w:cs="Times New Roman" w:eastAsia="Times New Roman"/>
        </w:rPr>
        <w:t xml:space="preserve"> </w:t>
      </w:r>
      <w:r>
        <w:rPr>
          <w:rFonts w:ascii="Times New Roman" w:hAnsi="Times New Roman" w:cs="Times New Roman" w:eastAsia="Times New Roman"/>
        </w:rPr>
        <w:t xml:space="preserve">Each cell reports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and Minimac4 were each given the identical phased target and the identical 1000 Genomes reference panel and were evaluated on chromosome 22; Beagle 5.5 and Selphi 2 were additionally evaluated on chromosome 1. Bold marks the highest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647"/>
        <w:gridCol w:w="1214"/>
        <w:gridCol w:w="1214"/>
        <w:gridCol w:w="1357"/>
        <w:gridCol w:w="1500"/>
        <w:gridCol w:w="1214"/>
        <w:gridCol w:w="1214"/>
      </w:tblGrid>
      <w:tr>
        <w:trPr>
          <w:tblHeader w:val="on"/>
        </w:trPr>
        <w:tc>
          <w:tcPr>
            <w:shd w:val="clear" w:color="auto" w:fill="595959"/>
            <w:vAlign w:val="center"/>
            <w:tcW w:type="dxa" w:w="164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chr22 Beagle 5.5</w:t>
            </w:r>
          </w:p>
        </w:tc>
        <w:tc>
          <w:tcPr>
            <w:shd w:val="clear" w:color="auto" w:fill="595959"/>
            <w:vAlign w:val="center"/>
            <w:tcW w:type="dxa" w:w="1357"/>
          </w:tcPr>
          <w:p>
            <w:pPr>
              <w:pStyle w:val="Compact"/>
              <w:jc w:val="center"/>
            </w:pPr>
            <w:r>
              <w:rPr>
                <w:rFonts w:ascii="Times New Roman" w:hAnsi="Times New Roman" w:cs="Times New Roman" w:eastAsia="Times New Roman"/>
                <w:b/>
                <w:color w:val="FFFFFF"/>
                <w:sz w:val="20"/>
              </w:rPr>
              <w:t xml:space="preserve">chr22 IMPUTE5</w:t>
            </w:r>
          </w:p>
        </w:tc>
        <w:tc>
          <w:tcPr>
            <w:shd w:val="clear" w:color="auto" w:fill="595959"/>
            <w:vAlign w:val="center"/>
            <w:tcW w:type="dxa" w:w="1500"/>
          </w:tcPr>
          <w:p>
            <w:pPr>
              <w:pStyle w:val="Compact"/>
              <w:jc w:val="center"/>
            </w:pPr>
            <w:r>
              <w:rPr>
                <w:rFonts w:ascii="Times New Roman" w:hAnsi="Times New Roman" w:cs="Times New Roman" w:eastAsia="Times New Roman"/>
                <w:b/>
                <w:color w:val="FFFFFF"/>
                <w:sz w:val="20"/>
              </w:rPr>
              <w:t xml:space="preserve">chr22 Minimac4</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214"/>
          </w:tcPr>
          <w:p>
            <w:pPr>
              <w:pStyle w:val="Compact"/>
              <w:jc w:val="center"/>
            </w:pPr>
            <w:r>
              <w:rPr>
                <w:rFonts w:ascii="Times New Roman" w:hAnsi="Times New Roman" w:cs="Times New Roman" w:eastAsia="Times New Roman"/>
                <w:b/>
                <w:color w:val="FFFFFF"/>
                <w:sz w:val="20"/>
              </w:rPr>
              <w:t xml:space="preserve">chr1 Beagle 5.5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0.2768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0.2800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0.2613</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0.2757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0.3616</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0.3638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0.3262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0.3177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0.3029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0.3155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0.4175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0.4065</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0.4237</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0.4073</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0.3936</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0.4010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0.5134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0.4950</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0.5074</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0.4866</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0.4763</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0.4807</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0.6146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0.5924</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0.5719</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0.5480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0.5415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0.5442</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0.6805</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0.6578</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0.6758</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0.6519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0.6486</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0.6503</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0.7556</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0.7338</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0.7591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0.7385</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0.7355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0.7358</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0.8500</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0.8343</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0.7955</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0.7789</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0.7769</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0.7731</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0.9010</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0.8901</w:t>
            </w:r>
          </w:p>
        </w:tc>
      </w:tr>
      <w:tr>
        <w:tc>
          <w:tcPr>
            <w:shd w:val="clear" w:color="auto" w:fill="FFFFFF"/>
            <w:vAlign w:val="center"/>
            <w:tcW w:type="dxa" w:w="1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0.8414</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0.8270</w:t>
            </w:r>
          </w:p>
        </w:tc>
        <w:tc>
          <w:tcPr>
            <w:shd w:val="clear" w:color="auto" w:fill="FFFFFF"/>
            <w:vAlign w:val="center"/>
            <w:tcW w:type="dxa" w:w="1357"/>
          </w:tcPr>
          <w:p>
            <w:pPr>
              <w:pStyle w:val="Compact"/>
              <w:jc w:val="center"/>
            </w:pPr>
            <w:r>
              <w:rPr>
                <w:rFonts w:ascii="Times New Roman" w:hAnsi="Times New Roman" w:cs="Times New Roman" w:eastAsia="Times New Roman"/>
                <w:sz w:val="20"/>
              </w:rPr>
              <w:t xml:space="preserve">0.8255</w:t>
            </w:r>
          </w:p>
        </w:tc>
        <w:tc>
          <w:tcPr>
            <w:shd w:val="clear" w:color="auto" w:fill="FFFFFF"/>
            <w:vAlign w:val="center"/>
            <w:tcW w:type="dxa" w:w="1500"/>
          </w:tcPr>
          <w:p>
            <w:pPr>
              <w:pStyle w:val="Compact"/>
              <w:jc w:val="center"/>
            </w:pPr>
            <w:r>
              <w:rPr>
                <w:rFonts w:ascii="Times New Roman" w:hAnsi="Times New Roman" w:cs="Times New Roman" w:eastAsia="Times New Roman"/>
                <w:sz w:val="20"/>
              </w:rPr>
              <w:t xml:space="preserve">0.8215</w:t>
            </w:r>
          </w:p>
        </w:tc>
        <w:tc>
          <w:tcPr>
            <w:shd w:val="clear" w:color="auto" w:fill="FFFFFF"/>
            <w:vAlign w:val="center"/>
            <w:tcW w:type="dxa" w:w="1214"/>
          </w:tcPr>
          <w:p>
            <w:pPr>
              <w:pStyle w:val="Compact"/>
              <w:jc w:val="center"/>
            </w:pPr>
            <w:r>
              <w:rPr>
                <w:rFonts w:ascii="Times New Roman" w:hAnsi="Times New Roman" w:cs="Times New Roman" w:eastAsia="Times New Roman"/>
                <w:b/>
                <w:bCs/>
                <w:sz w:val="20"/>
              </w:rPr>
              <w:t xml:space="preserve">0.9311</w:t>
            </w:r>
          </w:p>
        </w:tc>
        <w:tc>
          <w:tcPr>
            <w:shd w:val="clear" w:color="auto" w:fill="FFFFFF"/>
            <w:vAlign w:val="center"/>
            <w:tcW w:type="dxa" w:w="1214"/>
          </w:tcPr>
          <w:p>
            <w:pPr>
              <w:pStyle w:val="Compact"/>
              <w:jc w:val="center"/>
            </w:pPr>
            <w:r>
              <w:rPr>
                <w:rFonts w:ascii="Times New Roman" w:hAnsi="Times New Roman" w:cs="Times New Roman" w:eastAsia="Times New Roman"/>
                <w:sz w:val="20"/>
              </w:rPr>
              <w:t xml:space="preserve">0.9231</w:t>
            </w:r>
          </w:p>
        </w:tc>
      </w:tr>
      <w:tr>
        <w:tc>
          <w:tcPr>
            <w:shd w:val="clear" w:color="auto" w:fill="E7E6E6"/>
            <w:vAlign w:val="center"/>
            <w:tcW w:type="dxa" w:w="1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357"/>
          </w:tcPr>
          <w:p>
            <w:pPr>
              <w:pStyle w:val="Compact"/>
              <w:jc w:val="center"/>
            </w:pPr>
            <w:r>
              <w:rPr>
                <w:rFonts w:ascii="Times New Roman" w:hAnsi="Times New Roman" w:cs="Times New Roman" w:eastAsia="Times New Roman"/>
                <w:sz w:val="20"/>
              </w:rPr>
              <w:t xml:space="preserve">0.4594</w:t>
            </w:r>
          </w:p>
        </w:tc>
        <w:tc>
          <w:tcPr>
            <w:shd w:val="clear" w:color="auto" w:fill="E7E6E6"/>
            <w:vAlign w:val="center"/>
            <w:tcW w:type="dxa" w:w="1500"/>
          </w:tcPr>
          <w:p>
            <w:pPr>
              <w:pStyle w:val="Compact"/>
              <w:jc w:val="center"/>
            </w:pPr>
            <w:r>
              <w:rPr>
                <w:rFonts w:ascii="Times New Roman" w:hAnsi="Times New Roman" w:cs="Times New Roman" w:eastAsia="Times New Roman"/>
                <w:sz w:val="20"/>
              </w:rPr>
              <w:t xml:space="preserve">0.4688</w:t>
            </w:r>
          </w:p>
        </w:tc>
        <w:tc>
          <w:tcPr>
            <w:shd w:val="clear" w:color="auto" w:fill="E7E6E6"/>
            <w:vAlign w:val="center"/>
            <w:tcW w:type="dxa" w:w="1214"/>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14"/>
          </w:tcPr>
          <w:p>
            <w:pPr>
              <w:pStyle w:val="Compact"/>
              <w:jc w:val="center"/>
            </w:pPr>
            <w:r>
              <w:rPr>
                <w:rFonts w:ascii="Times New Roman" w:hAnsi="Times New Roman" w:cs="Times New Roman" w:eastAsia="Times New Roman"/>
                <w:sz w:val="20"/>
              </w:rPr>
              <w:t xml:space="preserve">0.5640</w:t>
            </w:r>
          </w:p>
        </w:tc>
      </w:tr>
    </w:tbl>
    <w:p>
      <w:pPr>
        <w:pStyle w:val="BodyText"/>
        <w:jc w:val="both"/>
      </w:pPr>
      <w:r>
        <w:rPr>
          <w:rFonts w:ascii="Times New Roman" w:hAnsi="Times New Roman" w:cs="Times New Roman" w:eastAsia="Times New Roman"/>
        </w:rPr>
        <w:t xml:space="preserve">At the rarest bin (MAF 0.05-0.1%), Beagle 5.5 narrowly outperforms Selphi 2 on both chromosomes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-0.003), the only frequency at which any tool exceeds Selphi 2; IMPUTE5 and Minimac4 trail Selphi 2 in every bin, including the rarest. At MAF ≥ 0.1% Selphi 2 leads by margins that grow with allele frequency (chr22 20-50% MAF: +0.0144 over Beagle 5.5, +0.0199 over Minimac4, +0.0159 over IMPUTE5). The crossover at the rarest bin reflects the differing trade-offs in candidate selection: at the rarest frequencies, Beagle 5.5's window-local composite-haplotype reconstruction better preserves single-carrier reference haplotypes, while at common frequencies the long-range, large-window PBWT scan of Selphi 2 retains more informative haplotypes per target.</w:t>
      </w:r>
    </w:p>
    <w:p>
      <w:pPr>
        <w:pStyle w:val="Heading2"/>
        <w:jc w:val="both"/>
      </w:pPr>
      <w:r>
        <w:rPr>
          <w:rFonts w:ascii="Times New Roman" w:hAnsi="Times New Roman" w:cs="Times New Roman" w:eastAsia="Times New Roman"/>
          <w:b/>
          <w:bCs/>
        </w:rPr>
        <w:t xml:space="preserve">Imputation accuracy on a biobank-scale admixed cohort</w:t>
      </w:r>
    </w:p>
    <w:p>
      <w:pPr>
        <w:pStyle w:val="FirstParagraph"/>
        <w:jc w:val="both"/>
      </w:pPr>
      <w:r>
        <w:rPr>
          <w:rFonts w:ascii="Times New Roman" w:hAnsi="Times New Roman" w:cs="Times New Roman" w:eastAsia="Times New Roman"/>
        </w:rP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retains 1.5% of the 171,054-haplotype TOPMed panel), systematically excluding haplotypes that carry rare alleles in minority sub-populations. We tested this hypothesis on the MESA cohort</w:t>
      </w:r>
      <w:hyperlink w:anchor="ref27">
        <w:r>
          <w:rPr>
            <w:rFonts w:ascii="Times New Roman" w:hAnsi="Times New Roman" w:cs="Times New Roman" w:eastAsia="Times New Roman"/>
            <w:color w:val="0563C1"/>
            <w:vertAlign w:val="superscript"/>
          </w:rPr>
          <w:t xml:space="preserve">27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jc w:val="both"/>
      </w:pPr>
      <w:r>
        <w:rPr>
          <w:rFonts w:ascii="Times New Roman" w:hAnsi="Times New Roman" w:cs="Times New Roman" w:eastAsia="Times New Roman"/>
        </w:rPr>
        <w:t xml:space="preserve">Selphi 2's panel-adaptive sizing formula (Methods, Candidate selection and HMM) yields</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for the TOPMed panel (panel-tile-compression diversity CV = 0.845, scaled fraction 0.776). At this candidate-set size, Selphi 2's default diploid engine attains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0.6148 on the MESA cohort, compared to 0.5921 for Beagle 5.5 on the same full-panel set of 17.9 million variants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+0.0227). 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0.8978 (Selphi 2) versus 0.8764 (Beagle 5.5),</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+0.0214; broken down by self-reported ancestry, Selphi 2 leads Beagle 5.5 in all four MESA groups (+0.019 to +0.032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largest on the East-Asian group; Figure 2b). Increasing the candidate set further to</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0.4967 and 0.4795 respectively, well below both Beagle 5.5 (0.5921) and Selphi 2 (0.6148): IMPUTE5's fixed</w:t>
      </w:r>
      <w:r>
        <w:rPr>
          <w:rFonts w:ascii="Times New Roman" w:hAnsi="Times New Roman" w:cs="Times New Roman" w:eastAsia="Times New Roman"/>
        </w:rPr>
        <w:t xml:space="preserve"> </w:t>
      </w:r>
      <m:oMath>
        <m:r>
          <m:t>L</m:t>
        </m:r>
      </m:oMath>
      <w:r>
        <w:rPr>
          <w:rFonts w:ascii="Times New Roman" w:hAnsi="Times New Roman" w:cs="Times New Roman" w:eastAsia="Times New Roman"/>
        </w:rPr>
        <w:t xml:space="preserve"> </w:t>
      </w:r>
      <w:r>
        <w:rPr>
          <w:rFonts w:ascii="Times New Roman" w:hAnsi="Times New Roman" w:cs="Times New Roman" w:eastAsia="Times New Roman"/>
        </w:rP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jc w:val="both"/>
      </w:pPr>
      <w:r>
        <w:rPr>
          <w:rFonts w:ascii="Times New Roman" w:hAnsi="Times New Roman" w:cs="Times New Roman" w:eastAsia="Times New Roman"/>
        </w:rPr>
        <w:t xml:space="preserve">To isolate the contribution of the new sizing rule, we ran Selphi 2 on the same admixed cohort with</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fixed at 2,500 (a representative fixed candidate-set size). On a 500-sample MESA subset (chr20, TOPMed panel),</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yielded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0.5771 while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(auto) yielded</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0.6422, a gain of +0.0651 attributable entirely to the candidate-set size (Table 2).</w:t>
      </w:r>
    </w:p>
    <w:p>
      <w:pPr>
        <w:pStyle w:val="BodyText"/>
        <w:jc w:val="both"/>
      </w:pPr>
      <w:r>
        <w:rPr>
          <w:rFonts w:ascii="Times New Roman" w:hAnsi="Times New Roman" w:cs="Times New Roman" w:eastAsia="Times New Roman"/>
          <w:b/>
          <w:bCs/>
        </w:rPr>
        <w:t xml:space="preserve">Table 2. Effect of candidate-set size on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MESA admixed cohort</w:t>
      </w:r>
      <w:r>
        <w:rPr>
          <w:rFonts w:ascii="Times New Roman" w:hAnsi="Times New Roman" w:cs="Times New Roman" w:eastAsia="Times New Roman"/>
          <w:b/>
          <w:bCs/>
        </w:rPr>
        <w:t xml:space="preserve"> </w:t>
      </w:r>
      <m:oMath>
        <m:r>
          <m:rPr>
            <m:sty m:val="p"/>
          </m:rPr>
          <m:t>×</m:t>
        </m:r>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TOPMed panel.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two candidate-set sizes on a 500-sample subset of MESA, chr20, at representative MAF bins spanning the frequency range (the full nine-bin breakdown, stratified by ancestry, is in Table 2b).</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is a representative fixed candidate-set size;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is the value chosen by the panel-adaptive formula (Methods).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7"/>
        <w:gridCol w:w="2093"/>
        <w:gridCol w:w="2340"/>
        <w:gridCol w:w="2340"/>
      </w:tblGrid>
      <w:tr>
        <w:trPr>
          <w:tblHeader w:val="on"/>
        </w:trPr>
        <w:tc>
          <w:tcPr>
            <w:shd w:val="clear" w:color="auto" w:fill="595959"/>
            <w:vAlign w:val="center"/>
            <w:tcW w:type="dxa" w:w="2587"/>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093"/>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2,500</w:t>
            </w:r>
          </w:p>
        </w:tc>
        <w:tc>
          <w:tcPr>
            <w:shd w:val="clear" w:color="auto" w:fill="595959"/>
            <w:vAlign w:val="center"/>
            <w:tcW w:type="dxa" w:w="2340"/>
          </w:tcPr>
          <w:p>
            <w:pPr>
              <w:pStyle w:val="Compact"/>
              <w:jc w:val="center"/>
            </w:pPr>
            <m:oMath>
              <m:sSub>
                <m:e>
                  <m:r>
                    <m:t>m</m:t>
                  </m:r>
                </m:e>
                <m:sub>
                  <m:r>
                    <m:t>c</m:t>
                  </m:r>
                </m:sub>
              </m:sSub>
            </m:oMath>
            <w:r>
              <w:rPr>
                <w:rFonts w:ascii="Times New Roman" w:hAnsi="Times New Roman" w:cs="Times New Roman" w:eastAsia="Times New Roman"/>
                <w:b/>
                <w:color w:val="FFFFFF"/>
                <w:sz w:val="20"/>
              </w:rPr>
              <w:t xml:space="preserve"> </w:t>
            </w:r>
            <w:r>
              <w:rPr>
                <w:rFonts w:ascii="Times New Roman" w:hAnsi="Times New Roman" w:cs="Times New Roman" w:eastAsia="Times New Roman"/>
                <w:b/>
                <w:color w:val="FFFFFF"/>
                <w:sz w:val="20"/>
              </w:rPr>
              <w:t xml:space="preserve">= 132,676 (auto)</w:t>
            </w:r>
          </w:p>
        </w:tc>
        <w:tc>
          <w:tcPr>
            <w:shd w:val="clear" w:color="auto" w:fill="595959"/>
            <w:vAlign w:val="center"/>
            <w:tcW w:type="dxa" w:w="2340"/>
          </w:tcPr>
          <w:p>
            <w:pPr>
              <w:pStyle w:val="Compact"/>
              <w:jc w:val="center"/>
            </w:pPr>
            <m:oMath>
              <m:r>
                <m:rPr>
                  <m:sty m:val="p"/>
                </m:rPr>
                <m:t>Δ</m:t>
              </m:r>
            </m:oMath>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0.1-0.2%</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0.5066</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0.6150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+0.1084</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0.2-0.5%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0.5373</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0.6101</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+0.0728</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0.5961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0.6504</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+0.0543</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1-2%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0.6277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0.6677</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+0.0400</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0.6471</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0.6650</w:t>
            </w:r>
          </w:p>
        </w:tc>
        <w:tc>
          <w:tcPr>
            <w:shd w:val="clear" w:color="auto" w:fill="FFFFFF"/>
            <w:vAlign w:val="center"/>
            <w:tcW w:type="dxa" w:w="2340"/>
          </w:tcPr>
          <w:p>
            <w:pPr>
              <w:pStyle w:val="Compact"/>
              <w:jc w:val="center"/>
            </w:pPr>
            <w:r>
              <w:rPr>
                <w:rFonts w:ascii="Times New Roman" w:hAnsi="Times New Roman" w:cs="Times New Roman" w:eastAsia="Times New Roman"/>
                <w:sz w:val="20"/>
              </w:rPr>
              <w:t xml:space="preserve">+0.0179</w:t>
            </w:r>
          </w:p>
        </w:tc>
      </w:tr>
      <w:tr>
        <w:tc>
          <w:tcPr>
            <w:shd w:val="clear" w:color="auto" w:fill="E7E6E6"/>
            <w:vAlign w:val="center"/>
            <w:tcW w:type="dxa" w:w="258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0.6688</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0.6769</w:t>
            </w:r>
          </w:p>
        </w:tc>
        <w:tc>
          <w:tcPr>
            <w:shd w:val="clear" w:color="auto" w:fill="E7E6E6"/>
            <w:vAlign w:val="center"/>
            <w:tcW w:type="dxa" w:w="2340"/>
          </w:tcPr>
          <w:p>
            <w:pPr>
              <w:pStyle w:val="Compact"/>
              <w:jc w:val="center"/>
            </w:pPr>
            <w:r>
              <w:rPr>
                <w:rFonts w:ascii="Times New Roman" w:hAnsi="Times New Roman" w:cs="Times New Roman" w:eastAsia="Times New Roman"/>
                <w:sz w:val="20"/>
              </w:rPr>
              <w:t xml:space="preserve">+0.0081</w:t>
            </w:r>
          </w:p>
        </w:tc>
      </w:tr>
      <w:tr>
        <w:tc>
          <w:tcPr>
            <w:shd w:val="clear" w:color="auto" w:fill="FFFFFF"/>
            <w:vAlign w:val="center"/>
            <w:tcW w:type="dxa" w:w="258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0.5771</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0.6422</w:t>
            </w:r>
          </w:p>
        </w:tc>
        <w:tc>
          <w:tcPr>
            <w:shd w:val="clear" w:color="auto" w:fill="FFFFFF"/>
            <w:vAlign w:val="center"/>
            <w:tcW w:type="dxa" w:w="2340"/>
          </w:tcPr>
          <w:p>
            <w:pPr>
              <w:pStyle w:val="Compact"/>
              <w:jc w:val="center"/>
            </w:pPr>
            <w:r>
              <w:rPr>
                <w:rFonts w:ascii="Times New Roman" w:hAnsi="Times New Roman" w:cs="Times New Roman" w:eastAsia="Times New Roman"/>
                <w:b/>
                <w:bCs/>
                <w:sz w:val="20"/>
              </w:rPr>
              <w:t xml:space="preserve">+0.0651</w:t>
            </w:r>
          </w:p>
        </w:tc>
      </w:tr>
    </w:tbl>
    <w:p>
      <w:pPr>
        <w:pStyle w:val="BodyText"/>
        <w:jc w:val="both"/>
      </w:pPr>
      <w:r>
        <w:rPr>
          <w:rFonts w:ascii="Times New Roman" w:hAnsi="Times New Roman" w:cs="Times New Roman" w:eastAsia="Times New Roman"/>
        </w:rPr>
        <w:t xml:space="preserve">The gain is monotonically larger at rarer MAF bins, confirming that the fixed candidate-set size was preferentially truncating rare-variant carriers. The panel-adaptive formula recovers this accuracy without manual tuning.</w:t>
      </w:r>
    </w:p>
    <w:p>
      <w:pPr>
        <w:pStyle w:val="BodyText"/>
        <w:jc w:val="both"/>
      </w:pPr>
      <w:r>
        <w:rPr>
          <w:rFonts w:ascii="Times New Roman" w:hAnsi="Times New Roman" w:cs="Times New Roman" w:eastAsia="Times New Roman"/>
        </w:rPr>
        <w:t xml:space="preserve">To test whether this candidate-set truncation falls preferentially on minority ancestries, as the proposed mechanism predicts, we re-imputed the full 5,000-sample cohort twice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versus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identical in every other respect) and stratified the recovered accuracy (adaptive minus fixed) by self-reported ancestry and minor-allele frequency (3,948 of 5,000 samples carry an ancestry label; 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binned by within-group MAF). The recovery is concentrated at rare variants and is largest for the most admixed or diverged populations (Table 2b): at the rarest bin (MAF 0.05-0.1%) the panel-adaptive sizing recovers +0.172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for Hispanic and +0.139 for African-American samples, versus +0.119 for European-ancestry (White) samples, and the gap widens across the low-frequency range (at 0.2-0.5% MAF, +0.127 and +0.089 versus +0.059). Aggregated over all variants the recovery is +0.113 (Hispanic), +0.087 (African-American), and +0.054 (White); the comparatively homogeneous East-Asian (Chinese-American) group, already well served by a small candidate set, gains essentially nothing (overall +0.001, and marginally negative at common variants where the larger candidate set slightly over-conditions this homogeneous group; Table 2b).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jc w:val="both"/>
      </w:pPr>
      <w:r>
        <w:rPr>
          <w:rFonts w:ascii="Times New Roman" w:hAnsi="Times New Roman" w:cs="Times New Roman" w:eastAsia="Times New Roman"/>
          <w:b/>
          <w:bCs/>
        </w:rPr>
        <w:t xml:space="preserve">Table 2b. Rare-variant accuracy recovered by panel-adaptive candidate sizing, stratified by ancestry.</w:t>
      </w:r>
      <w:r>
        <w:rPr>
          <w:rFonts w:ascii="Times New Roman" w:hAnsi="Times New Roman" w:cs="Times New Roman" w:eastAsia="Times New Roman"/>
        </w:rPr>
        <w:t xml:space="preserve"> </w:t>
      </w:r>
      <w:r>
        <w:rPr>
          <w:rFonts w:ascii="Times New Roman" w:hAnsi="Times New Roman" w:cs="Times New Roman" w:eastAsia="Times New Roman"/>
        </w:rPr>
        <w:t xml:space="preserve">Per-variant</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gain (panel-adaptive</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minus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on the full 5,000-sample MESA cohort imputed against the TOPMed panel (chr20), binned by within-group minor-allele frequency. Both runs are identical except for the candidate-set size. n = labelled samples per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572"/>
        <w:gridCol w:w="2529"/>
        <w:gridCol w:w="1433"/>
        <w:gridCol w:w="1297"/>
        <w:gridCol w:w="2529"/>
      </w:tblGrid>
      <w:tr>
        <w:trPr>
          <w:tblHeader w:val="on"/>
        </w:trPr>
        <w:tc>
          <w:tcPr>
            <w:shd w:val="clear" w:color="auto" w:fill="595959"/>
            <w:vAlign w:val="center"/>
            <w:tcW w:type="dxa" w:w="1572"/>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African-American (924)</w:t>
            </w:r>
          </w:p>
        </w:tc>
        <w:tc>
          <w:tcPr>
            <w:shd w:val="clear" w:color="auto" w:fill="595959"/>
            <w:vAlign w:val="center"/>
            <w:tcW w:type="dxa" w:w="1433"/>
          </w:tcPr>
          <w:p>
            <w:pPr>
              <w:pStyle w:val="Compact"/>
              <w:jc w:val="center"/>
            </w:pPr>
            <w:r>
              <w:rPr>
                <w:rFonts w:ascii="Times New Roman" w:hAnsi="Times New Roman" w:cs="Times New Roman" w:eastAsia="Times New Roman"/>
                <w:b/>
                <w:color w:val="FFFFFF"/>
                <w:sz w:val="20"/>
              </w:rPr>
              <w:t xml:space="preserve">Hispanic (859)</w:t>
            </w:r>
          </w:p>
        </w:tc>
        <w:tc>
          <w:tcPr>
            <w:shd w:val="clear" w:color="auto" w:fill="595959"/>
            <w:vAlign w:val="center"/>
            <w:tcW w:type="dxa" w:w="1297"/>
          </w:tcPr>
          <w:p>
            <w:pPr>
              <w:pStyle w:val="Compact"/>
              <w:jc w:val="center"/>
            </w:pPr>
            <w:r>
              <w:rPr>
                <w:rFonts w:ascii="Times New Roman" w:hAnsi="Times New Roman" w:cs="Times New Roman" w:eastAsia="Times New Roman"/>
                <w:b/>
                <w:color w:val="FFFFFF"/>
                <w:sz w:val="20"/>
              </w:rPr>
              <w:t xml:space="preserve">White (1,631)</w:t>
            </w:r>
          </w:p>
        </w:tc>
        <w:tc>
          <w:tcPr>
            <w:shd w:val="clear" w:color="auto" w:fill="595959"/>
            <w:vAlign w:val="center"/>
            <w:tcW w:type="dxa" w:w="2529"/>
          </w:tcPr>
          <w:p>
            <w:pPr>
              <w:pStyle w:val="Compact"/>
              <w:jc w:val="center"/>
            </w:pPr>
            <w:r>
              <w:rPr>
                <w:rFonts w:ascii="Times New Roman" w:hAnsi="Times New Roman" w:cs="Times New Roman" w:eastAsia="Times New Roman"/>
                <w:b/>
                <w:color w:val="FFFFFF"/>
                <w:sz w:val="20"/>
              </w:rPr>
              <w:t xml:space="preserve">Chinese-American (534)</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+0.1391</w:t>
            </w:r>
          </w:p>
        </w:tc>
        <w:tc>
          <w:tcPr>
            <w:shd w:val="clear" w:color="auto" w:fill="FFFFFF"/>
            <w:vAlign w:val="center"/>
            <w:tcW w:type="dxa" w:w="1433"/>
          </w:tcPr>
          <w:p>
            <w:pPr>
              <w:pStyle w:val="Compact"/>
              <w:jc w:val="center"/>
            </w:pPr>
            <w:r>
              <w:rPr>
                <w:rFonts w:ascii="Times New Roman" w:hAnsi="Times New Roman" w:cs="Times New Roman" w:eastAsia="Times New Roman"/>
                <w:b/>
                <w:bCs/>
                <w:sz w:val="20"/>
              </w:rPr>
              <w:t xml:space="preserve">+0.1715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+0.1195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+0.1211</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+0.1554</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+0.0858</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+0.0123</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+0.0885</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+0.1268</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+0.0587</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+0.0642</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+0.0968</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+0.0381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+0.0008</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+0.0528</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+0.0692</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+0.0242</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-0.0034</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+0.0436</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+0.0141</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-0.0055</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+0.0343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+0.0255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+0.0128</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-0.0060</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+0.0266</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+0.0199</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+0.0114</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-0.0059</w:t>
            </w:r>
          </w:p>
        </w:tc>
      </w:tr>
      <w:tr>
        <w:tc>
          <w:tcPr>
            <w:shd w:val="clear" w:color="auto" w:fill="FFFFFF"/>
            <w:vAlign w:val="center"/>
            <w:tcW w:type="dxa" w:w="1572"/>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+0.0173</w:t>
            </w:r>
          </w:p>
        </w:tc>
        <w:tc>
          <w:tcPr>
            <w:shd w:val="clear" w:color="auto" w:fill="FFFFFF"/>
            <w:vAlign w:val="center"/>
            <w:tcW w:type="dxa" w:w="1433"/>
          </w:tcPr>
          <w:p>
            <w:pPr>
              <w:pStyle w:val="Compact"/>
              <w:jc w:val="center"/>
            </w:pPr>
            <w:r>
              <w:rPr>
                <w:rFonts w:ascii="Times New Roman" w:hAnsi="Times New Roman" w:cs="Times New Roman" w:eastAsia="Times New Roman"/>
                <w:sz w:val="20"/>
              </w:rPr>
              <w:t xml:space="preserve">+0.0125</w:t>
            </w:r>
          </w:p>
        </w:tc>
        <w:tc>
          <w:tcPr>
            <w:shd w:val="clear" w:color="auto" w:fill="FFFFFF"/>
            <w:vAlign w:val="center"/>
            <w:tcW w:type="dxa" w:w="1297"/>
          </w:tcPr>
          <w:p>
            <w:pPr>
              <w:pStyle w:val="Compact"/>
              <w:jc w:val="center"/>
            </w:pPr>
            <w:r>
              <w:rPr>
                <w:rFonts w:ascii="Times New Roman" w:hAnsi="Times New Roman" w:cs="Times New Roman" w:eastAsia="Times New Roman"/>
                <w:sz w:val="20"/>
              </w:rPr>
              <w:t xml:space="preserve">+0.0063</w:t>
            </w:r>
          </w:p>
        </w:tc>
        <w:tc>
          <w:tcPr>
            <w:shd w:val="clear" w:color="auto" w:fill="FFFFFF"/>
            <w:vAlign w:val="center"/>
            <w:tcW w:type="dxa" w:w="2529"/>
          </w:tcPr>
          <w:p>
            <w:pPr>
              <w:pStyle w:val="Compact"/>
              <w:jc w:val="center"/>
            </w:pPr>
            <w:r>
              <w:rPr>
                <w:rFonts w:ascii="Times New Roman" w:hAnsi="Times New Roman" w:cs="Times New Roman" w:eastAsia="Times New Roman"/>
                <w:sz w:val="20"/>
              </w:rPr>
              <w:t xml:space="preserve">-0.0038</w:t>
            </w:r>
          </w:p>
        </w:tc>
      </w:tr>
      <w:tr>
        <w:tc>
          <w:tcPr>
            <w:shd w:val="clear" w:color="auto" w:fill="E7E6E6"/>
            <w:vAlign w:val="center"/>
            <w:tcW w:type="dxa" w:w="1572"/>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+0.0874</w:t>
            </w:r>
          </w:p>
        </w:tc>
        <w:tc>
          <w:tcPr>
            <w:shd w:val="clear" w:color="auto" w:fill="E7E6E6"/>
            <w:vAlign w:val="center"/>
            <w:tcW w:type="dxa" w:w="1433"/>
          </w:tcPr>
          <w:p>
            <w:pPr>
              <w:pStyle w:val="Compact"/>
              <w:jc w:val="center"/>
            </w:pPr>
            <w:r>
              <w:rPr>
                <w:rFonts w:ascii="Times New Roman" w:hAnsi="Times New Roman" w:cs="Times New Roman" w:eastAsia="Times New Roman"/>
                <w:sz w:val="20"/>
              </w:rPr>
              <w:t xml:space="preserve">+0.1133</w:t>
            </w:r>
          </w:p>
        </w:tc>
        <w:tc>
          <w:tcPr>
            <w:shd w:val="clear" w:color="auto" w:fill="E7E6E6"/>
            <w:vAlign w:val="center"/>
            <w:tcW w:type="dxa" w:w="1297"/>
          </w:tcPr>
          <w:p>
            <w:pPr>
              <w:pStyle w:val="Compact"/>
              <w:jc w:val="center"/>
            </w:pPr>
            <w:r>
              <w:rPr>
                <w:rFonts w:ascii="Times New Roman" w:hAnsi="Times New Roman" w:cs="Times New Roman" w:eastAsia="Times New Roman"/>
                <w:sz w:val="20"/>
              </w:rPr>
              <w:t xml:space="preserve">+0.0539</w:t>
            </w:r>
          </w:p>
        </w:tc>
        <w:tc>
          <w:tcPr>
            <w:shd w:val="clear" w:color="auto" w:fill="E7E6E6"/>
            <w:vAlign w:val="center"/>
            <w:tcW w:type="dxa" w:w="2529"/>
          </w:tcPr>
          <w:p>
            <w:pPr>
              <w:pStyle w:val="Compact"/>
              <w:jc w:val="center"/>
            </w:pPr>
            <w:r>
              <w:rPr>
                <w:rFonts w:ascii="Times New Roman" w:hAnsi="Times New Roman" w:cs="Times New Roman" w:eastAsia="Times New Roman"/>
                <w:sz w:val="20"/>
              </w:rPr>
              <w:t xml:space="preserve">+0.0011</w:t>
            </w:r>
          </w:p>
        </w:tc>
      </w:tr>
    </w:tbl>
    <w:p>
      <w:pPr>
        <w:pStyle w:val="Heading2"/>
        <w:jc w:val="both"/>
      </w:pPr>
      <w:r>
        <w:rPr>
          <w:rFonts w:ascii="Times New Roman" w:hAnsi="Times New Roman" w:cs="Times New Roman" w:eastAsia="Times New Roman"/>
          <w:b/>
          <w:bCs/>
        </w:rPr>
        <w:t xml:space="preserve">Out-of-panel generalization to ancestries absent from the reference panel</w:t>
      </w:r>
    </w:p>
    <w:p>
      <w:pPr>
        <w:pStyle w:val="FirstParagraph"/>
        <w:jc w:val="both"/>
      </w:pPr>
      <w:r>
        <w:rPr>
          <w:rFonts w:ascii="Times New Roman" w:hAnsi="Times New Roman" w:cs="Times New Roman" w:eastAsia="Times New Roman"/>
        </w:rP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hyperlink w:anchor="ref28">
        <w:r>
          <w:rPr>
            <w:rFonts w:ascii="Times New Roman" w:hAnsi="Times New Roman" w:cs="Times New Roman" w:eastAsia="Times New Roman"/>
            <w:color w:val="0563C1"/>
            <w:vertAlign w:val="superscript"/>
          </w:rPr>
          <w:t xml:space="preserve">28</w:t>
        </w:r>
      </w:hyperlink>
      <w:r>
        <w:rPr>
          <w:rFonts w:ascii="Times New Roman" w:hAnsi="Times New Roman" w:cs="Times New Roman" w:eastAsia="Times New Roman"/>
        </w:rP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jc w:val="both"/>
      </w:pPr>
      <w:r>
        <w:rPr>
          <w:rFonts w:ascii="Times New Roman" w:hAnsi="Times New Roman" w:cs="Times New Roman" w:eastAsia="Times New Roman"/>
        </w:rPr>
        <w:t xml:space="preserve">Across all 22 autosomes, Selphi 2 (default diploid engine) exceeds Beagle 5.5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in all seven continental regions, including the two absent from the panel (Oceanian +0.0104, Middle-Eastern +0.0060; African +0.0126, East-Asian +0.0075; Table 2c). The advantage is unanimous across individuals: Selphi 2's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exceeds Beagle 5.5's in all 925 targets (mean</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 +0.0066, 95% CI [+0.0064, +0.0069] from 20,000 paired bootstrap resamples; two-sided Wilcoxon</w:t>
      </w:r>
      <w:r>
        <w:rPr>
          <w:rFonts w:ascii="Times New Roman" w:hAnsi="Times New Roman" w:cs="Times New Roman" w:eastAsia="Times New Roman"/>
        </w:rPr>
        <w:t xml:space="preserve"> </w:t>
      </w:r>
      <m:oMath>
        <m:r>
          <m:t>p</m:t>
        </m:r>
        <m:r>
          <m:rPr>
            <m:sty m:val="p"/>
          </m:rPr>
          <m:t>&lt;</m:t>
        </m:r>
        <m:sSup>
          <m:e>
            <m:r>
              <m:t>10</m:t>
            </m:r>
          </m:e>
          <m:sup>
            <m:r>
              <m:rPr>
                <m:sty m:val="p"/>
              </m:rPr>
              <m:t>−</m:t>
            </m:r>
            <m:r>
              <m:t>100</m:t>
            </m:r>
          </m:sup>
        </m:sSup>
      </m:oMath>
      <w:r>
        <w:rPr>
          <w:rFonts w:ascii="Times New Roman" w:hAnsi="Times New Roman" w:cs="Times New Roman" w:eastAsia="Times New Roman"/>
        </w:rPr>
        <w:t xml:space="preserve">), and in every one of the seven regions taken separately (every per-region 95% CI excludes zero; every sample favours Selphi 2). On the per-variant metric Selphi 2 also leads overall (0.5323 versus 0.5252) and at every MAF bin above 0.1%, with Beagle retaining its usual edge only at the rarest bin (MAF 0.05-0.1%,</w:t>
      </w:r>
      <w:r>
        <w:rPr>
          <w:rFonts w:ascii="Times New Roman" w:hAnsi="Times New Roman" w:cs="Times New Roman" w:eastAsia="Times New Roman"/>
        </w:rPr>
        <w:t xml:space="preserve">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-0.0075), exactly the crossover seen on the in-panel 1000 Genomes benchmark (Table 1).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jc w:val="both"/>
      </w:pPr>
      <w:r>
        <w:rPr>
          <w:rFonts w:ascii="Times New Roman" w:hAnsi="Times New Roman" w:cs="Times New Roman" w:eastAsia="Times New Roman"/>
          <w:b/>
          <w:bCs/>
        </w:rPr>
        <w:t xml:space="preserve">Table 2c. Out-of-panel generalization: HGDP targets imputed against a 1000 Genomes panel,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Per-sample mean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585"/>
        <w:gridCol w:w="890"/>
        <w:gridCol w:w="890"/>
        <w:gridCol w:w="995"/>
      </w:tblGrid>
      <w:tr>
        <w:trPr>
          <w:tblHeader w:val="on"/>
        </w:trPr>
        <w:tc>
          <w:tcPr>
            <w:shd w:val="clear" w:color="auto" w:fill="595959"/>
            <w:vAlign w:val="center"/>
            <w:tcW w:type="dxa" w:w="6585"/>
          </w:tcPr>
          <w:p>
            <w:pPr>
              <w:pStyle w:val="Compact"/>
              <w:jc w:val="center"/>
            </w:pPr>
            <w:r>
              <w:rPr>
                <w:rFonts w:ascii="Times New Roman" w:hAnsi="Times New Roman" w:cs="Times New Roman" w:eastAsia="Times New Roman"/>
                <w:b/>
                <w:color w:val="FFFFFF"/>
                <w:sz w:val="20"/>
              </w:rPr>
              <w:t xml:space="preserve">Region (n)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995"/>
          </w:tcPr>
          <w:p>
            <w:pPr>
              <w:pStyle w:val="Compact"/>
              <w:jc w:val="center"/>
            </w:pPr>
            <m:oMath>
              <m:r>
                <m:rPr>
                  <m:sty m:val="p"/>
                </m:rPr>
                <m:t>Δ</m:t>
              </m:r>
            </m:oMath>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Oceanian, not in panel (30)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0.8984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0.8880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+0.0104</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Middle-Eastern, not in panel (157)</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0.9386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0.9326</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African (107)</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0.8778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0.8652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+0.0126</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East-Asian (233)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0.9431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+0.0075</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Central/South-Asian (183)</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0.9465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0.9418</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+0.0047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European (153)</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0.9572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0.9532</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+0.0040</w:t>
            </w:r>
          </w:p>
        </w:tc>
      </w:tr>
      <w:tr>
        <w:tc>
          <w:tcPr>
            <w:shd w:val="clear" w:color="auto" w:fill="FFFFFF"/>
            <w:vAlign w:val="center"/>
            <w:tcW w:type="dxa" w:w="6585"/>
          </w:tcPr>
          <w:p>
            <w:pPr>
              <w:pStyle w:val="Compact"/>
              <w:jc w:val="left"/>
            </w:pPr>
            <w:r>
              <w:rPr>
                <w:rFonts w:ascii="Times New Roman" w:hAnsi="Times New Roman" w:cs="Times New Roman" w:eastAsia="Times New Roman"/>
                <w:sz w:val="20"/>
              </w:rPr>
              <w:t xml:space="preserve">Admixed-American (62)</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0.9626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0.9569</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+0.0057</w:t>
            </w:r>
          </w:p>
        </w:tc>
      </w:tr>
      <w:tr>
        <w:tc>
          <w:tcPr>
            <w:shd w:val="clear" w:color="auto" w:fill="E7E6E6"/>
            <w:vAlign w:val="center"/>
            <w:tcW w:type="dxa" w:w="6585"/>
          </w:tcPr>
          <w:p>
            <w:pPr>
              <w:pStyle w:val="Compact"/>
              <w:jc w:val="left"/>
            </w:pPr>
            <w:r>
              <w:rPr>
                <w:rFonts w:ascii="Times New Roman" w:hAnsi="Times New Roman" w:cs="Times New Roman" w:eastAsia="Times New Roman"/>
                <w:sz w:val="20"/>
              </w:rPr>
              <w:t xml:space="preserve">All (925)</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0.9395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0.9329</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+0.0066</w:t>
            </w:r>
          </w:p>
        </w:tc>
      </w:tr>
    </w:tbl>
    <w:p>
      <w:pPr>
        <w:pStyle w:val="BodyText"/>
        <w:jc w:val="center"/>
      </w:pPr>
      <w:r>
        <w:rPr>
          <w:rFonts w:ascii="Times New Roman" w:hAnsi="Times New Roman" w:cs="Times New Roman" w:eastAsia="Times New Roman"/>
        </w:rPr>
        <w:drawing>
          <wp:inline>
            <wp:extent cx="5334000" cy="4045307"/>
            <wp:effectExtent b="0" l="0" r="0" t="0"/>
            <wp:docPr descr="Figure 2" title="" id="32" name="Picture"/>
            <a:graphic>
              <a:graphicData uri="http://schemas.openxmlformats.org/drawingml/2006/picture">
                <pic:pic>
                  <pic:nvPicPr>
                    <pic:cNvPr descr="figures/figure2_accuracy.png" id="33" name="Picture"/>
                    <pic:cNvPicPr>
                      <a:picLocks noChangeArrowheads="1" noChangeAspect="1"/>
                    </pic:cNvPicPr>
                  </pic:nvPicPr>
                  <pic:blipFill>
                    <a:blip r:embed="rId31"/>
                    <a:stretch>
                      <a:fillRect/>
                    </a:stretch>
                  </pic:blipFill>
                  <pic:spPr bwMode="auto">
                    <a:xfrm>
                      <a:off x="0" y="0"/>
                      <a:ext cx="5334000" cy="4045307"/>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2. Imputation accuracy across the allele-frequency spectrum.</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1000 Genomes genome-wide (20 autosomes; chr8 and chr11 excluded because Beagle aborted on a duplicate panel marker, so all four tools use the identical chromosome set): n-weighted per-MAF</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Selphi 2 versus Beagle 5.5, Minimac4 and IMPUTE5; Selphi 2 leads at every bin above the rarest. (b) Per-sample imputation</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by self-reported ancestry on the MESA cohort (chromosome 20, full phase-and-impute pipeline against the TOPMed reference panel): Selphi 2 (default diploid engine) versus Beagle 5.5. Selphi 2 leads in all four ancestry groups (per-group</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gain annotated), with the largest margin on the East-Asian group; the candidate-set-sizing ablation behind the rare-variant gains in the admixed and diverged groups is in Table 2b. (c) Out-of-panel generalization, genome-wide: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for 925 HGDP individuals imputed against a 1000 Genomes panel, by continental region (Table 2c); Selphi 2 exceeds Beagle 5.5 in every region, including Oceanian and Middle-Eastern ancestries absent from the panel (asterisk). (d) Low-coverage sequencing coverage sweep: overall per-sample dosage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versus coverage for Selphi 2, GLIMPSE2 and QUILT2 (GIAB HG002/HG003/HG004, chromosome 22:20-30 Mb, leak-free 6,332-haplotype 1000 Genomes panel, reference-homozygous sites scored as dosage zero, scored on the sites imputed by all three tools; Table 6b). Selphi 2 (native in-process pileup, band-mode recombination by default) exceeds both GLIMPSE2 and QUILT2 in overall per-sample</w:t>
      </w:r>
      <w:r>
        <w:rPr>
          <w:rFonts w:ascii="Times New Roman" w:hAnsi="Times New Roman" w:cs="Times New Roman" w:eastAsia="Times New Roman"/>
          <w:sz w:val="20"/>
        </w:rPr>
        <w:t xml:space="preserve"> </w:t>
      </w:r>
      <m:oMath>
        <m:sSup>
          <m:e>
            <m:r>
              <m:t>R</m:t>
            </m:r>
          </m:e>
          <m:sup>
            <m:r>
              <m:t>2</m:t>
            </m:r>
          </m:sup>
        </m:sSup>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at every coverage. On the ultra-rare bin (MAF 0-0.5%; Table 6b) Selphi 2 leads at 2</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4</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and ties GLIMPSE2 at 1</w:t>
      </w:r>
      <m:oMath>
        <m:r>
          <m:rPr>
            <m:sty m:val="p"/>
          </m:rPr>
          <m:t>×</m:t>
        </m:r>
      </m:oMath>
      <w:r>
        <w:rPr>
          <w:rFonts w:ascii="Times New Roman" w:hAnsi="Times New Roman" w:cs="Times New Roman" w:eastAsia="Times New Roman"/>
          <w:sz w:val="20"/>
        </w:rPr>
        <w:t xml:space="preserve">, with GLIMPSE2 marginally ahead only at the read-starved 0.5</w:t>
      </w:r>
      <m:oMath>
        <m:r>
          <m:rPr>
            <m:sty m:val="p"/>
          </m:rPr>
          <m:t>×</m:t>
        </m:r>
      </m:oMath>
      <w:r>
        <w:rPr>
          <w:rFonts w:ascii="Times New Roman" w:hAnsi="Times New Roman" w:cs="Times New Roman" w:eastAsia="Times New Roman"/>
          <w:sz w:val="20"/>
        </w:rPr>
        <w:t xml:space="preserve">.</w:t>
      </w:r>
    </w:p>
    <w:p>
      <w:pPr>
        <w:pStyle w:val="Heading2"/>
        <w:jc w:val="both"/>
      </w:pPr>
      <w:r>
        <w:rPr>
          <w:rFonts w:ascii="Times New Roman" w:hAnsi="Times New Roman" w:cs="Times New Roman" w:eastAsia="Times New Roman"/>
          <w:b/>
          <w:bCs/>
        </w:rPr>
        <w:t xml:space="preserve">Independent validation against leak-free GIAB truth</w:t>
      </w:r>
    </w:p>
    <w:p>
      <w:pPr>
        <w:pStyle w:val="FirstParagraph"/>
        <w:jc w:val="both"/>
      </w:pPr>
      <w:r>
        <w:rPr>
          <w:rFonts w:ascii="Times New Roman" w:hAnsi="Times New Roman" w:cs="Times New Roman" w:eastAsia="Times New Roman"/>
        </w:rP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jc w:val="both"/>
      </w:pPr>
      <w:r>
        <w:rPr>
          <w:rFonts w:ascii="Times New Roman" w:hAnsi="Times New Roman" w:cs="Times New Roman" w:eastAsia="Times New Roman"/>
        </w:rPr>
        <w:t xml:space="preserve">On chr21,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0.9704 (concordance 0.9777) versus Beagle 5.5 (build 03 Oct 2025) 0.9676 (concordance 0.9762) and Selphi 1.5.3 0.9702 (concordance 0.9776). Selphi 2 and Selphi 1.5.3 are effectively tied on this leak-free truth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+0.0002, within run-to-run variation); both exceed Beagle 5.5 by 0.0028. On chr1, Selphi 2 attains</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0.9815 versus Beagle 0.9825 and Selphi 1.5.3 0.9815, a three-way effective tie on a well-saturated panel.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jc w:val="both"/>
      </w:pPr>
      <w:r>
        <w:rPr>
          <w:rFonts w:ascii="Times New Roman" w:hAnsi="Times New Roman" w:cs="Times New Roman" w:eastAsia="Times New Roman"/>
        </w:rPr>
        <w:t xml:space="preserve">The wall-time and memory differences on this benchmark are large: Selphi 2 imputes chr21 in 7.2 s with peak memory 6.2 GB; Selphi 1.5.3 takes 112.8 s with peak 7.1 GB; Beagle 5.5 takes 12.5 s with peak 14.5 GB. On the larger chr1, the speed-up over Selphi 1.5.3 grows 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(38.8 s for Selphi 2 versus 1923 s for Selphi 1.5.3), with Selphi 2 using less than half the memory of Beagle 5.5 (16.3 GB versus 39.2 GB). Selphi 2 thus matches the accuracy of the established imputation tools on leak-free truth while reducing runtime by an order of magnitude relative to Selphi 1.5.3 and by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relative to Beagle 5.5 (Supplementary Table S3).</w:t>
      </w:r>
    </w:p>
    <w:p>
      <w:pPr>
        <w:pStyle w:val="Heading2"/>
        <w:jc w:val="both"/>
      </w:pPr>
      <w:r>
        <w:rPr>
          <w:rFonts w:ascii="Times New Roman" w:hAnsi="Times New Roman" w:cs="Times New Roman" w:eastAsia="Times New Roman"/>
          <w:b/>
          <w:bCs/>
        </w:rPr>
        <w:t xml:space="preserve">Imputation accuracy on consumer arrays against high-coverage WGS truth</w:t>
      </w:r>
    </w:p>
    <w:p>
      <w:pPr>
        <w:pStyle w:val="FirstParagraph"/>
        <w:jc w:val="both"/>
      </w:pPr>
      <w:r>
        <w:rPr>
          <w:rFonts w:ascii="Times New Roman" w:hAnsi="Times New Roman" w:cs="Times New Roman" w:eastAsia="Times New Roman"/>
        </w:rP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rPr>
          <w:rFonts w:ascii="Times New Roman" w:hAnsi="Times New Roman" w:cs="Times New Roman" w:eastAsia="Times New Roman"/>
        </w:rP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jc w:val="both"/>
      </w:pPr>
      <w:r>
        <w:rPr>
          <w:rFonts w:ascii="Times New Roman" w:hAnsi="Times New Roman" w:cs="Times New Roman" w:eastAsia="Times New Roman"/>
        </w:rPr>
        <w:t xml:space="preserve">Given both tools the same Beagle-derived phasing, Selphi 2's imputation exceeds Beagle 5.5 on both variant classes, averaged across all 22 autosomes and the six samples: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and mean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0.7911 versus 0.7840 (Table 3).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0.9605,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exact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0.9553 (an earlier single-phase version) to 0.9605.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rPr>
          <w:rFonts w:ascii="Times New Roman" w:hAnsi="Times New Roman" w:cs="Times New Roman" w:eastAsia="Times New Roman"/>
        </w:rPr>
        <w:t xml:space="preserve"> </w:t>
      </w:r>
      <m:oMath>
        <m:r>
          <m:rPr>
            <m:sty m:val="p"/>
          </m:rPr>
          <m:t>Δ</m:t>
        </m:r>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jc w:val="both"/>
      </w:pPr>
      <w:r>
        <w:rPr>
          <w:rFonts w:ascii="Times New Roman" w:hAnsi="Times New Roman" w:cs="Times New Roman" w:eastAsia="Times New Roman"/>
          <w:b/>
          <w:bCs/>
        </w:rPr>
        <w:t xml:space="preserve">Table 3. Genome-wide imputation</w:t>
      </w:r>
      <w:r>
        <w:rPr>
          <w:rFonts w:ascii="Times New Roman" w:hAnsi="Times New Roman" w:cs="Times New Roman" w:eastAsia="Times New Roman"/>
          <w:b/>
          <w:bCs/>
        </w:rPr>
        <w:t xml:space="preserve"> </w:t>
      </w:r>
      <m:oMath>
        <m:sSup>
          <m:e>
            <m:r>
              <m:t>R</m:t>
            </m:r>
          </m:e>
          <m:sup>
            <m:r>
              <m:t>2</m:t>
            </m:r>
          </m:sup>
        </m:sSup>
      </m:oMath>
      <w:r>
        <w:rPr>
          <w:rFonts w:ascii="Times New Roman" w:hAnsi="Times New Roman" w:cs="Times New Roman" w:eastAsia="Times New Roman"/>
          <w:b/>
          <w:bCs/>
        </w:rPr>
        <w:t xml:space="preserve"> </w:t>
      </w:r>
      <w:r>
        <w:rPr>
          <w:rFonts w:ascii="Times New Roman" w:hAnsi="Times New Roman" w:cs="Times New Roman" w:eastAsia="Times New Roman"/>
          <w:b/>
          <w:bCs/>
        </w:rPr>
        <w:t xml:space="preserve">on real consumer arrays against high-coverage WGS truth.</w:t>
      </w:r>
      <w:r>
        <w:rPr>
          <w:rFonts w:ascii="Times New Roman" w:hAnsi="Times New Roman" w:cs="Times New Roman" w:eastAsia="Times New Roman"/>
        </w:rPr>
        <w:t xml:space="preserve"> </w:t>
      </w:r>
      <w:r>
        <w:rPr>
          <w:rFonts w:ascii="Times New Roman" w:hAnsi="Times New Roman" w:cs="Times New Roman" w:eastAsia="Times New Roman"/>
        </w:rP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rPr>
          <w:rFonts w:ascii="Times New Roman" w:hAnsi="Times New Roman" w:cs="Times New Roman" w:eastAsia="Times New Roman"/>
        </w:rPr>
        <w:t xml:space="preserve">) between imputed dosage and truth genotype. "Beagle-phased" rows feed both imputers the identical Beagle phase-only output (isolating the imputation step); "haploid/diploid" 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580"/>
        <w:gridCol w:w="890"/>
        <w:gridCol w:w="890"/>
      </w:tblGrid>
      <w:tr>
        <w:trPr>
          <w:tblHeader w:val="on"/>
        </w:trPr>
        <w:tc>
          <w:tcPr>
            <w:shd w:val="clear" w:color="auto" w:fill="595959"/>
            <w:vAlign w:val="center"/>
            <w:tcW w:type="dxa" w:w="7580"/>
          </w:tcPr>
          <w:p>
            <w:pPr>
              <w:pStyle w:val="Compact"/>
              <w:jc w:val="center"/>
            </w:pPr>
            <w:r>
              <w:rPr>
                <w:rFonts w:ascii="Times New Roman" w:hAnsi="Times New Roman" w:cs="Times New Roman" w:eastAsia="Times New Roman"/>
                <w:b/>
                <w:color w:val="FFFFFF"/>
                <w:sz w:val="20"/>
              </w:rPr>
              <w:t xml:space="preserve">Pipeline (phasing to imputation)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SNP</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Indel</w:t>
            </w:r>
            <w:r>
              <w:rPr>
                <w:rFonts w:ascii="Times New Roman" w:hAnsi="Times New Roman" w:cs="Times New Roman" w:eastAsia="Times New Roman"/>
                <w:b/>
                <w:color w:val="FFFFFF"/>
                <w:sz w:val="20"/>
              </w:rPr>
              <w:t xml:space="preserve"> </w:t>
            </w:r>
            <m:oMath>
              <m:sSup>
                <m:e>
                  <m:r>
                    <m:t>R</m:t>
                  </m:r>
                </m:e>
                <m:sup>
                  <m:r>
                    <m:t>2</m:t>
                  </m:r>
                </m:sup>
              </m:sSup>
            </m:oMath>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(Beagle-phased)</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0.9601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0.7911</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1.5.3 (Beagle-phased)</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0.9599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0.7932</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Beagle 5.5 (phase + impute)</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0.9584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0.7840</w:t>
            </w:r>
          </w:p>
        </w:tc>
      </w:tr>
      <w:tr>
        <w:tc>
          <w:tcPr>
            <w:shd w:val="clear" w:color="auto" w:fill="E7E6E6"/>
            <w:vAlign w:val="center"/>
            <w:tcW w:type="dxa" w:w="7580"/>
          </w:tcPr>
          <w:p>
            <w:pPr>
              <w:pStyle w:val="Compact"/>
              <w:jc w:val="left"/>
            </w:pPr>
            <w:r>
              <w:rPr>
                <w:rFonts w:ascii="Times New Roman" w:hAnsi="Times New Roman" w:cs="Times New Roman" w:eastAsia="Times New Roman"/>
                <w:sz w:val="20"/>
              </w:rPr>
              <w:t xml:space="preserve">Selphi 2 (haploid engine, internal phasing)</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0.9587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0.7909</w:t>
            </w:r>
          </w:p>
        </w:tc>
      </w:tr>
      <w:tr>
        <w:tc>
          <w:tcPr>
            <w:shd w:val="clear" w:color="auto" w:fill="FFFFFF"/>
            <w:vAlign w:val="center"/>
            <w:tcW w:type="dxa" w:w="7580"/>
          </w:tcPr>
          <w:p>
            <w:pPr>
              <w:pStyle w:val="Compact"/>
              <w:jc w:val="left"/>
            </w:pPr>
            <w:r>
              <w:rPr>
                <w:rFonts w:ascii="Times New Roman" w:hAnsi="Times New Roman" w:cs="Times New Roman" w:eastAsia="Times New Roman"/>
                <w:sz w:val="20"/>
              </w:rPr>
              <w:t xml:space="preserve">Selphi 2 (diploid engine, internal phasing)</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0.9605</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0.7935</w:t>
            </w:r>
          </w:p>
        </w:tc>
      </w:tr>
    </w:tbl>
    <w:p>
      <w:pPr>
        <w:pStyle w:val="BodyText"/>
        <w:jc w:val="both"/>
      </w:pPr>
      <w:r>
        <w:rPr>
          <w:rFonts w:ascii="Times New Roman" w:hAnsi="Times New Roman" w:cs="Times New Roman" w:eastAsia="Times New Roman"/>
        </w:rPr>
        <w:t xml:space="preserve">Beyond accuracy, Selphi 2's default diploid engine is faster and leaner than Beagle 5.5 on this benchmark. Imputing the six-sample cohort against the 75,552-haplotype panel on a single 16-thread node (one chromosome at a time), Selphi 2 completes all 22 autosomes in 27.7 minutes versus Beagle's 36.4 minutes (1.3</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end-to-end), at a peak resident memory of about 25 GB versus Beagle's roughly 40 GB (about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leaner), even though the default intra-run ensemble (Methods) runs two imputation passes; disabling the ensemble is faster still (Table 3b). Per-chromosome wall times on this shared node fluctuate with system load, so the whole-genome total is the stable measure.</w:t>
      </w:r>
    </w:p>
    <w:p>
      <w:pPr>
        <w:pStyle w:val="BodyText"/>
        <w:jc w:val="both"/>
      </w:pPr>
      <w:r>
        <w:rPr>
          <w:rFonts w:ascii="Times New Roman" w:hAnsi="Times New Roman" w:cs="Times New Roman" w:eastAsia="Times New Roman"/>
          <w:b/>
          <w:bCs/>
        </w:rPr>
        <w:t xml:space="preserve">Table 3b. Whole-genome wall time and peak memory on the consumer-array benchmark.</w:t>
      </w:r>
      <w:r>
        <w:rPr>
          <w:rFonts w:ascii="Times New Roman" w:hAnsi="Times New Roman" w:cs="Times New Roman" w:eastAsia="Times New Roman"/>
        </w:rPr>
        <w:t xml:space="preserve"> </w:t>
      </w:r>
      <w:r>
        <w:rPr>
          <w:rFonts w:ascii="Times New Roman" w:hAnsi="Times New Roman" w:cs="Times New Roman" w:eastAsia="Times New Roman"/>
        </w:rP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6845"/>
        <w:gridCol w:w="1520"/>
        <w:gridCol w:w="995"/>
      </w:tblGrid>
      <w:tr>
        <w:trPr>
          <w:tblHeader w:val="on"/>
        </w:trPr>
        <w:tc>
          <w:tcPr>
            <w:shd w:val="clear" w:color="auto" w:fill="595959"/>
            <w:vAlign w:val="center"/>
            <w:tcW w:type="dxa" w:w="6845"/>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520"/>
          </w:tcPr>
          <w:p>
            <w:pPr>
              <w:pStyle w:val="Compact"/>
              <w:jc w:val="center"/>
            </w:pPr>
            <w:r>
              <w:rPr>
                <w:rFonts w:ascii="Times New Roman" w:hAnsi="Times New Roman" w:cs="Times New Roman" w:eastAsia="Times New Roman"/>
                <w:b/>
                <w:color w:val="FFFFFF"/>
                <w:sz w:val="20"/>
              </w:rPr>
              <w:t xml:space="preserve">Whole-genome wall time</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Peak memory</w:t>
            </w:r>
          </w:p>
        </w:tc>
      </w:tr>
      <w:tr>
        <w:tc>
          <w:tcPr>
            <w:shd w:val="clear" w:color="auto" w:fill="FFFFFF"/>
            <w:vAlign w:val="center"/>
            <w:tcW w:type="dxa" w:w="6845"/>
          </w:tcPr>
          <w:p>
            <w:pPr>
              <w:pStyle w:val="Compact"/>
              <w:jc w:val="left"/>
            </w:pPr>
            <w:r>
              <w:rPr>
                <w:rFonts w:ascii="Times New Roman" w:hAnsi="Times New Roman" w:cs="Times New Roman" w:eastAsia="Times New Roman"/>
                <w:sz w:val="20"/>
              </w:rPr>
              <w:t xml:space="preserve">Selphi 2 (default diploid)</w:t>
            </w:r>
          </w:p>
        </w:tc>
        <w:tc>
          <w:tcPr>
            <w:shd w:val="clear" w:color="auto" w:fill="FFFFFF"/>
            <w:vAlign w:val="center"/>
            <w:tcW w:type="dxa" w:w="1520"/>
          </w:tcPr>
          <w:p>
            <w:pPr>
              <w:pStyle w:val="Compact"/>
              <w:jc w:val="center"/>
            </w:pPr>
            <w:r>
              <w:rPr>
                <w:rFonts w:ascii="Times New Roman" w:hAnsi="Times New Roman" w:cs="Times New Roman" w:eastAsia="Times New Roman"/>
                <w:sz w:val="20"/>
              </w:rPr>
              <w:t xml:space="preserve">27.7 min</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 25 GB</w:t>
            </w:r>
          </w:p>
        </w:tc>
      </w:tr>
      <w:tr>
        <w:tc>
          <w:tcPr>
            <w:shd w:val="clear" w:color="auto" w:fill="E7E6E6"/>
            <w:vAlign w:val="center"/>
            <w:tcW w:type="dxa" w:w="6845"/>
          </w:tcPr>
          <w:p>
            <w:pPr>
              <w:pStyle w:val="Compact"/>
              <w:jc w:val="left"/>
            </w:pPr>
            <w:r>
              <w:rPr>
                <w:rFonts w:ascii="Times New Roman" w:hAnsi="Times New Roman" w:cs="Times New Roman" w:eastAsia="Times New Roman"/>
                <w:sz w:val="20"/>
              </w:rPr>
              <w:t xml:space="preserve">Beagle 5.5 (phase + impute)</w:t>
            </w:r>
          </w:p>
        </w:tc>
        <w:tc>
          <w:tcPr>
            <w:shd w:val="clear" w:color="auto" w:fill="E7E6E6"/>
            <w:vAlign w:val="center"/>
            <w:tcW w:type="dxa" w:w="1520"/>
          </w:tcPr>
          <w:p>
            <w:pPr>
              <w:pStyle w:val="Compact"/>
              <w:jc w:val="center"/>
            </w:pPr>
            <w:r>
              <w:rPr>
                <w:rFonts w:ascii="Times New Roman" w:hAnsi="Times New Roman" w:cs="Times New Roman" w:eastAsia="Times New Roman"/>
                <w:sz w:val="20"/>
              </w:rPr>
              <w:t xml:space="preserve">36.4 min</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 40 GB</w:t>
            </w:r>
          </w:p>
        </w:tc>
      </w:tr>
    </w:tbl>
    <w:p>
      <w:pPr>
        <w:pStyle w:val="Heading2"/>
        <w:jc w:val="both"/>
      </w:pPr>
      <w:r>
        <w:rPr>
          <w:rFonts w:ascii="Times New Roman" w:hAnsi="Times New Roman" w:cs="Times New Roman" w:eastAsia="Times New Roman"/>
          <w:b/>
          <w:bCs/>
        </w:rPr>
        <w:t xml:space="preserve">Phasing accuracy on the 1000 Genomes trio dataset</w:t>
      </w:r>
    </w:p>
    <w:p>
      <w:pPr>
        <w:pStyle w:val="FirstParagraph"/>
        <w:jc w:val="both"/>
      </w:pPr>
      <w:r>
        <w:rPr>
          <w:rFonts w:ascii="Times New Roman" w:hAnsi="Times New Roman" w:cs="Times New Roman" w:eastAsia="Times New Roman"/>
        </w:rP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("no-trios" panel). For SHAPEIT5 v5.1.1, the full pipeline was run (phase_common at MAF ≥ 0.001, then phase_rare on the common-variant scaffold). For Beagle 5.5, the default phasing pass was used. Switch error rate (SER) was computed against the parent-of-origin truth using</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The set of testable heterozygous sites was determined by the trio genotypes and was therefore the same for every tool (1,992,617 sites on chr22; 10,632,243 sites on chr1, summed across the 54 trios).</w:t>
      </w:r>
    </w:p>
    <w:p>
      <w:pPr>
        <w:pStyle w:val="BodyText"/>
        <w:jc w:val="both"/>
      </w:pPr>
      <w:r>
        <w:rPr>
          <w:rFonts w:ascii="Times New Roman" w:hAnsi="Times New Roman" w:cs="Times New Roman" w:eastAsia="Times New Roman"/>
        </w:rPr>
        <w:t xml:space="preserve">On chromosome 22, Selphi 2's diploid engine attains the lowest mean SER (2.521%), followed by Beagle 5.5 (2.548%), Selphi 2's haploid engine (2.569%), and SHAPEIT5 full pipeline (2.611%). On chromosome 1, the ranking is Beagle 5.5 (1.865%), Selphi 2 diploid (1.876%) and Selphi 2 haploid (1.876%) (tied to 4 decimal places), and SHAPEIT5 (1.935%). Selphi 2's diploid engine is effectively tied with Beagle 5.5 across both chromosomes (|</w:t>
      </w:r>
      <m:oMath>
        <m:r>
          <m:rPr>
            <m:sty m:val="p"/>
          </m:rPr>
          <m:t>Δ</m:t>
        </m:r>
      </m:oMath>
      <w:r>
        <w:rPr>
          <w:rFonts w:ascii="Times New Roman" w:hAnsi="Times New Roman" w:cs="Times New Roman" w:eastAsia="Times New Roman"/>
        </w:rPr>
        <w:t xml:space="preserve">| ≤ 0.027 percentage points, within seed-to-seed variation) and consistently better than SHAPEIT5 (by 0.060-0.090 percentage points). Selphi 2 diploid is also the fastest phaser of the four on both chromosomes, completing chr22 in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and chr1 in 0.67</w:t>
      </w:r>
      <m:oMath>
        <m:r>
          <m:rPr>
            <m:sty m:val="p"/>
          </m:rPr>
          <m:t>×</m:t>
        </m:r>
      </m:oMath>
      <w:r>
        <w:rPr>
          <w:rFonts w:ascii="Times New Roman" w:hAnsi="Times New Roman" w:cs="Times New Roman" w:eastAsia="Times New Roman"/>
        </w:rPr>
        <w:t xml:space="preserve">, with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peak memory than Beagle 5.5 (Table 4; Supplementary Table S5).</w:t>
      </w:r>
    </w:p>
    <w:p>
      <w:pPr>
        <w:pStyle w:val="BodyText"/>
        <w:jc w:val="both"/>
      </w:pPr>
      <w:r>
        <w:rPr>
          <w:rFonts w:ascii="Times New Roman" w:hAnsi="Times New Roman" w:cs="Times New Roman" w:eastAsia="Times New Roman"/>
          <w:b/>
          <w:bCs/>
        </w:rPr>
        <w:t xml:space="preserve">Table 4. Phasing accuracy, wall time, and peak memory on the 1000 Genomes trio dataset.</w:t>
      </w:r>
      <w:r>
        <w:rPr>
          <w:rFonts w:ascii="Times New Roman" w:hAnsi="Times New Roman" w:cs="Times New Roman" w:eastAsia="Times New Roman"/>
        </w:rPr>
        <w:t xml:space="preserve"> </w:t>
      </w:r>
      <w:r>
        <w:rPr>
          <w:rFonts w:ascii="Times New Roman" w:hAnsi="Times New Roman" w:cs="Times New Roman" w:eastAsia="Times New Roman"/>
        </w:rPr>
        <w:t xml:space="preserve">All tools phased the same 54 trio children (whole-genome sequencing density) against the 2,239-sample no-trios reference panel, on the same machine with 16 threads.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over the same heterozygous site set for every tool (n = 1,992,617 sites on chr22, 10,632,243 sites on chr1, summed across the 54 trios).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20"/>
        <w:gridCol w:w="785"/>
        <w:gridCol w:w="785"/>
        <w:gridCol w:w="995"/>
        <w:gridCol w:w="785"/>
        <w:gridCol w:w="995"/>
        <w:gridCol w:w="995"/>
      </w:tblGrid>
      <w:tr>
        <w:trPr>
          <w:tblHeader w:val="on"/>
        </w:trPr>
        <w:tc>
          <w:tcPr>
            <w:shd w:val="clear" w:color="auto" w:fill="595959"/>
            <w:vAlign w:val="center"/>
            <w:tcW w:type="dxa" w:w="402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SER (%)</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chr22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chr22 peak RAM</w:t>
            </w:r>
          </w:p>
        </w:tc>
        <w:tc>
          <w:tcPr>
            <w:shd w:val="clear" w:color="auto" w:fill="595959"/>
            <w:vAlign w:val="center"/>
            <w:tcW w:type="dxa" w:w="785"/>
          </w:tcPr>
          <w:p>
            <w:pPr>
              <w:pStyle w:val="Compact"/>
              <w:jc w:val="center"/>
            </w:pPr>
            <w:r>
              <w:rPr>
                <w:rFonts w:ascii="Times New Roman" w:hAnsi="Times New Roman" w:cs="Times New Roman" w:eastAsia="Times New Roman"/>
                <w:b/>
                <w:color w:val="FFFFFF"/>
                <w:sz w:val="20"/>
              </w:rPr>
              <w:t xml:space="preserve">chr1 SER (%)</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wall</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chr1 peak RAM</w:t>
            </w:r>
          </w:p>
        </w:tc>
      </w:tr>
      <w:tr>
        <w:tc>
          <w:tcPr>
            <w:shd w:val="clear" w:color="auto" w:fill="FFFFFF"/>
            <w:vAlign w:val="center"/>
            <w:tcW w:type="dxa" w:w="4020"/>
          </w:tcPr>
          <w:p>
            <w:pPr>
              <w:pStyle w:val="Compact"/>
              <w:jc w:val="left"/>
            </w:pPr>
            <w:r>
              <w:rPr>
                <w:rFonts w:ascii="Times New Roman" w:hAnsi="Times New Roman" w:cs="Times New Roman" w:eastAsia="Times New Roman"/>
                <w:b/>
                <w:bCs/>
                <w:sz w:val="20"/>
              </w:rPr>
              <w:t xml:space="preserve">Selphi 2 diploid</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785"/>
          </w:tcPr>
          <w:p>
            <w:pPr>
              <w:pStyle w:val="Compact"/>
              <w:jc w:val="center"/>
            </w:pPr>
            <w:r>
              <w:rPr>
                <w:rFonts w:ascii="Times New Roman" w:hAnsi="Times New Roman" w:cs="Times New Roman" w:eastAsia="Times New Roman"/>
                <w:b/>
                <w:bCs/>
                <w:sz w:val="20"/>
              </w:rPr>
              <w:t xml:space="preserve">131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4.1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570 s</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11.0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17.6 GB</w:t>
            </w:r>
          </w:p>
        </w:tc>
        <w:tc>
          <w:tcPr>
            <w:shd w:val="clear" w:color="auto" w:fill="E7E6E6"/>
            <w:vAlign w:val="center"/>
            <w:tcW w:type="dxa" w:w="785"/>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846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44.9 GB</w:t>
            </w:r>
          </w:p>
        </w:tc>
      </w:tr>
      <w:tr>
        <w:tc>
          <w:tcPr>
            <w:shd w:val="clear" w:color="auto" w:fill="FFFFFF"/>
            <w:vAlign w:val="center"/>
            <w:tcW w:type="dxa" w:w="4020"/>
          </w:tcPr>
          <w:p>
            <w:pPr>
              <w:pStyle w:val="Compact"/>
              <w:jc w:val="left"/>
            </w:pPr>
            <w:r>
              <w:rPr>
                <w:rFonts w:ascii="Times New Roman" w:hAnsi="Times New Roman" w:cs="Times New Roman" w:eastAsia="Times New Roman"/>
                <w:sz w:val="20"/>
              </w:rPr>
              <w:t xml:space="preserve">Selphi 2 haploid</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2.569</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591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37.4 GB</w:t>
            </w:r>
          </w:p>
        </w:tc>
        <w:tc>
          <w:tcPr>
            <w:shd w:val="clear" w:color="auto" w:fill="FFFFFF"/>
            <w:vAlign w:val="center"/>
            <w:tcW w:type="dxa" w:w="785"/>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1,651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78.9 GB</w:t>
            </w:r>
          </w:p>
        </w:tc>
      </w:tr>
      <w:tr>
        <w:tc>
          <w:tcPr>
            <w:shd w:val="clear" w:color="auto" w:fill="E7E6E6"/>
            <w:vAlign w:val="center"/>
            <w:tcW w:type="dxa" w:w="4020"/>
          </w:tcPr>
          <w:p>
            <w:pPr>
              <w:pStyle w:val="Compact"/>
              <w:jc w:val="left"/>
            </w:pPr>
            <w:r>
              <w:rPr>
                <w:rFonts w:ascii="Times New Roman" w:hAnsi="Times New Roman" w:cs="Times New Roman" w:eastAsia="Times New Roman"/>
                <w:sz w:val="20"/>
              </w:rPr>
              <w:t xml:space="preserve">SHAPEIT5 v5.1.1 (full)</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277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5.9 GB</w:t>
            </w:r>
          </w:p>
        </w:tc>
        <w:tc>
          <w:tcPr>
            <w:shd w:val="clear" w:color="auto" w:fill="E7E6E6"/>
            <w:vAlign w:val="center"/>
            <w:tcW w:type="dxa" w:w="785"/>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622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31.0 GB</w:t>
            </w:r>
          </w:p>
        </w:tc>
      </w:tr>
    </w:tbl>
    <w:p>
      <w:pPr>
        <w:pStyle w:val="BodyText"/>
        <w:jc w:val="both"/>
      </w:pPr>
      <w:r>
        <w:rPr>
          <w:rFonts w:ascii="Times New Roman" w:hAnsi="Times New Roman" w:cs="Times New Roman" w:eastAsia="Times New Roman"/>
        </w:rPr>
        <w:t xml:space="preserve">The two Selphi 2 engines tie on chr1 (1.876% each) and are within 0.05 percentage points on chr22 (diploid 2.521% versus haploid 2.569%). On admixed biobank-scale data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the two engines remain close: the haploid engine attains overall imputation</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0.6156 versus the diploid engine's 0.6148, a gap of +0.0008, effectively tied on this cohort. We discuss the interpretation of this engine-by-cohort behaviour in the Discussion.</w:t>
      </w:r>
    </w:p>
    <w:p>
      <w:pPr>
        <w:pStyle w:val="BodyText"/>
        <w:jc w:val="both"/>
      </w:pPr>
      <w:r>
        <w:rPr>
          <w:rFonts w:ascii="Times New Roman" w:hAnsi="Times New Roman" w:cs="Times New Roman" w:eastAsia="Times New Roman"/>
          <w:b/>
          <w:bCs/>
        </w:rPr>
        <w:t xml:space="preserve">Pedigree-aware phasing.</w:t>
      </w:r>
      <w:r>
        <w:rPr>
          <w:rFonts w:ascii="Times New Roman" w:hAnsi="Times New Roman" w:cs="Times New Roman" w:eastAsia="Times New Roman"/>
        </w:rPr>
        <w:t xml:space="preserve"> </w:t>
      </w:r>
      <w:r>
        <w:rPr>
          <w:rFonts w:ascii="Times New Roman" w:hAnsi="Times New Roman" w:cs="Times New Roman" w:eastAsia="Times New Roman"/>
        </w:rPr>
        <w:t xml:space="preserve">When trios or duos are available, Selphi 2 applies the Mendelian constraints implied by the pedigree before the HMM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Pedigree scaffolding</w:t>
      </w:r>
      <w:r>
        <w:rPr>
          <w:rFonts w:ascii="Times New Roman" w:hAnsi="Times New Roman" w:cs="Times New Roman" w:eastAsia="Times New Roman"/>
        </w:rPr>
        <w:t xml:space="preserve">). To quantify the benefit, we re-phased the same 54 children together with their parents (162 individuals) against the no-trios panel with the pedigree supplied (</w:t>
      </w:r>
      <w:r>
        <w:rPr>
          <w:rFonts w:ascii="Times New Roman" w:hAnsi="Times New Roman" w:cs="Times New Roman" w:eastAsia="Times New Roman"/>
          <w:rStyle w:val="VerbatimChar"/>
        </w:rPr>
        <w:t xml:space="preserve">--ped</w:t>
      </w:r>
      <w:r>
        <w:rPr>
          <w:rFonts w:ascii="Times New Roman" w:hAnsi="Times New Roman" w:cs="Times New Roman" w:eastAsia="Times New Roman"/>
        </w:rPr>
        <w:t xml:space="preserve">), and compared against the parent-free phasing above. On chromosome 22 the pedigree scaffold lowered Selphi 2's mean switch-error rate from 2.521% to 0.849% (a 66% reduction), while the same pedigree lowered Beagle 5.5's SER from 2.548% to 1.050% and SHAPEIT5's (full pipeline,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from 2.599% to 0.000% (Table 4b). Crucially, this pedigree benefit is consistent at the level of individual trios: Selphi 2's pedigree-aware phasing achieved a lower switch-error rate than Beagle's in 52 of 54 trios on chromosome 22 (paired Δ = -0.20 pp, 95% CI [-0.23, -0.17]) and in all 54 of 54 trios on chromosome 1 (where the pedigree lowered Selphi 2 from 1.876% to 0.335% and Beagle from 1.865% to 0.429%; Δ = -0.09 pp, [-0.10, -0.08]), so among the two probabilistic scaffolders Selphi 2 makes the more effective use of the pedigree.</w:t>
      </w:r>
    </w:p>
    <w:p>
      <w:pPr>
        <w:pStyle w:val="BodyText"/>
        <w:jc w:val="both"/>
      </w:pPr>
      <w:r>
        <w:rPr>
          <w:rFonts w:ascii="Times New Roman" w:hAnsi="Times New Roman" w:cs="Times New Roman" w:eastAsia="Times New Roman"/>
        </w:rPr>
        <w:t xml:space="preserve">Switch-error rates measured</w:t>
      </w:r>
      <w:r>
        <w:rPr>
          <w:rFonts w:ascii="Times New Roman" w:hAnsi="Times New Roman" w:cs="Times New Roman" w:eastAsia="Times New Roman"/>
        </w:rPr>
        <w:t xml:space="preserve"> </w:t>
      </w:r>
      <w:r>
        <w:rPr>
          <w:rFonts w:ascii="Times New Roman" w:hAnsi="Times New Roman" w:cs="Times New Roman" w:eastAsia="Times New Roman"/>
          <w:i/>
          <w:iCs/>
        </w:rPr>
        <w:t xml:space="preserve">with</w:t>
      </w:r>
      <w:r>
        <w:rPr>
          <w:rFonts w:ascii="Times New Roman" w:hAnsi="Times New Roman" w:cs="Times New Roman" w:eastAsia="Times New Roman"/>
        </w:rPr>
        <w:t xml:space="preserve"> </w:t>
      </w:r>
      <w:r>
        <w:rPr>
          <w:rFonts w:ascii="Times New Roman" w:hAnsi="Times New Roman" w:cs="Times New Roman" w:eastAsia="Times New Roman"/>
        </w:rP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--pedigree</w:t>
      </w:r>
      <w:r>
        <w:rPr>
          <w:rFonts w:ascii="Times New Roman" w:hAnsi="Times New Roman" w:cs="Times New Roman" w:eastAsia="Times New Roman"/>
        </w:rPr>
        <w:t xml:space="preserve"> </w:t>
      </w:r>
      <w:r>
        <w:rPr>
          <w:rFonts w:ascii="Times New Roman" w:hAnsi="Times New Roman" w:cs="Times New Roman" w:eastAsia="Times New Roman"/>
        </w:rP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4) is therefore the unconfounded measure of phasing quality. There the three tools are close: on chromosome 22 Selphi 2's diploid engine is statistically indistinguishable from Beagle 5.5 (paired Δ = -0.027 pp, 95% CI [-0.056, +0.002], lower in 30 of 54 trios) and significantly lower than SHAPEIT5 (Δ = -0.078 pp on the SHAPEIT5 run reported in Table 4b, within the ≤0.012 pp run-to-run range of Table 4's headline value; 95% CI [-0.104, -0.053], 44 of 54 trios), while on chromosome 1 Beagle 5.5 is marginally lowest but again not significantly different from Selphi 2 (Δ = +0.011 pp, [-0.000, +0.027]).</w:t>
      </w:r>
    </w:p>
    <w:p>
      <w:pPr>
        <w:pStyle w:val="BodyText"/>
        <w:jc w:val="both"/>
      </w:pPr>
      <w:r>
        <w:rPr>
          <w:rFonts w:ascii="Times New Roman" w:hAnsi="Times New Roman" w:cs="Times New Roman" w:eastAsia="Times New Roman"/>
        </w:rP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+0.016 to +0.022 on chromosome 22 and +0.013 to +0.018 on chromosome 1; Table 4c).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within 0.002), so the gain reflects the pedigree information itself rather than the choice of phasing tool.</w:t>
      </w:r>
    </w:p>
    <w:p>
      <w:pPr>
        <w:pStyle w:val="BodyText"/>
        <w:jc w:val="both"/>
      </w:pPr>
      <w:r>
        <w:rPr>
          <w:rFonts w:ascii="Times New Roman" w:hAnsi="Times New Roman" w:cs="Times New Roman" w:eastAsia="Times New Roman"/>
          <w:b/>
          <w:bCs/>
        </w:rPr>
        <w:t xml:space="preserve">Table 4b. Pedigree-aware phasing: switch-error rate with and without trio pedigree.</w:t>
      </w:r>
      <w:r>
        <w:rPr>
          <w:rFonts w:ascii="Times New Roman" w:hAnsi="Times New Roman" w:cs="Times New Roman" w:eastAsia="Times New Roman"/>
        </w:rPr>
        <w:t xml:space="preserve"> </w:t>
      </w:r>
      <w:r>
        <w:rPr>
          <w:rFonts w:ascii="Times New Roman" w:hAnsi="Times New Roman" w:cs="Times New Roman" w:eastAsia="Times New Roman"/>
        </w:rPr>
        <w:t xml:space="preserve">The same 54 trio children were phased against the 2,239-sample no-trios reference panel either alone (no pedigree) or jointly with their parents (162 individuals) with the trio pedigree supplied. SER computed by</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bcftools +trio-switch-rate</w:t>
      </w:r>
      <w:r>
        <w:rPr>
          <w:rFonts w:ascii="Times New Roman" w:hAnsi="Times New Roman" w:cs="Times New Roman" w:eastAsia="Times New Roman"/>
        </w:rPr>
        <w:t xml:space="preserve"> </w:t>
      </w:r>
      <w:r>
        <w:rPr>
          <w:rFonts w:ascii="Times New Roman" w:hAnsi="Times New Roman" w:cs="Times New Roman" w:eastAsia="Times New Roman"/>
        </w:rPr>
        <w:t xml:space="preserve">(column nSwitch %) against the parent-of-origin truth, reported as the mean of per-trio switch-error rates (equal weight per trio, n = 54) over an identical 1,992,617-site testable set for every tool. SHAPEIT5 is the full pipeline (</w:t>
      </w:r>
      <w:r>
        <w:rPr>
          <w:rFonts w:ascii="Times New Roman" w:hAnsi="Times New Roman" w:cs="Times New Roman" w:eastAsia="Times New Roman"/>
          <w:rStyle w:val="VerbatimChar"/>
        </w:rPr>
        <w:t xml:space="preserve">phase_common</w:t>
      </w:r>
      <w:r>
        <w:rPr>
          <w:rFonts w:ascii="Times New Roman" w:hAnsi="Times New Roman" w:cs="Times New Roman" w:eastAsia="Times New Roman"/>
        </w:rPr>
        <w:t xml:space="preserve"> </w:t>
      </w:r>
      <w:r>
        <w:rPr>
          <w:rFonts w:ascii="Times New Roman" w:hAnsi="Times New Roman" w:cs="Times New Roman" w:eastAsia="Times New Roman"/>
        </w:rPr>
        <w:t xml:space="preserve">at MAF ≥ 0.001 then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phase_rare</w:t>
      </w:r>
      <w:r>
        <w:rPr>
          <w:rFonts w:ascii="Times New Roman" w:hAnsi="Times New Roman" w:cs="Times New Roman" w:eastAsia="Times New Roman"/>
        </w:rPr>
        <w:t xml:space="preserve">). The no-pedigree columns reproduce the experiment of Table 4 (Selphi 2 and Beagle 5.5 identical; SHAPEIT5 within 0.012 pp of Table 4's independent run); paired significance is given in the text. Pedigree-aware SER is partially circular (see text); the no-pedigree columns are the unconfounded comparison and Table 4c is the independent confirmation.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960"/>
        <w:gridCol w:w="1100"/>
        <w:gridCol w:w="1100"/>
        <w:gridCol w:w="1100"/>
        <w:gridCol w:w="1100"/>
      </w:tblGrid>
      <w:tr>
        <w:trPr>
          <w:tblHeader w:val="on"/>
        </w:trPr>
        <w:tc>
          <w:tcPr>
            <w:shd w:val="clear" w:color="auto" w:fill="595959"/>
            <w:vAlign w:val="center"/>
            <w:tcW w:type="dxa" w:w="4960"/>
          </w:tcPr>
          <w:p>
            <w:pPr>
              <w:pStyle w:val="Compact"/>
              <w:jc w:val="center"/>
            </w:pPr>
            <w:r>
              <w:rPr>
                <w:rFonts w:ascii="Times New Roman" w:hAnsi="Times New Roman" w:cs="Times New Roman" w:eastAsia="Times New Roman"/>
                <w:b/>
                <w:color w:val="FFFFFF"/>
                <w:sz w:val="20"/>
              </w:rPr>
              <w:t xml:space="preserve">Tool</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chr22 SER, +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no pedigree (%)</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chr1 SER, + pedigree (%)</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Selphi 2 (diploid)</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2.521</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0.335</w:t>
            </w:r>
          </w:p>
        </w:tc>
      </w:tr>
      <w:tr>
        <w:tc>
          <w:tcPr>
            <w:shd w:val="clear" w:color="auto" w:fill="E7E6E6"/>
            <w:vAlign w:val="center"/>
            <w:tcW w:type="dxa" w:w="4960"/>
          </w:tcPr>
          <w:p>
            <w:pPr>
              <w:pStyle w:val="Compact"/>
              <w:jc w:val="left"/>
            </w:pPr>
            <w:r>
              <w:rPr>
                <w:rFonts w:ascii="Times New Roman" w:hAnsi="Times New Roman" w:cs="Times New Roman" w:eastAsia="Times New Roman"/>
                <w:sz w:val="20"/>
              </w:rPr>
              <w:t xml:space="preserve">Beagle 5.5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2.548</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1.050</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1.865</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0.429</w:t>
            </w:r>
          </w:p>
        </w:tc>
      </w:tr>
      <w:tr>
        <w:tc>
          <w:tcPr>
            <w:shd w:val="clear" w:color="auto" w:fill="FFFFFF"/>
            <w:vAlign w:val="center"/>
            <w:tcW w:type="dxa" w:w="4960"/>
          </w:tcPr>
          <w:p>
            <w:pPr>
              <w:pStyle w:val="Compact"/>
              <w:jc w:val="left"/>
            </w:pPr>
            <w:r>
              <w:rPr>
                <w:rFonts w:ascii="Times New Roman" w:hAnsi="Times New Roman" w:cs="Times New Roman" w:eastAsia="Times New Roman"/>
                <w:sz w:val="20"/>
              </w:rPr>
              <w:t xml:space="preserve">SHAPEIT5 v5.1.1 (full)</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2.599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0.000*</w:t>
            </w:r>
          </w:p>
        </w:tc>
      </w:tr>
    </w:tbl>
    <w:p>
      <w:pPr>
        <w:pStyle w:val="BodyText"/>
        <w:jc w:val="both"/>
      </w:pPr>
      <w:r>
        <w:rPr>
          <w:rFonts w:ascii="Times New Roman" w:hAnsi="Times New Roman" w:cs="Times New Roman" w:eastAsia="Times New Roman"/>
        </w:rPr>
        <w:t xml:space="preserve">*0.000% reflects rigid commitment of the child's phase to the Mendelian configuration, not error-free phasing (see text).</w:t>
      </w:r>
    </w:p>
    <w:p>
      <w:pPr>
        <w:pStyle w:val="BodyText"/>
        <w:jc w:val="both"/>
      </w:pPr>
      <w:r>
        <w:rPr>
          <w:rFonts w:ascii="Times New Roman" w:hAnsi="Times New Roman" w:cs="Times New Roman" w:eastAsia="Times New Roman"/>
          <w:b/>
          <w:bCs/>
        </w:rPr>
        <w:t xml:space="preserve">Table 4c. Pedigree benefit measured by downstream imputation against an independent truth.</w:t>
      </w:r>
      <w:r>
        <w:rPr>
          <w:rFonts w:ascii="Times New Roman" w:hAnsi="Times New Roman" w:cs="Times New Roman" w:eastAsia="Times New Roman"/>
        </w:rPr>
        <w:t xml:space="preserve"> </w:t>
      </w:r>
      <w:r>
        <w:rPr>
          <w:rFonts w:ascii="Times New Roman" w:hAnsi="Times New Roman" w:cs="Times New Roman" w:eastAsia="Times New Roman"/>
        </w:rP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528"/>
        <w:gridCol w:w="1458"/>
        <w:gridCol w:w="1458"/>
        <w:gridCol w:w="1458"/>
        <w:gridCol w:w="1458"/>
      </w:tblGrid>
      <w:tr>
        <w:trPr>
          <w:tblHeader w:val="on"/>
        </w:trPr>
        <w:tc>
          <w:tcPr>
            <w:shd w:val="clear" w:color="auto" w:fill="595959"/>
            <w:vAlign w:val="center"/>
            <w:tcW w:type="dxa" w:w="3528"/>
          </w:tcPr>
          <w:p>
            <w:pPr>
              <w:pStyle w:val="Compact"/>
              <w:jc w:val="center"/>
            </w:pPr>
            <w:r>
              <w:rPr>
                <w:rFonts w:ascii="Times New Roman" w:hAnsi="Times New Roman" w:cs="Times New Roman" w:eastAsia="Times New Roman"/>
                <w:b/>
                <w:color w:val="FFFFFF"/>
                <w:sz w:val="20"/>
              </w:rPr>
              <w:t xml:space="preserve">Phasing</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chr22</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no ped</w:t>
            </w:r>
          </w:p>
        </w:tc>
        <w:tc>
          <w:tcPr>
            <w:shd w:val="clear" w:color="auto" w:fill="595959"/>
            <w:vAlign w:val="center"/>
            <w:tcW w:type="dxa" w:w="1458"/>
          </w:tcPr>
          <w:p>
            <w:pPr>
              <w:pStyle w:val="Compact"/>
              <w:jc w:val="center"/>
            </w:pPr>
            <w:r>
              <w:rPr>
                <w:rFonts w:ascii="Times New Roman" w:hAnsi="Times New Roman" w:cs="Times New Roman" w:eastAsia="Times New Roman"/>
                <w:b/>
                <w:color w:val="FFFFFF"/>
                <w:sz w:val="20"/>
              </w:rPr>
              <w:t xml:space="preserve">chr1</w:t>
            </w:r>
            <w:r>
              <w:rPr>
                <w:rFonts w:ascii="Times New Roman" w:hAnsi="Times New Roman" w:cs="Times New Roman" w:eastAsia="Times New Roman"/>
                <w:b/>
                <w:color w:val="FFFFFF"/>
                <w:sz w:val="20"/>
              </w:rPr>
              <w:t xml:space="preserve"> </w:t>
            </w:r>
            <m:oMath>
              <m:sSup>
                <m:e>
                  <m:r>
                    <m:t>R</m:t>
                  </m:r>
                </m:e>
                <m:sup>
                  <m:r>
                    <m:t>2</m:t>
                  </m:r>
                </m:sup>
              </m:sSup>
            </m:oMath>
            <w:r>
              <w:rPr>
                <w:rFonts w:ascii="Times New Roman" w:hAnsi="Times New Roman" w:cs="Times New Roman" w:eastAsia="Times New Roman"/>
                <w:b/>
                <w:color w:val="FFFFFF"/>
                <w:sz w:val="20"/>
              </w:rPr>
              <w:t xml:space="preserve">, + ped</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Selphi 2 (diploid)</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0.7495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0.7659</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0.8570</w:t>
            </w:r>
          </w:p>
        </w:tc>
      </w:tr>
      <w:tr>
        <w:tc>
          <w:tcPr>
            <w:shd w:val="clear" w:color="auto" w:fill="E7E6E6"/>
            <w:vAlign w:val="center"/>
            <w:tcW w:type="dxa" w:w="3528"/>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0.7508</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0.7729</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0.8414</w:t>
            </w:r>
          </w:p>
        </w:tc>
        <w:tc>
          <w:tcPr>
            <w:shd w:val="clear" w:color="auto" w:fill="E7E6E6"/>
            <w:vAlign w:val="center"/>
            <w:tcW w:type="dxa" w:w="1458"/>
          </w:tcPr>
          <w:p>
            <w:pPr>
              <w:pStyle w:val="Compact"/>
              <w:jc w:val="center"/>
            </w:pPr>
            <w:r>
              <w:rPr>
                <w:rFonts w:ascii="Times New Roman" w:hAnsi="Times New Roman" w:cs="Times New Roman" w:eastAsia="Times New Roman"/>
                <w:sz w:val="20"/>
              </w:rPr>
              <w:t xml:space="preserve">0.8592</w:t>
            </w:r>
          </w:p>
        </w:tc>
      </w:tr>
      <w:tr>
        <w:tc>
          <w:tcPr>
            <w:shd w:val="clear" w:color="auto" w:fill="FFFFFF"/>
            <w:vAlign w:val="center"/>
            <w:tcW w:type="dxa" w:w="3528"/>
          </w:tcPr>
          <w:p>
            <w:pPr>
              <w:pStyle w:val="Compact"/>
              <w:jc w:val="center"/>
            </w:pPr>
            <w:r>
              <w:rPr>
                <w:rFonts w:ascii="Times New Roman" w:hAnsi="Times New Roman" w:cs="Times New Roman" w:eastAsia="Times New Roman"/>
                <w:sz w:val="20"/>
              </w:rPr>
              <w:t xml:space="preserve">SHAPEIT5 v5.1.1</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0.7515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0.7680</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0.8425</w:t>
            </w:r>
          </w:p>
        </w:tc>
        <w:tc>
          <w:tcPr>
            <w:shd w:val="clear" w:color="auto" w:fill="FFFFFF"/>
            <w:vAlign w:val="center"/>
            <w:tcW w:type="dxa" w:w="1458"/>
          </w:tcPr>
          <w:p>
            <w:pPr>
              <w:pStyle w:val="Compact"/>
              <w:jc w:val="center"/>
            </w:pPr>
            <w:r>
              <w:rPr>
                <w:rFonts w:ascii="Times New Roman" w:hAnsi="Times New Roman" w:cs="Times New Roman" w:eastAsia="Times New Roman"/>
                <w:sz w:val="20"/>
              </w:rPr>
              <w:t xml:space="preserve">0.8551</w:t>
            </w:r>
          </w:p>
        </w:tc>
      </w:tr>
    </w:tbl>
    <w:p>
      <w:pPr>
        <w:pStyle w:val="Heading2"/>
        <w:jc w:val="both"/>
      </w:pPr>
      <w:r>
        <w:rPr>
          <w:rFonts w:ascii="Times New Roman" w:hAnsi="Times New Roman" w:cs="Times New Roman" w:eastAsia="Times New Roman"/>
          <w:b/>
          <w:bCs/>
        </w:rPr>
        <w:t xml:space="preserve">Computational efficiency</w:t>
      </w:r>
    </w:p>
    <w:p>
      <w:pPr>
        <w:pStyle w:val="FirstParagraph"/>
        <w:jc w:val="both"/>
      </w:pPr>
      <w:r>
        <w:rPr>
          <w:rFonts w:ascii="Times New Roman" w:hAnsi="Times New Roman" w:cs="Times New Roman" w:eastAsia="Times New Roman"/>
        </w:rPr>
        <w:t xml:space="preserve">Table 5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jc w:val="both"/>
      </w:pPr>
      <w:r>
        <w:rPr>
          <w:rFonts w:ascii="Times New Roman" w:hAnsi="Times New Roman" w:cs="Times New Roman" w:eastAsia="Times New Roman"/>
          <w:b/>
          <w:bCs/>
        </w:rPr>
        <w:t xml:space="preserve">Table 5. Wall time and peak memory.</w:t>
      </w:r>
      <w:r>
        <w:rPr>
          <w:rFonts w:ascii="Times New Roman" w:hAnsi="Times New Roman" w:cs="Times New Roman" w:eastAsia="Times New Roman"/>
        </w:rPr>
        <w:t xml:space="preserve"> </w:t>
      </w:r>
      <w:r>
        <w:rPr>
          <w:rFonts w:ascii="Times New Roman" w:hAnsi="Times New Roman" w:cs="Times New Roman" w:eastAsia="Times New Roman"/>
        </w:rPr>
        <w:t xml:space="preserve">All numbers measured on a single workstation (16-thread CPU) with /usr/bin/time -v; Selphi 1.5.3 memory measured via docker stats.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row reflects Selphi 2 at its panel-adaptive default</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(132,676)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(chr22) to 41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(chr1) slower than Selphi 2 at comparable peak memory. Selphi 1.5.3 requires a pre-phased target and does not perform phasing, so on the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3051"/>
        <w:gridCol w:w="2045"/>
        <w:gridCol w:w="2324"/>
        <w:gridCol w:w="1940"/>
      </w:tblGrid>
      <w:tr>
        <w:trPr>
          <w:tblHeader w:val="on"/>
        </w:trPr>
        <w:tc>
          <w:tcPr>
            <w:shd w:val="clear" w:color="auto" w:fill="595959"/>
            <w:vAlign w:val="center"/>
            <w:tcW w:type="dxa" w:w="3051"/>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204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324"/>
          </w:tcPr>
          <w:p>
            <w:pPr>
              <w:pStyle w:val="Compact"/>
              <w:jc w:val="center"/>
            </w:pPr>
            <w:r>
              <w:rPr>
                <w:rFonts w:ascii="Times New Roman" w:hAnsi="Times New Roman" w:cs="Times New Roman" w:eastAsia="Times New Roman"/>
                <w:b/>
                <w:color w:val="FFFFFF"/>
                <w:sz w:val="20"/>
              </w:rPr>
              <w:t xml:space="preserve">Selphi 1.5.3</w:t>
            </w:r>
          </w:p>
        </w:tc>
        <w:tc>
          <w:tcPr>
            <w:shd w:val="clear" w:color="auto" w:fill="595959"/>
            <w:vAlign w:val="center"/>
            <w:tcW w:type="dxa" w:w="1940"/>
          </w:tcPr>
          <w:p>
            <w:pPr>
              <w:pStyle w:val="Compact"/>
              <w:jc w:val="center"/>
            </w:pPr>
            <w:r>
              <w:rPr>
                <w:rFonts w:ascii="Times New Roman" w:hAnsi="Times New Roman" w:cs="Times New Roman" w:eastAsia="Times New Roman"/>
                <w:b/>
                <w:color w:val="FFFFFF"/>
                <w:sz w:val="20"/>
              </w:rPr>
              <w:t xml:space="preserve">Beagle</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chr22 1KG 801s (impute-only, phased input)</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69 s / 13.2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1,532 s / 15.6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58 s / 21.7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1KG 801s (impute-only, phased input)</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373 s / 21.9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15,338 s / 32.6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207 s / 20.2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chr21 GIAB 6 samples (impute-only)</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7.2 s / 6.2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112.8 s / 7.1 GB</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12.5 s / 14.5 GB</w:t>
            </w:r>
          </w:p>
        </w:tc>
      </w:tr>
      <w:tr>
        <w:tc>
          <w:tcPr>
            <w:shd w:val="clear" w:color="auto" w:fill="E7E6E6"/>
            <w:vAlign w:val="center"/>
            <w:tcW w:type="dxa" w:w="3051"/>
          </w:tcPr>
          <w:p>
            <w:pPr>
              <w:pStyle w:val="Compact"/>
              <w:jc w:val="left"/>
            </w:pPr>
            <w:r>
              <w:rPr>
                <w:rFonts w:ascii="Times New Roman" w:hAnsi="Times New Roman" w:cs="Times New Roman" w:eastAsia="Times New Roman"/>
                <w:sz w:val="20"/>
              </w:rPr>
              <w:t xml:space="preserve">chr1 GIAB 6 samples (impute-only)</w:t>
            </w:r>
          </w:p>
        </w:tc>
        <w:tc>
          <w:tcPr>
            <w:shd w:val="clear" w:color="auto" w:fill="E7E6E6"/>
            <w:vAlign w:val="center"/>
            <w:tcW w:type="dxa" w:w="2045"/>
          </w:tcPr>
          <w:p>
            <w:pPr>
              <w:pStyle w:val="Compact"/>
              <w:jc w:val="center"/>
            </w:pPr>
            <w:r>
              <w:rPr>
                <w:rFonts w:ascii="Times New Roman" w:hAnsi="Times New Roman" w:cs="Times New Roman" w:eastAsia="Times New Roman"/>
                <w:sz w:val="20"/>
              </w:rPr>
              <w:t xml:space="preserve">38.8 s / 16.3 GB</w:t>
            </w:r>
          </w:p>
        </w:tc>
        <w:tc>
          <w:tcPr>
            <w:shd w:val="clear" w:color="auto" w:fill="E7E6E6"/>
            <w:vAlign w:val="center"/>
            <w:tcW w:type="dxa" w:w="2324"/>
          </w:tcPr>
          <w:p>
            <w:pPr>
              <w:pStyle w:val="Compact"/>
              <w:jc w:val="left"/>
            </w:pPr>
            <w:r>
              <w:rPr>
                <w:rFonts w:ascii="Times New Roman" w:hAnsi="Times New Roman" w:cs="Times New Roman" w:eastAsia="Times New Roman"/>
                <w:sz w:val="20"/>
              </w:rPr>
              <w:t xml:space="preserve">1923 s / 22.1 GB</w:t>
            </w:r>
          </w:p>
        </w:tc>
        <w:tc>
          <w:tcPr>
            <w:shd w:val="clear" w:color="auto" w:fill="E7E6E6"/>
            <w:vAlign w:val="center"/>
            <w:tcW w:type="dxa" w:w="1940"/>
          </w:tcPr>
          <w:p>
            <w:pPr>
              <w:pStyle w:val="Compact"/>
              <w:jc w:val="center"/>
            </w:pPr>
            <w:r>
              <w:rPr>
                <w:rFonts w:ascii="Times New Roman" w:hAnsi="Times New Roman" w:cs="Times New Roman" w:eastAsia="Times New Roman"/>
                <w:sz w:val="20"/>
              </w:rPr>
              <w:t xml:space="preserve">43.2 s / 39.2 GB</w:t>
            </w:r>
          </w:p>
        </w:tc>
      </w:tr>
      <w:tr>
        <w:tc>
          <w:tcPr>
            <w:shd w:val="clear" w:color="auto" w:fill="FFFFFF"/>
            <w:vAlign w:val="center"/>
            <w:tcW w:type="dxa" w:w="3051"/>
          </w:tcPr>
          <w:p>
            <w:pPr>
              <w:pStyle w:val="Compact"/>
              <w:jc w:val="left"/>
            </w:pPr>
            <w:r>
              <w:rPr>
                <w:rFonts w:ascii="Times New Roman" w:hAnsi="Times New Roman" w:cs="Times New Roman" w:eastAsia="Times New Roman"/>
                <w:sz w:val="20"/>
              </w:rPr>
              <w:t xml:space="preserve">MESA 5K</w:t>
            </w:r>
            <w:r>
              <w:rPr>
                <w:rFonts w:ascii="Times New Roman" w:hAnsi="Times New Roman" w:cs="Times New Roman" w:eastAsia="Times New Roman"/>
                <w:sz w:val="20"/>
              </w:rPr>
              <w:t xml:space="preserve"> </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TOPMed chr20 (full pipeline)</w:t>
            </w:r>
          </w:p>
        </w:tc>
        <w:tc>
          <w:tcPr>
            <w:shd w:val="clear" w:color="auto" w:fill="FFFFFF"/>
            <w:vAlign w:val="center"/>
            <w:tcW w:type="dxa" w:w="2045"/>
          </w:tcPr>
          <w:p>
            <w:pPr>
              <w:pStyle w:val="Compact"/>
              <w:jc w:val="center"/>
            </w:pPr>
            <w:r>
              <w:rPr>
                <w:rFonts w:ascii="Times New Roman" w:hAnsi="Times New Roman" w:cs="Times New Roman" w:eastAsia="Times New Roman"/>
                <w:sz w:val="20"/>
              </w:rPr>
              <w:t xml:space="preserve">11289 s / 65.5 GB</w:t>
            </w:r>
          </w:p>
        </w:tc>
        <w:tc>
          <w:tcPr>
            <w:shd w:val="clear" w:color="auto" w:fill="FFFFFF"/>
            <w:vAlign w:val="center"/>
            <w:tcW w:type="dxa" w:w="2324"/>
          </w:tcPr>
          <w:p>
            <w:pPr>
              <w:pStyle w:val="Compact"/>
              <w:jc w:val="left"/>
            </w:pPr>
            <w:r>
              <w:rPr>
                <w:rFonts w:ascii="Times New Roman" w:hAnsi="Times New Roman" w:cs="Times New Roman" w:eastAsia="Times New Roman"/>
                <w:sz w:val="20"/>
              </w:rPr>
              <w:t xml:space="preserve">~15,480 s / ~98 GB (impute-only)</w:t>
            </w:r>
          </w:p>
        </w:tc>
        <w:tc>
          <w:tcPr>
            <w:shd w:val="clear" w:color="auto" w:fill="FFFFFF"/>
            <w:vAlign w:val="center"/>
            <w:tcW w:type="dxa" w:w="1940"/>
          </w:tcPr>
          <w:p>
            <w:pPr>
              <w:pStyle w:val="Compact"/>
              <w:jc w:val="center"/>
            </w:pPr>
            <w:r>
              <w:rPr>
                <w:rFonts w:ascii="Times New Roman" w:hAnsi="Times New Roman" w:cs="Times New Roman" w:eastAsia="Times New Roman"/>
                <w:sz w:val="20"/>
              </w:rPr>
              <w:t xml:space="preserve">4148 s / 96.5 GB</w:t>
            </w:r>
          </w:p>
        </w:tc>
      </w:tr>
    </w:tbl>
    <w:p>
      <w:pPr>
        <w:pStyle w:val="BodyText"/>
        <w:jc w:val="center"/>
      </w:pPr>
      <w:r>
        <w:rPr>
          <w:rFonts w:ascii="Times New Roman" w:hAnsi="Times New Roman" w:cs="Times New Roman" w:eastAsia="Times New Roman"/>
        </w:rPr>
        <w:drawing>
          <wp:inline>
            <wp:extent cx="5334000" cy="1640274"/>
            <wp:effectExtent b="0" l="0" r="0" t="0"/>
            <wp:docPr descr="Figure 3" title="" id="39" name="Picture"/>
            <a:graphic>
              <a:graphicData uri="http://schemas.openxmlformats.org/drawingml/2006/picture">
                <pic:pic>
                  <pic:nvPicPr>
                    <pic:cNvPr descr="figures/figure3_efficiency.png" id="40" name="Picture"/>
                    <pic:cNvPicPr>
                      <a:picLocks noChangeArrowheads="1" noChangeAspect="1"/>
                    </pic:cNvPicPr>
                  </pic:nvPicPr>
                  <pic:blipFill>
                    <a:blip r:embed="rId38"/>
                    <a:stretch>
                      <a:fillRect/>
                    </a:stretch>
                  </pic:blipFill>
                  <pic:spPr bwMode="auto">
                    <a:xfrm>
                      <a:off x="0" y="0"/>
                      <a:ext cx="5334000" cy="1640274"/>
                    </a:xfrm>
                    <a:prstGeom prst="rect">
                      <a:avLst/>
                    </a:prstGeom>
                    <a:noFill/>
                    <a:ln w="9525">
                      <a:noFill/>
                      <a:headEnd/>
                      <a:tailEnd/>
                    </a:ln>
                  </pic:spPr>
                </pic:pic>
              </a:graphicData>
            </a:graphic>
          </wp:inline>
        </w:drawing>
      </w:r>
    </w:p>
    <w:p>
      <w:pPr>
        <w:pStyle w:val="BodyText"/>
        <w:jc w:val="center"/>
      </w:pPr>
      <w:r>
        <w:rPr>
          <w:rFonts w:ascii="Times New Roman" w:hAnsi="Times New Roman" w:cs="Times New Roman" w:eastAsia="Times New Roman"/>
          <w:b/>
          <w:bCs/>
          <w:sz w:val="20"/>
        </w:rPr>
        <w:t xml:space="preserve">Figure 3. Computational efficiency.</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(a) Whole-genome wall time and (b) peak memory on the consumer-array benchmark (six samples against the 75,552-haplotype panel, all 22 autosomes, 16 threads, one chromosome at a time): Selphi 2's default diploid engine completes the genome in 27.7 min versus Beagle 5.5's 36.4 min (1.3</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at about 25 GB versus 40 GB peak memory (~1.6</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leaner; Table 3b). (c) Per-sample low-coverage wall time for chromosome 22, all three tools measured on the entire chromosome (1</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coverage, 16 threads, same machine; log scale): 115 s for Selphi 2 versus 287 s for GLIMPSE2 (its 15 native chunks plus ligation) and 1,729 s for QUILT2 (tiled across the chromosome), so Selphi 2 is roughly 2.5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GLIMPSE2 and 15</w:t>
      </w:r>
      <m:oMath>
        <m:r>
          <m:rPr>
            <m:sty m:val="p"/>
          </m:rPr>
          <m:t>×</m:t>
        </m:r>
      </m:oMath>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faster than QUILT2 (Table 6b).</w:t>
      </w:r>
    </w:p>
    <w:p>
      <w:pPr>
        <w:pStyle w:val="BodyText"/>
        <w:jc w:val="both"/>
      </w:pPr>
      <w:r>
        <w:rPr>
          <w:rFonts w:ascii="Times New Roman" w:hAnsi="Times New Roman" w:cs="Times New Roman" w:eastAsia="Times New Roman"/>
        </w:rPr>
        <w:t xml:space="preserve">Selphi 2's wall time is 16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lower than Selphi 1.5.3 on the imputation-only GIAB workloads, and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rPr>
          <w:rFonts w:ascii="Times New Roman" w:hAnsi="Times New Roman" w:cs="Times New Roman" w:eastAsia="Times New Roman"/>
        </w:rPr>
        <w:t xml:space="preserve">) but its peak memory is 32% lower (65.5 GB versus 96.5 GB). The runtime cost on the biobank-scale panel is the price paid for the larger candidate-set retained per target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132,676 versus Beagle's window-local composite haplotypes); the corresponding accuracy gain is +0.0227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with Selphi 2 leading Beagle across the MAF spectrum.</w:t>
      </w:r>
    </w:p>
    <w:p>
      <w:pPr>
        <w:pStyle w:val="BodyText"/>
        <w:jc w:val="both"/>
      </w:pPr>
      <w:r>
        <w:rPr>
          <w:rFonts w:ascii="Times New Roman" w:hAnsi="Times New Roman" w:cs="Times New Roman" w:eastAsia="Times New Roman"/>
        </w:rP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7 min 45 s at 23.7 GB peak memory on the 16-thread node, with no per-chromosome file splitting, reference-format conversion, or output concatenation, and no intermediate files between phasing and imputation.</w:t>
      </w:r>
    </w:p>
    <w:p>
      <w:pPr>
        <w:pStyle w:val="Heading2"/>
        <w:jc w:val="both"/>
      </w:pPr>
      <w:r>
        <w:rPr>
          <w:rFonts w:ascii="Times New Roman" w:hAnsi="Times New Roman" w:cs="Times New Roman" w:eastAsia="Times New Roman"/>
          <w:b/>
          <w:bCs/>
        </w:rPr>
        <w:t xml:space="preserve">Output-format equivalence and reproducibility</w:t>
      </w:r>
    </w:p>
    <w:p>
      <w:pPr>
        <w:pStyle w:val="FirstParagraph"/>
        <w:jc w:val="both"/>
      </w:pPr>
      <w:r>
        <w:rPr>
          <w:rFonts w:ascii="Times New Roman" w:hAnsi="Times New Roman" w:cs="Times New Roman" w:eastAsia="Times New Roman"/>
        </w:rPr>
        <w:t xml:space="preserve">Selphi 2 emits every output format from a single interpolation pass (Methods), so the format choice does not change the imputed values. We verified this on the 1000 Genomes chromosome-22 benchmark (801 samples, 1,070,401 variants). Across</w:t>
      </w:r>
      <w:r>
        <w:rPr>
          <w:rFonts w:ascii="Times New Roman" w:hAnsi="Times New Roman" w:cs="Times New Roman" w:eastAsia="Times New Roman"/>
        </w:rPr>
        <w:t xml:space="preserve"> </w:t>
      </w:r>
      <m:oMath>
        <m:r>
          <m:t>2.7</m:t>
        </m:r>
        <m:r>
          <m:rPr>
            <m:sty m:val="p"/>
          </m:rPr>
          <m:t>×</m:t>
        </m:r>
        <m:sSup>
          <m:e>
            <m:r>
              <m:t>10</m:t>
            </m:r>
          </m:e>
          <m:sup>
            <m:r>
              <m:t>7</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rPr>
          <w:rFonts w:ascii="Times New Roman" w:hAnsi="Times New Roman" w:cs="Times New Roman" w:eastAsia="Times New Roman"/>
        </w:rPr>
        <w:t xml:space="preserve"> </w:t>
      </w:r>
      <m:oMath>
        <m:r>
          <m:rPr>
            <m:sty m:val="p"/>
          </m:rPr>
          <m:t>|</m:t>
        </m:r>
        <m:r>
          <m:rPr>
            <m:sty m:val="p"/>
          </m:rPr>
          <m:t>Δ</m:t>
        </m:r>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6.1</m:t>
        </m:r>
        <m:r>
          <m:rPr>
            <m:sty m:val="p"/>
          </m:rPr>
          <m:t>×</m:t>
        </m:r>
        <m:sSup>
          <m:e>
            <m:r>
              <m:t>10</m:t>
            </m:r>
          </m:e>
          <m:sup>
            <m:r>
              <m:rPr>
                <m:sty m:val="p"/>
              </m:rPr>
              <m:t>−</m:t>
            </m:r>
            <m:r>
              <m:t>5</m:t>
            </m:r>
          </m:sup>
        </m:sSup>
      </m:oMath>
      <w:r>
        <w:rPr>
          <w:rFonts w:ascii="Times New Roman" w:hAnsi="Times New Roman" w:cs="Times New Roman" w:eastAsia="Times New Roman"/>
        </w:rPr>
        <w:t xml:space="preserve">, exactly PGEN's 16-bit dosage step), while VCF text-rounds to three decimals (maximum</w:t>
      </w:r>
      <w:r>
        <w:rPr>
          <w:rFonts w:ascii="Times New Roman" w:hAnsi="Times New Roman" w:cs="Times New Roman" w:eastAsia="Times New Roman"/>
        </w:rP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2,239 samples), so the in-binary converters replace the external bref3/xcf/msav round-trips without information loss.</w:t>
      </w:r>
    </w:p>
    <w:p>
      <w:pPr>
        <w:pStyle w:val="Heading2"/>
        <w:jc w:val="both"/>
      </w:pPr>
      <w:r>
        <w:rPr>
          <w:rFonts w:ascii="Times New Roman" w:hAnsi="Times New Roman" w:cs="Times New Roman" w:eastAsia="Times New Roman"/>
          <w:b/>
          <w:bCs/>
        </w:rPr>
        <w:t xml:space="preserve">Low-coverage sequencing imputation</w:t>
      </w:r>
    </w:p>
    <w:p>
      <w:pPr>
        <w:pStyle w:val="FirstParagraph"/>
        <w:jc w:val="both"/>
      </w:pPr>
      <w:r>
        <w:rPr>
          <w:rFonts w:ascii="Times New Roman" w:hAnsi="Times New Roman" w:cs="Times New Roman" w:eastAsia="Times New Roman"/>
        </w:rPr>
        <w:t xml:space="preserve">We assessed the lcWGS engine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on real low-coverage sequencing of the Genome in a Bottle (GIAB) reference samples HG002-HG007 (the Ashkenazi and Han Chinese trios), none of which are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whole-genome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chromosome 22; each sample's genotype likelihoods were computed from the aligned reads at the reference-panel sites and imputed against the 4,478-haplotype (2,239-sample) no-trios 1000 Genomes panel, the same leak-free panel used for the trio phasing benchmark above, from which these trio individuals were removed.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was computed against the GIAB v4.2.1 high-confidence truth over the high-confidence variant sites, on the identical set of sites imputed by both tools, and compared to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w:t>
      </w:r>
    </w:p>
    <w:p>
      <w:pPr>
        <w:pStyle w:val="BodyText"/>
        <w:jc w:val="both"/>
      </w:pPr>
      <w:r>
        <w:rPr>
          <w:rFonts w:ascii="Times New Roman" w:hAnsi="Times New Roman" w:cs="Times New Roman" w:eastAsia="Times New Roman"/>
        </w:rPr>
        <w:t xml:space="preserve">Selphi 2's lcWGS engine imputes each target sample independently against the reference panel with a genotype-likelihood-aware Li-Stephens forward-backward: sparse-PBWT conditioning-set selection, a faithful eight-founder phasing HMM re-committed at each Gibbs iteration, and a band-mode recombination rate (default):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rPr>
          <w:rFonts w:ascii="Times New Roman" w:hAnsi="Times New Roman" w:cs="Times New Roman" w:eastAsia="Times New Roman"/>
        </w:rPr>
        <w:t xml:space="preserve">) so a copied haplotype can recombine onto a true rare-allele carrier instead of remaining locked to a flanking non-carrier, the single change that lifts the ultra-rare bin to parity with or above GLIMPSE2 (Results, Table 6b), reducible to the prior uniform rate with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LCWGS_RECOMB_DENOM=max</w:t>
      </w:r>
      <w:r>
        <w:rPr>
          <w:rFonts w:ascii="Times New Roman" w:hAnsi="Times New Roman" w:cs="Times New Roman" w:eastAsia="Times New Roman"/>
        </w:rPr>
        <w:t xml:space="preserve">. A rare-carrier-aware extension feeds each heterozygous rare site's locally-best-matching panel carriers into the per-segment phase commitment, so the rarest carriers are committed without perturbing the global conditioning HMM. The chromosome is processed in overlapping cM windows whose reference bitmatrix is extracted from the SRP and discarded per window, and the forward matrix is stored only at</w:t>
      </w:r>
      <w:r>
        <w:rPr>
          <w:rFonts w:ascii="Times New Roman" w:hAnsi="Times New Roman" w:cs="Times New Roman" w:eastAsia="Times New Roman"/>
        </w:rPr>
        <w:t xml:space="preserve"> </w:t>
      </w:r>
      <m:oMath>
        <m:rad>
          <m:radPr>
            <m:degHide m:val="on"/>
          </m:radPr>
          <m:deg/>
          <m:e>
            <m:r>
              <m:t>n</m:t>
            </m:r>
          </m:e>
        </m:rad>
      </m:oMath>
      <w:r>
        <w:rPr>
          <w:rFonts w:ascii="Times New Roman" w:hAnsi="Times New Roman" w:cs="Times New Roman" w:eastAsia="Times New Roman"/>
        </w:rPr>
        <w:t xml:space="preserve"> </w:t>
      </w:r>
      <w:r>
        <w:rPr>
          <w:rFonts w:ascii="Times New Roman" w:hAnsi="Times New Roman" w:cs="Times New Roman" w:eastAsia="Times New Roman"/>
        </w:rPr>
        <w:t xml:space="preserve">checkpoint columns and recomputed per block during the backward pass, so the full-chromosome reference panel is never materialized in memory.</w:t>
      </w:r>
    </w:p>
    <w:p>
      <w:pPr>
        <w:pStyle w:val="BodyText"/>
        <w:jc w:val="both"/>
      </w:pPr>
      <w:r>
        <w:rPr>
          <w:rFonts w:ascii="Times New Roman" w:hAnsi="Times New Roman" w:cs="Times New Roman" w:eastAsia="Times New Roman"/>
        </w:rPr>
        <w:t xml:space="preserve">On the GIAB samples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+0.0037, on the identical site set for both tools; Table 6).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this single low coverage (GLIMPSE2 marginally ahead); the engine's default now applies band-mode recombination (Methods), which raises the Li-Stephens recombination rate to GLIMPSE2's reference value at rare sites only and places Selphi 2 level with or ahead of GLIMPSE2 on the ultra-rare bin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across the matched coverage sweep (Table 6b, Figure 2d). Because each sample is imputed independently against the panel, the engine's natural mode is one sample at a time: a single chromosome-22 sample completes in approximately 2.0 minutes on 16 cores at a few GB of peak memory, versus approximately 5.4 minutes for GLIMPSE2's per-sample phasing, about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with the full reference panel never resident (GLIMPSE2's one-time reference-splitting step, analogous to building Selphi 2's SRP, is excluded from both). The Gibbs iteration count and the cM window size are explicit accuracy/speed controls. A coverage sweep from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a three-way comparison that adds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as a second low-coverage baseline are reported below (Table 6b; per-sample and coverage-swept detail in Supplementary Table S4).</w:t>
      </w:r>
    </w:p>
    <w:p>
      <w:pPr>
        <w:pStyle w:val="BodyText"/>
        <w:jc w:val="both"/>
      </w:pPr>
      <w:r>
        <w:rPr>
          <w:rFonts w:ascii="Times New Roman" w:hAnsi="Times New Roman" w:cs="Times New Roman" w:eastAsia="Times New Roman"/>
          <w:b/>
          <w:bCs/>
        </w:rPr>
        <w:t xml:space="preserve">Table 6. Low-coverage sequencing imputation accuracy and efficiency versus GLIMPSE2.</w:t>
      </w:r>
      <w:r>
        <w:rPr>
          <w:rFonts w:ascii="Times New Roman" w:hAnsi="Times New Roman" w:cs="Times New Roman" w:eastAsia="Times New Roman"/>
        </w:rPr>
        <w:t xml:space="preserve"> </w:t>
      </w:r>
      <w:r>
        <w:rPr>
          <w:rFonts w:ascii="Times New Roman" w:hAnsi="Times New Roman" w:cs="Times New Roman" w:eastAsia="Times New Roman"/>
        </w:rPr>
        <w:t xml:space="preserve">GIAB reference samples HG002-HG007 (six samples, the Ashkenazi and Han Chinese trios; none in the 1000 Genomes Project): the public NovaSeq PCR-free 30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WGS alignments (brain-genomics-public, GRCh38) were downsampled to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and emit the identical set of panel sites;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149"/>
        <w:gridCol w:w="2149"/>
        <w:gridCol w:w="2657"/>
        <w:gridCol w:w="2405"/>
      </w:tblGrid>
      <w:tr>
        <w:trPr>
          <w:tblHeader w:val="on"/>
        </w:trPr>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149"/>
          </w:tcPr>
          <w:p>
            <w:pPr>
              <w:pStyle w:val="Compact"/>
              <w:jc w:val="center"/>
            </w:pPr>
            <w:r>
              <w:rPr>
                <w:rFonts w:ascii="Times New Roman" w:hAnsi="Times New Roman" w:cs="Times New Roman" w:eastAsia="Times New Roman"/>
                <w:b/>
                <w:color w:val="FFFFFF"/>
                <w:sz w:val="20"/>
              </w:rPr>
              <w:t xml:space="preserve">Selphi 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657"/>
          </w:tcPr>
          <w:p>
            <w:pPr>
              <w:pStyle w:val="Compact"/>
              <w:jc w:val="center"/>
            </w:pPr>
            <w:r>
              <w:rPr>
                <w:rFonts w:ascii="Times New Roman" w:hAnsi="Times New Roman" w:cs="Times New Roman" w:eastAsia="Times New Roman"/>
                <w:b/>
                <w:color w:val="FFFFFF"/>
                <w:sz w:val="20"/>
              </w:rPr>
              <w:t xml:space="preserve">GLIMPSE2</w:t>
            </w:r>
            <w:r>
              <w:rPr>
                <w:rFonts w:ascii="Times New Roman" w:hAnsi="Times New Roman" w:cs="Times New Roman" w:eastAsia="Times New Roman"/>
                <w:b/>
                <w:color w:val="FFFFFF"/>
                <w:sz w:val="20"/>
              </w:rPr>
              <w:t xml:space="preserve"> </w:t>
            </w:r>
            <m:oMath>
              <m:sSup>
                <m:e>
                  <m:r>
                    <m:t>R</m:t>
                  </m:r>
                </m:e>
                <m:sup>
                  <m:r>
                    <m:t>2</m:t>
                  </m:r>
                </m:sup>
              </m:sSup>
            </m:oMath>
          </w:p>
        </w:tc>
        <w:tc>
          <w:tcPr>
            <w:shd w:val="clear" w:color="auto" w:fill="595959"/>
            <w:vAlign w:val="center"/>
            <w:tcW w:type="dxa" w:w="2405"/>
          </w:tcPr>
          <w:p>
            <w:pPr>
              <w:pStyle w:val="Compact"/>
              <w:jc w:val="center"/>
            </w:pPr>
            <m:oMath>
              <m:r>
                <m:rPr>
                  <m:sty m:val="p"/>
                </m:rPr>
                <m:t>Δ</m:t>
              </m:r>
            </m:oMath>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0.9457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+0.0036</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0.9515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+0.0056</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0.9479</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+0.0044</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0.9455</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+0.0039</w:t>
            </w:r>
          </w:p>
        </w:tc>
      </w:tr>
      <w:tr>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149"/>
          </w:tcPr>
          <w:p>
            <w:pPr>
              <w:pStyle w:val="Compact"/>
              <w:jc w:val="center"/>
            </w:pPr>
            <w:r>
              <w:rPr>
                <w:rFonts w:ascii="Times New Roman" w:hAnsi="Times New Roman" w:cs="Times New Roman" w:eastAsia="Times New Roman"/>
                <w:sz w:val="20"/>
              </w:rPr>
              <w:t xml:space="preserve">0.9547</w:t>
            </w:r>
          </w:p>
        </w:tc>
        <w:tc>
          <w:tcPr>
            <w:shd w:val="clear" w:color="auto" w:fill="FFFFFF"/>
            <w:vAlign w:val="center"/>
            <w:tcW w:type="dxa" w:w="2657"/>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405"/>
          </w:tcPr>
          <w:p>
            <w:pPr>
              <w:pStyle w:val="Compact"/>
              <w:jc w:val="center"/>
            </w:pPr>
            <w:r>
              <w:rPr>
                <w:rFonts w:ascii="Times New Roman" w:hAnsi="Times New Roman" w:cs="Times New Roman" w:eastAsia="Times New Roman"/>
                <w:sz w:val="20"/>
              </w:rPr>
              <w:t xml:space="preserve">+0.0051</w:t>
            </w:r>
          </w:p>
        </w:tc>
      </w:tr>
      <w:tr>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149"/>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657"/>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405"/>
          </w:tcPr>
          <w:p>
            <w:pPr>
              <w:pStyle w:val="Compact"/>
              <w:jc w:val="center"/>
            </w:pPr>
            <w:r>
              <w:rPr>
                <w:rFonts w:ascii="Times New Roman" w:hAnsi="Times New Roman" w:cs="Times New Roman" w:eastAsia="Times New Roman"/>
                <w:sz w:val="20"/>
              </w:rPr>
              <w:t xml:space="preserve">-0.0002</w:t>
            </w:r>
          </w:p>
        </w:tc>
      </w:tr>
      <w:tr>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Mean</w:t>
            </w:r>
          </w:p>
        </w:tc>
        <w:tc>
          <w:tcPr>
            <w:shd w:val="clear" w:color="auto" w:fill="FFFFFF"/>
            <w:vAlign w:val="center"/>
            <w:tcW w:type="dxa" w:w="2149"/>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657"/>
          </w:tcPr>
          <w:p>
            <w:pPr>
              <w:pStyle w:val="Compact"/>
              <w:jc w:val="center"/>
            </w:pPr>
            <w:r>
              <w:rPr>
                <w:rFonts w:ascii="Times New Roman" w:hAnsi="Times New Roman" w:cs="Times New Roman" w:eastAsia="Times New Roman"/>
                <w:b/>
                <w:bCs/>
                <w:sz w:val="20"/>
              </w:rPr>
              <w:t xml:space="preserve">0.9455</w:t>
            </w:r>
          </w:p>
        </w:tc>
        <w:tc>
          <w:tcPr>
            <w:shd w:val="clear" w:color="auto" w:fill="FFFFFF"/>
            <w:vAlign w:val="center"/>
            <w:tcW w:type="dxa" w:w="2405"/>
          </w:tcPr>
          <w:p>
            <w:pPr>
              <w:pStyle w:val="Compact"/>
              <w:jc w:val="center"/>
            </w:pPr>
            <w:r>
              <w:rPr>
                <w:rFonts w:ascii="Times New Roman" w:hAnsi="Times New Roman" w:cs="Times New Roman" w:eastAsia="Times New Roman"/>
                <w:b/>
                <w:bCs/>
                <w:sz w:val="20"/>
              </w:rPr>
              <w:t xml:space="preserve">+0.0037</w:t>
            </w:r>
          </w:p>
        </w:tc>
      </w:tr>
    </w:tbl>
    <w:p>
      <w:pPr>
        <w:pStyle w:val="BodyText"/>
        <w:jc w:val="both"/>
      </w:pPr>
      <w:r>
        <w:rPr>
          <w:rFonts w:ascii="Times New Roman" w:hAnsi="Times New Roman" w:cs="Times New Roman" w:eastAsia="Times New Roman"/>
        </w:rPr>
        <w:t xml:space="preserve">At the rarest frequencies (MAF 0-0.5%) Selphi 2's band-mode recombination (default; Methods) places it level with or ahead of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(quantified across the coverage sweep in Table 6b). Single-sample efficiency on chromosome 22: Selphi 2 completes in ≈2.0 minutes at ≈3.3 GB peak memory, never materializing the full-chromosome reference panel, versus ≈5.4 minutes for GLIMPSE2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GLIMPSE2's lower per-sample footprint (≈2.1 GB) reflects its separate one-time panel-splitting step, excluded here from both tools.</w:t>
      </w:r>
    </w:p>
    <w:p>
      <w:pPr>
        <w:pStyle w:val="BodyText"/>
        <w:jc w:val="both"/>
      </w:pPr>
      <w:r>
        <w:rPr>
          <w:rFonts w:ascii="Times New Roman" w:hAnsi="Times New Roman" w:cs="Times New Roman" w:eastAsia="Times New Roman"/>
        </w:rPr>
        <w:t xml:space="preserve">To position the engine against both established low-coverage tools across a range of depths, we ran a three-way comparison, Selphi 2 versus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on the same GIAB samples downsampled to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coverage (0.9924, 0.9950, 0.9971 and 0.9979 versus GLIMPSE2's 0.9916, 0.9945, 0.9967 and 0.9975 and QUILT2's 0.9919, 0.9944, 0.9968 and 0.9973 at 0.5</w:t>
      </w:r>
      <m:oMath>
        <m:r>
          <m:rPr>
            <m:sty m:val="p"/>
          </m:rPr>
          <m:t>×</m:t>
        </m:r>
      </m:oMath>
      <w:r>
        <w:rPr>
          <w:rFonts w:ascii="Times New Roman" w:hAnsi="Times New Roman" w:cs="Times New Roman" w:eastAsia="Times New Roman"/>
        </w:rPr>
        <w:t xml:space="preserve">, 1</w:t>
      </w:r>
      <m:oMath>
        <m:r>
          <m:rPr>
            <m:sty m:val="p"/>
          </m:rPr>
          <m:t>×</m:t>
        </m:r>
      </m:oMath>
      <w:r>
        <w:rPr>
          <w:rFonts w:ascii="Times New Roman" w:hAnsi="Times New Roman" w:cs="Times New Roman" w:eastAsia="Times New Roman"/>
        </w:rPr>
        <w:t xml:space="preserve">,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and 4</w:t>
      </w:r>
      <m:oMath>
        <m:r>
          <m:rPr>
            <m:sty m:val="p"/>
          </m:rPr>
          <m:t>×</m:t>
        </m:r>
      </m:oMath>
      <w:r>
        <w:rPr>
          <w:rFonts w:ascii="Times New Roman" w:hAnsi="Times New Roman" w:cs="Times New Roman" w:eastAsia="Times New Roman"/>
        </w:rPr>
        <w:t xml:space="preserve">; Table 6b).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matches or exceeds GLIMPSE2 from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upward: ahead by 0.0027</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(0.9522 versus 0.9495) and 0.0066 at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(0.9704 versus 0.9638), tied at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(0.9243 versus 0.9252), with GLIMPSE2 marginally ahead only at the read-starved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(0.8997 versus 0.9023); Selphi 2 leads QUILT2 at every coverage and ties or leads every other MAF bin (Figure 2d). The salient difference at this scale is speed. Imputing one sample over the whole of chromosome 22 (1</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and 15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QUILT2 (Figure 3c);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depth evaluated here, a regime outside the range we tested.</w:t>
      </w:r>
    </w:p>
    <w:p>
      <w:pPr>
        <w:pStyle w:val="BodyText"/>
        <w:jc w:val="both"/>
      </w:pPr>
      <w:r>
        <w:rPr>
          <w:rFonts w:ascii="Times New Roman" w:hAnsi="Times New Roman" w:cs="Times New Roman" w:eastAsia="Times New Roman"/>
          <w:b/>
          <w:bCs/>
        </w:rPr>
        <w:t xml:space="preserve">Table 6b. Three-way low-coverage comparison across a coverage sweep.</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jc w:val="both"/>
      </w:pPr>
      <w:r>
        <w:rPr>
          <w:rFonts w:ascii="Times New Roman" w:hAnsi="Times New Roman" w:cs="Times New Roman" w:eastAsia="Times New Roman"/>
          <w:i/>
          <w:iCs/>
        </w:rPr>
        <w:t xml:space="preserve">Overall per-sample</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0.9919</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0.9944</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0.9968</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0.9973</w:t>
            </w:r>
          </w:p>
        </w:tc>
      </w:tr>
    </w:tbl>
    <w:p>
      <w:pPr>
        <w:pStyle w:val="BodyText"/>
        <w:jc w:val="both"/>
      </w:pPr>
      <w:r>
        <w:rPr>
          <w:rFonts w:ascii="Times New Roman" w:hAnsi="Times New Roman" w:cs="Times New Roman" w:eastAsia="Times New Roman"/>
          <w:i/>
          <w:iCs/>
        </w:rPr>
        <w:t xml:space="preserve">Ultra-rare (MAF 0-0.5%)</w:t>
      </w:r>
      <w:r>
        <w:rPr>
          <w:rFonts w:ascii="Times New Roman" w:hAnsi="Times New Roman" w:cs="Times New Roman" w:eastAsia="Times New Roman"/>
          <w:i/>
          <w:iCs/>
        </w:rPr>
        <w:t xml:space="preserve"> </w:t>
      </w:r>
      <m:oMath>
        <m:sSup>
          <m:e>
            <m:r>
              <m:t>R</m:t>
            </m:r>
          </m:e>
          <m:sup>
            <m:r>
              <m:t>2</m:t>
            </m:r>
          </m:sup>
        </m:sSup>
      </m:oMath>
      <w:r>
        <w:rPr>
          <w:rFonts w:ascii="Times New Roman" w:hAnsi="Times New Roman" w:cs="Times New Roman" w:eastAsia="Times New Roman"/>
          <w:i/>
          <w:iCs/>
        </w:rPr>
        <w:t xml:space="preserve">:</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86"/>
        <w:gridCol w:w="2095"/>
        <w:gridCol w:w="2586"/>
        <w:gridCol w:w="2093"/>
      </w:tblGrid>
      <w:tr>
        <w:trPr>
          <w:tblHeader w:val="on"/>
        </w:trPr>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0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586"/>
          </w:tcPr>
          <w:p>
            <w:pPr>
              <w:pStyle w:val="Compact"/>
              <w:jc w:val="center"/>
            </w:pPr>
            <w:r>
              <w:rPr>
                <w:rFonts w:ascii="Times New Roman" w:hAnsi="Times New Roman" w:cs="Times New Roman" w:eastAsia="Times New Roman"/>
                <w:b/>
                <w:color w:val="FFFFFF"/>
                <w:sz w:val="20"/>
              </w:rPr>
              <w:t xml:space="preserve">GLIMPSE2</w:t>
            </w:r>
          </w:p>
        </w:tc>
        <w:tc>
          <w:tcPr>
            <w:shd w:val="clear" w:color="auto" w:fill="595959"/>
            <w:vAlign w:val="center"/>
            <w:tcW w:type="dxa" w:w="2093"/>
          </w:tcPr>
          <w:p>
            <w:pPr>
              <w:pStyle w:val="Compact"/>
              <w:jc w:val="center"/>
            </w:pPr>
            <w:r>
              <w:rPr>
                <w:rFonts w:ascii="Times New Roman" w:hAnsi="Times New Roman" w:cs="Times New Roman" w:eastAsia="Times New Roman"/>
                <w:b/>
                <w:color w:val="FFFFFF"/>
                <w:sz w:val="20"/>
              </w:rPr>
              <w:t xml:space="preserve">QUILT2</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0.5</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2586"/>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0.8864</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1</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0.9150</w:t>
            </w:r>
          </w:p>
        </w:tc>
      </w:tr>
      <w:tr>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2</w:t>
            </w:r>
            <m:oMath>
              <m:r>
                <m:rPr>
                  <m:sty m:val="p"/>
                </m:rPr>
                <m:t>×</m:t>
              </m:r>
            </m:oMath>
          </w:p>
        </w:tc>
        <w:tc>
          <w:tcPr>
            <w:shd w:val="clear" w:color="auto" w:fill="FFFFFF"/>
            <w:vAlign w:val="center"/>
            <w:tcW w:type="dxa" w:w="2095"/>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2586"/>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2093"/>
          </w:tcPr>
          <w:p>
            <w:pPr>
              <w:pStyle w:val="Compact"/>
              <w:jc w:val="center"/>
            </w:pPr>
            <w:r>
              <w:rPr>
                <w:rFonts w:ascii="Times New Roman" w:hAnsi="Times New Roman" w:cs="Times New Roman" w:eastAsia="Times New Roman"/>
                <w:sz w:val="20"/>
              </w:rPr>
              <w:t xml:space="preserve">0.9415</w:t>
            </w:r>
          </w:p>
        </w:tc>
      </w:tr>
      <w:tr>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4</w:t>
            </w:r>
            <m:oMath>
              <m:r>
                <m:rPr>
                  <m:sty m:val="p"/>
                </m:rPr>
                <m:t>×</m:t>
              </m:r>
            </m:oMath>
          </w:p>
        </w:tc>
        <w:tc>
          <w:tcPr>
            <w:shd w:val="clear" w:color="auto" w:fill="E7E6E6"/>
            <w:vAlign w:val="center"/>
            <w:tcW w:type="dxa" w:w="2095"/>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2586"/>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2093"/>
          </w:tcPr>
          <w:p>
            <w:pPr>
              <w:pStyle w:val="Compact"/>
              <w:jc w:val="center"/>
            </w:pPr>
            <w:r>
              <w:rPr>
                <w:rFonts w:ascii="Times New Roman" w:hAnsi="Times New Roman" w:cs="Times New Roman" w:eastAsia="Times New Roman"/>
                <w:sz w:val="20"/>
              </w:rPr>
              <w:t xml:space="preserve">0.9437</w:t>
            </w:r>
          </w:p>
        </w:tc>
      </w:tr>
    </w:tbl>
    <w:p>
      <w:pPr>
        <w:pStyle w:val="Heading1"/>
        <w:jc w:val="both"/>
      </w:pPr>
      <w:r>
        <w:rPr>
          <w:rFonts w:ascii="Times New Roman" w:hAnsi="Times New Roman" w:cs="Times New Roman" w:eastAsia="Times New Roman"/>
          <w:b/>
          <w:bCs/>
        </w:rPr>
        <w:t xml:space="preserve">Discussion</w:t>
      </w:r>
    </w:p>
    <w:p>
      <w:pPr>
        <w:pStyle w:val="FirstParagraph"/>
        <w:jc w:val="both"/>
      </w:pPr>
      <w:r>
        <w:rPr>
          <w:rFonts w:ascii="Times New Roman" w:hAnsi="Times New Roman" w:cs="Times New Roman" w:eastAsia="Times New Roman"/>
        </w:rPr>
        <w:t xml:space="preserve">We presented Selphi 2, a reimplementation of the Selphi genotype imputation algorithm</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 Rust that integrates phasing and imputation in a single tool, performs whole-genome imputation in one command against a single multi-chromosome reference panel, and introduces a panel-adaptive candidate-set sizing rule. On the 1000 Genomes Phase 3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0.0105 (chr22) and 0.0099 (chr1) while reducing peak memory by ~39% on chromosome 22 (comparable on chromosome 1). On the TOPMed panel, Selphi 2 exceeds Beagle 5.5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0.0227 on the MESA admixed cohort, leading Beagle across all four ancestry groups (Figure 2b); this advantage over Beagle reflects the larger panel-adaptive candidate set retained per target versus Beagle's window-local composite haplotypes. The same panel-adaptive sizing recovers +0.0651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a fixed candidate-set size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2,500), a recovery that is monotonically larger at rarer bins and largest for the most admixed groups (Table 2, Table 2b). On an independent leak-free truth (GIAB HG002-HG007 against a reference panel that contains the full 1000 Genomes cohort), Selphi 2 matches the accuracy of Selphi 1.5.3 and exceeds Beagle 5.5 by 0.0028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chr21, while running 16-50</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Selphi 1.5.3 and up to 1.7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Beagle 5.5.</w:t>
      </w:r>
    </w:p>
    <w:p>
      <w:pPr>
        <w:pStyle w:val="BodyText"/>
        <w:jc w:val="both"/>
      </w:pPr>
      <w:r>
        <w:rPr>
          <w:rFonts w:ascii="Times New Roman" w:hAnsi="Times New Roman" w:cs="Times New Roman" w:eastAsia="Times New Roman"/>
        </w:rPr>
        <w:t xml:space="preserve">Selphi 2 occupies a different position in the imputation landscape from the four main existing tools. Beagle 5.5</w:t>
      </w:r>
      <w:hyperlink w:anchor="ref5">
        <w:r>
          <w:rPr>
            <w:rFonts w:ascii="Times New Roman" w:hAnsi="Times New Roman" w:cs="Times New Roman" w:eastAsia="Times New Roman"/>
            <w:color w:val="0563C1"/>
            <w:vertAlign w:val="superscript"/>
          </w:rPr>
          <w:t xml:space="preserve">5</w:t>
        </w:r>
      </w:hyperlink>
      <w:r>
        <w:rPr>
          <w:rFonts w:ascii="Times New Roman" w:hAnsi="Times New Roman" w:cs="Times New Roman" w:eastAsia="Times New Roman"/>
          <w:color w:val="0563C1"/>
          <w:vertAlign w:val="superscript"/>
        </w:rPr>
        <w:t xml:space="preserve">,</w:t>
      </w:r>
      <w:hyperlink w:anchor="ref6">
        <w:r>
          <w:rPr>
            <w:rFonts w:ascii="Times New Roman" w:hAnsi="Times New Roman" w:cs="Times New Roman" w:eastAsia="Times New Roman"/>
            <w:color w:val="0563C1"/>
            <w:vertAlign w:val="superscript"/>
          </w:rPr>
          <w:t xml:space="preserve">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and on biobank-scale admixed cohorts its window-local composite-haplotype construction places it 0.023 below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IMPUTE5</w:t>
      </w:r>
      <w:hyperlink w:anchor="ref4">
        <w:r>
          <w:rPr>
            <w:rFonts w:ascii="Times New Roman" w:hAnsi="Times New Roman" w:cs="Times New Roman" w:eastAsia="Times New Roman"/>
            <w:color w:val="0563C1"/>
            <w:vertAlign w:val="superscript"/>
          </w:rPr>
          <w:t xml:space="preserve">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uses PBWT-based haplotype selection with sub-linear scaling but requires pre-phased input from an external phaser and processes per chromosome. Minimac4</w:t>
      </w:r>
      <w:hyperlink w:anchor="ref7">
        <w:r>
          <w:rPr>
            <w:rFonts w:ascii="Times New Roman" w:hAnsi="Times New Roman" w:cs="Times New Roman" w:eastAsia="Times New Roman"/>
            <w:color w:val="0563C1"/>
            <w:vertAlign w:val="superscript"/>
          </w:rPr>
          <w:t xml:space="preserve">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(Minimac4 0.4688, IMPUTE5 0.4594, versus 0.4832; Table 1), reproducing for Selphi 2 the accuracy ordering that Selphi 1 reported against the same three tools. SHAPEIT5</w:t>
      </w:r>
      <w:hyperlink w:anchor="ref9">
        <w:r>
          <w:rPr>
            <w:rFonts w:ascii="Times New Roman" w:hAnsi="Times New Roman" w:cs="Times New Roman" w:eastAsia="Times New Roman"/>
            <w:color w:val="0563C1"/>
            <w:vertAlign w:val="superscript"/>
          </w:rPr>
          <w:t xml:space="preserve">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(2.521% versus 2.611%) and chromosome 1 (1.876% versus 1.935%), in 0.47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SHAPEIT5's wall time on chromosome 22 and 0.92</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on chromosome 1 (570 s versus 622 s). Beagle 5.5's built-in phasing is competitive with Selphi 2 diploid on both chromosomes (chr22: 2.548% versus 2.521%, +0.027 in favor of Selphi 2; chr1: 1.865% versus 1.876%, +0.011 in favor of Beagle); no method dominates the other in mean SER, but Selphi 2 diploid uses 4</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less memory and runs at 0.66</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Beagle's wall time on these benchmarks. The remaining architectural difference is the integration with the downstream imputation HMM: phased haplotypes are passed in memory to the Li-Stephens forward-backward pass with no intermediate VCF emission. Of Selphi 1's</w:t>
      </w:r>
      <w:hyperlink w:anchor="ref12">
        <w:r>
          <w:rPr>
            <w:rFonts w:ascii="Times New Roman" w:hAnsi="Times New Roman" w:cs="Times New Roman" w:eastAsia="Times New Roman"/>
            <w:color w:val="0563C1"/>
            <w:vertAlign w:val="superscript"/>
          </w:rPr>
          <w:t xml:space="preserve">12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36.4</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m:oMath>
        <m:sSub>
          <m:e>
            <m:r>
              <m:t>n</m:t>
            </m:r>
          </m:e>
          <m:sub>
            <m:r>
              <m:rPr>
                <m:nor/>
                <m:sty m:val="p"/>
              </m:rPr>
              <m:t>ref</m:t>
            </m:r>
          </m:sub>
        </m:sSub>
      </m:oMath>
      <w:r>
        <w:rPr>
          <w:rFonts w:ascii="Times New Roman" w:hAnsi="Times New Roman" w:cs="Times New Roman" w:eastAsia="Times New Roman"/>
        </w:rPr>
        <w:t xml:space="preserve">) contributes a further 0.008 over a fixed</w:t>
      </w:r>
      <w:r>
        <w:rPr>
          <w:rFonts w:ascii="Times New Roman" w:hAnsi="Times New Roman" w:cs="Times New Roman" w:eastAsia="Times New Roman"/>
        </w:rPr>
        <w:t xml:space="preserve"> </w:t>
      </w:r>
      <m:oMath>
        <m:sSub>
          <m:e>
            <m:r>
              <m:t>N</m:t>
            </m:r>
          </m:e>
          <m:sub>
            <m:r>
              <m:t>e</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 20,000. The principal extensions are the integrated phasing engines, the panel-adaptive candidate-set sizing, the multi-chromosome single-pass workflow, and the panel-format-agnostic input (BCF, VCF, BREF3) with multi-format output. GLIMPSE2</w:t>
      </w:r>
      <w:hyperlink w:anchor="ref15">
        <w:r>
          <w:rPr>
            <w:rFonts w:ascii="Times New Roman" w:hAnsi="Times New Roman" w:cs="Times New Roman" w:eastAsia="Times New Roman"/>
            <w:color w:val="0563C1"/>
            <w:vertAlign w:val="superscript"/>
          </w:rPr>
          <w:t xml:space="preserve">15</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QUILT2</w:t>
      </w:r>
      <w:hyperlink w:anchor="ref16">
        <w:r>
          <w:rPr>
            <w:rFonts w:ascii="Times New Roman" w:hAnsi="Times New Roman" w:cs="Times New Roman" w:eastAsia="Times New Roman"/>
            <w:color w:val="0563C1"/>
            <w:vertAlign w:val="superscript"/>
          </w:rPr>
          <w:t xml:space="preserve">16</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target imputation from low-coverage sequencing rather than from genotyping arrays. Selphi 2 addresses this regime with its dedicated</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w:t>
      </w:r>
      <w:r>
        <w:rPr>
          <w:rFonts w:ascii="Times New Roman" w:hAnsi="Times New Roman" w:cs="Times New Roman" w:eastAsia="Times New Roman"/>
        </w:rPr>
        <w:t xml:space="preserve"> </w:t>
      </w:r>
      <w:r>
        <w:rPr>
          <w:rFonts w:ascii="Times New Roman" w:hAnsi="Times New Roman" w:cs="Times New Roman" w:eastAsia="Times New Roman"/>
        </w:rPr>
        <w:t xml:space="preserve">engine (Methods; Results, Low-coverage sequencing imputation), so the two tools are now directly comparable on lcWGS input: on real low-coverage Genome in a Bottle sequencing (six samples, ~1.8</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chromosome 22, leak-free panel) Selphi 2 exceeds GLIMPSE2 in per-sample</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over the high-confidence variant sites on five of six samples (mean 0.9493 versus 0.9455) without ever materializing the full-chromosome reference panel; run one sample at a time (its native mode, since each target is imputed independently against the panel), it is roughly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than GLIMPSE2 per sample, and the two tools are effectively tied at the rarest frequencies.</w:t>
      </w:r>
    </w:p>
    <w:p>
      <w:pPr>
        <w:pStyle w:val="BodyText"/>
        <w:jc w:val="both"/>
      </w:pPr>
      <w:r>
        <w:rPr>
          <w:rFonts w:ascii="Times New Roman" w:hAnsi="Times New Roman" w:cs="Times New Roman" w:eastAsia="Times New Roman"/>
        </w:rPr>
        <w:t xml:space="preserve">The phasing experiments also separate the contribution of the phaser from that of the imputer. Imputing a 1000 Genomes array target (801 held-out samples) under a full phasing</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imputer matrix, the three phasings (Selphi 2, Beagle 5.5, SHAPEIT5) were practically interchangeable as imputation input: all pairwise overall-</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differences were</w:t>
      </w:r>
      <w:r>
        <w:rPr>
          <w:rFonts w:ascii="Times New Roman" w:hAnsi="Times New Roman" w:cs="Times New Roman" w:eastAsia="Times New Roman"/>
        </w:rPr>
        <w:t xml:space="preserve"> </w:t>
      </w:r>
      <m:oMath>
        <m:r>
          <m:rPr>
            <m:sty m:val="p"/>
          </m:rPr>
          <m:t>≤</m:t>
        </m:r>
        <m:r>
          <m:t>0.002</m:t>
        </m:r>
      </m:oMath>
      <w:r>
        <w:rPr>
          <w:rFonts w:ascii="Times New Roman" w:hAnsi="Times New Roman" w:cs="Times New Roman" w:eastAsia="Times New Roman"/>
        </w:rPr>
        <w:t xml:space="preserve"> </w:t>
      </w:r>
      <w:r>
        <w:rPr>
          <w:rFonts w:ascii="Times New Roman" w:hAnsi="Times New Roman" w:cs="Times New Roman" w:eastAsia="Times New Roman"/>
        </w:rPr>
        <w:t xml:space="preserve">for a fixed imputer (an order of magnitude below the imputer effect, though formally distinguishable at this sample size), whereas the choice of imputer moved overall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in favour of Selphi 2 regardless of which tool produced the phasing (Supplementary Table S7). This is consistent with the near-tied switch-error rates on common variants (Table 4):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4c) is the informative exception: where phasing draws on genuinely new information (parental genotypes), it improves downstream imputation against an independent truth (+0.016 to +0.022</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confirming that the value of phasing for imputation lies in the information it adds, not in the choice of phasing algorithm among comparable tools.</w:t>
      </w:r>
    </w:p>
    <w:p>
      <w:pPr>
        <w:pStyle w:val="BodyText"/>
        <w:jc w:val="both"/>
      </w:pPr>
      <w:r>
        <w:rPr>
          <w:rFonts w:ascii="Times New Roman" w:hAnsi="Times New Roman" w:cs="Times New Roman" w:eastAsia="Times New Roman"/>
        </w:rPr>
        <w:t xml:space="preserve">Several limitations of the present work bear discussion. First, at the rarest MAF bin (0.05-0.1%) on the 1000 Genomes panel, Beagle 5.5 narrowly outperforms Selphi 2 (</w:t>
      </w:r>
      <m:oMath>
        <m:r>
          <m:rPr>
            <m:sty m:val="p"/>
          </m:rPr>
          <m:t>Δ</m:t>
        </m:r>
      </m:oMath>
      <w:r>
        <w:rPr>
          <w:rFonts w:ascii="Times New Roman" w:hAnsi="Times New Roman" w:cs="Times New Roman" w:eastAsia="Times New Roman"/>
        </w:rPr>
        <w:t xml:space="preserve"> </w:t>
      </w:r>
      <w:r>
        <w:rPr>
          <w:rFonts w:ascii="Times New Roman" w:hAnsi="Times New Roman" w:cs="Times New Roman" w:eastAsia="Times New Roman"/>
        </w:rPr>
        <w:t xml:space="preserve">≈ -0.002 to -0.004</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the chromosome-wide PBWT statistic underlying Selphi's candidate selection is, by construction, biased toward longer-range matches and may underweight single-carrier haplotypes whose informative segment is short. Second, the diploid engine, Selphi 2's default, dominates the haploid engine across the benchmarks: it matches or exceeds it on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at every density (e.g. +0.0013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chr22 1000 Genomes; +0.0018</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genome-wide on the consumer-array set), wins phasing switch-error, and runs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0.7935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rPr>
          <w:rFonts w:ascii="Times New Roman" w:hAnsi="Times New Roman" w:cs="Times New Roman" w:eastAsia="Times New Roman"/>
        </w:rPr>
        <w:t xml:space="preserve">,</w:t>
      </w:r>
      <w:r>
        <w:rPr>
          <w:rFonts w:ascii="Times New Roman" w:hAnsi="Times New Roman" w:cs="Times New Roman" w:eastAsia="Times New Roman"/>
        </w:rPr>
        <w:t xml:space="preserve"> </w:t>
      </w:r>
      <m:oMath>
        <m:r>
          <m:t>α</m:t>
        </m:r>
      </m:oMath>
      <w:r>
        <w:rPr>
          <w:rFonts w:ascii="Times New Roman" w:hAnsi="Times New Roman" w:cs="Times New Roman" w:eastAsia="Times New Roman"/>
        </w:rP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Beagle on MESA 5K</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chr20); for use cases where rare-variant accuracy is not the priority, users may set a smaller fixed</w:t>
      </w:r>
      <w:r>
        <w:rPr>
          <w:rFonts w:ascii="Times New Roman" w:hAnsi="Times New Roman" w:cs="Times New Roman" w:eastAsia="Times New Roman"/>
        </w:rPr>
        <w:t xml:space="preserve"> </w:t>
      </w:r>
      <m:oMath>
        <m:sSub>
          <m:e>
            <m:r>
              <m:t>m</m:t>
            </m:r>
          </m:e>
          <m:sub>
            <m:r>
              <m:t>c</m:t>
            </m:r>
          </m:sub>
        </m:sSub>
      </m:oMath>
      <w:r>
        <w:rPr>
          <w:rFonts w:ascii="Times New Roman" w:hAnsi="Times New Roman" w:cs="Times New Roman" w:eastAsia="Times New Roman"/>
        </w:rPr>
        <w:t xml:space="preserve"> </w:t>
      </w:r>
      <w:r>
        <w:rPr>
          <w:rFonts w:ascii="Times New Roman" w:hAnsi="Times New Roman" w:cs="Times New Roman" w:eastAsia="Times New Roman"/>
        </w:rPr>
        <w:t xml:space="preserve">to recover faster runtime. Relatedly, on the consumer-array benchmark against high-coverage WGS truth (Results, Table 3), Selphi 2's imputer exceeds Beagle 5.5 when both are given identical phasing (SNP</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0.9601 versus 0.9584; indel 0.7911 versus 0.7840). Earlier versions of Selphi 2's own internal phasing trailed Beagle by ≈0.003</w:t>
      </w:r>
      <w:r>
        <w:rPr>
          <w:rFonts w:ascii="Times New Roman" w:hAnsi="Times New Roman" w:cs="Times New Roman" w:eastAsia="Times New Roman"/>
        </w:rPr>
        <w:t xml:space="preserve"> </w:t>
      </w:r>
      <m:oMath>
        <m:sSup>
          <m:e>
            <m:r>
              <m:t>R</m:t>
            </m:r>
          </m:e>
          <m:sup>
            <m:r>
              <m:t>2</m:t>
            </m:r>
          </m:sup>
        </m:sSup>
      </m:oMath>
      <w:r>
        <w:rPr>
          <w:rFonts w:ascii="Times New Roman" w:hAnsi="Times New Roman" w:cs="Times New Roman" w:eastAsia="Times New Roman"/>
        </w:rPr>
        <w:t xml:space="preserve"> </w:t>
      </w:r>
      <w:r>
        <w:rPr>
          <w:rFonts w:ascii="Times New Roman" w:hAnsi="Times New Roman" w:cs="Times New Roman" w:eastAsia="Times New Roman"/>
        </w:rP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3): with its own internal phasing Selphi 2's default diploid engine now exceeds Beagle on both SNPs and indels (the haploid engine matches Beagle on SNPs and exceeds it on indels), and the diploid engine (SNP 0.9605, indel 0.7935)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at roughly 2.5</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rPr>
          <w:rFonts w:ascii="Times New Roman" w:hAnsi="Times New Roman" w:cs="Times New Roman" w:eastAsia="Times New Roman"/>
        </w:rPr>
        <w:t xml:space="preserve"> </w:t>
      </w:r>
      <m:oMath>
        <m:r>
          <m:rPr>
            <m:sty m:val="p"/>
          </m:rPr>
          <m:t>×</m:t>
        </m:r>
      </m:oMath>
      <w:r>
        <w:rPr>
          <w:rFonts w:ascii="Times New Roman" w:hAnsi="Times New Roman" w:cs="Times New Roman" w:eastAsia="Times New Roman"/>
        </w:rPr>
        <w:t xml:space="preserve"> </w:t>
      </w:r>
      <w:r>
        <w:rPr>
          <w:rFonts w:ascii="Times New Roman" w:hAnsi="Times New Roman" w:cs="Times New Roman" w:eastAsia="Times New Roman"/>
        </w:rPr>
        <w:t xml:space="preserve">TOPMed benchmark is restricted to chromosome 20 and the per-MAF panel breakdowns to chromosomes 1, 21 and 22, though the 1000 Genomes and out-of-panel HGDP aggregates (Figure 2a; Table 2c) are genome-wide; the panel-adaptive rule's behavior on the X chromosome under sex-aware phasing remains to be characterized in a dedicated whole-genome study.</w:t>
      </w:r>
    </w:p>
    <w:p>
      <w:pPr>
        <w:pStyle w:val="BodyText"/>
        <w:jc w:val="both"/>
      </w:pPr>
      <w:r>
        <w:rPr>
          <w:rFonts w:ascii="Times New Roman" w:hAnsi="Times New Roman" w:cs="Times New Roman" w:eastAsia="Times New Roman"/>
          <w:b/>
          <w:bCs/>
        </w:rPr>
        <w:t xml:space="preserve">Privacy considerations.</w:t>
      </w:r>
      <w:r>
        <w:rPr>
          <w:rFonts w:ascii="Times New Roman" w:hAnsi="Times New Roman" w:cs="Times New Roman" w:eastAsia="Times New Roman"/>
        </w:rPr>
        <w:t xml:space="preserve"> </w:t>
      </w:r>
      <w:r>
        <w:rPr>
          <w:rFonts w:ascii="Times New Roman" w:hAnsi="Times New Roman" w:cs="Times New Roman" w:eastAsia="Times New Roman"/>
        </w:rP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hyperlink w:anchor="ref29">
        <w:r>
          <w:rPr>
            <w:rFonts w:ascii="Times New Roman" w:hAnsi="Times New Roman" w:cs="Times New Roman" w:eastAsia="Times New Roman"/>
            <w:color w:val="0563C1"/>
            <w:vertAlign w:val="superscript"/>
          </w:rPr>
          <w:t xml:space="preserve">29</w:t>
        </w:r>
      </w:hyperlink>
      <w:r>
        <w:rPr>
          <w:rFonts w:ascii="Times New Roman" w:hAnsi="Times New Roman" w:cs="Times New Roman" w:eastAsia="Times New Roman"/>
        </w:rP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p>
      <w:pPr>
        <w:pStyle w:val="Heading1"/>
        <w:jc w:val="both"/>
      </w:pPr>
      <w:r>
        <w:rPr>
          <w:rFonts w:ascii="Times New Roman" w:hAnsi="Times New Roman" w:cs="Times New Roman" w:eastAsia="Times New Roman"/>
          <w:b/>
          <w:bCs/>
        </w:rPr>
        <w:t xml:space="preserve">Data availability</w:t>
      </w:r>
    </w:p>
    <w:p>
      <w:pPr>
        <w:pStyle w:val="FirstParagraph"/>
        <w:jc w:val="both"/>
      </w:pPr>
      <w:r>
        <w:rPr>
          <w:rFonts w:ascii="Times New Roman" w:hAnsi="Times New Roman" w:cs="Times New Roman" w:eastAsia="Times New Roman"/>
        </w:rPr>
        <w:t xml:space="preserve">The 1000 Genomes Project Phase 3 reference panel</w:t>
      </w:r>
      <w:hyperlink w:anchor="ref13">
        <w:r>
          <w:rPr>
            <w:rFonts w:ascii="Times New Roman" w:hAnsi="Times New Roman" w:cs="Times New Roman" w:eastAsia="Times New Roman"/>
            <w:color w:val="0563C1"/>
            <w:vertAlign w:val="superscript"/>
          </w:rPr>
          <w:t xml:space="preserve">13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Genome in a Bottle (GIAB) reference-sample sequencing and v4.2.1 high-confidence truth genotypes are publicly available. The TOPMed Freeze 8 reference panel</w:t>
      </w:r>
      <w:hyperlink w:anchor="ref14">
        <w:r>
          <w:rPr>
            <w:rFonts w:ascii="Times New Roman" w:hAnsi="Times New Roman" w:cs="Times New Roman" w:eastAsia="Times New Roman"/>
            <w:color w:val="0563C1"/>
            <w:vertAlign w:val="superscript"/>
          </w:rPr>
          <w:t xml:space="preserve">14</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six consumer-array and matched high-coverage whole-genome sequences used for the consumer-array benchmark (Results, Table 3) are de-identified genomes of consenting individuals and cannot be redistributed; the processing and filtering steps applied to them are given in full in the Methods so the analysis can be reproduced on equivalent array-plus-WGS data.</w:t>
      </w:r>
    </w:p>
    <w:p>
      <w:pPr>
        <w:pStyle w:val="Heading1"/>
        <w:jc w:val="both"/>
      </w:pPr>
      <w:r>
        <w:rPr>
          <w:rFonts w:ascii="Times New Roman" w:hAnsi="Times New Roman" w:cs="Times New Roman" w:eastAsia="Times New Roman"/>
          <w:b/>
          <w:bCs/>
        </w:rPr>
        <w:t xml:space="preserve">Code availability</w:t>
      </w:r>
    </w:p>
    <w:p>
      <w:pPr>
        <w:pStyle w:val="FirstParagraph"/>
        <w:jc w:val="both"/>
      </w:pPr>
      <w:r>
        <w:rPr>
          <w:rFonts w:ascii="Times New Roman" w:hAnsi="Times New Roman" w:cs="Times New Roman" w:eastAsia="Times New Roman"/>
        </w:rPr>
        <w:t xml:space="preserve">The Selphi 2 source code is openly available for academic and non-commercial use under a non-commercial license, consistent with the terms under which Selphi 1 was released, at https://github.com/omicsedge/selphi (branch</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new_version/selphi2_cluster</w:t>
      </w:r>
      <w:r>
        <w:rPr>
          <w:rFonts w:ascii="Times New Roman" w:hAnsi="Times New Roman" w:cs="Times New Roman" w:eastAsia="Times New Roman"/>
        </w:rP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w:t>
      </w:r>
    </w:p>
    <w:p>
      <w:pPr>
        <w:pStyle w:val="Heading1"/>
        <w:jc w:val="both"/>
      </w:pPr>
      <w:r>
        <w:rPr>
          <w:rFonts w:ascii="Times New Roman" w:hAnsi="Times New Roman" w:cs="Times New Roman" w:eastAsia="Times New Roman"/>
          <w:b/>
          <w:bCs/>
        </w:rPr>
        <w:t xml:space="preserve">Author contributions</w:t>
      </w:r>
    </w:p>
    <w:p>
      <w:pPr>
        <w:pStyle w:val="FirstParagraph"/>
        <w:jc w:val="both"/>
      </w:pPr>
      <w:r>
        <w:rPr>
          <w:rFonts w:ascii="Times New Roman" w:hAnsi="Times New Roman" w:cs="Times New Roman" w:eastAsia="Times New Roman"/>
        </w:rP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p>
      <w:pPr>
        <w:pStyle w:val="Heading1"/>
        <w:jc w:val="both"/>
      </w:pPr>
      <w:r>
        <w:rPr>
          <w:rFonts w:ascii="Times New Roman" w:hAnsi="Times New Roman" w:cs="Times New Roman" w:eastAsia="Times New Roman"/>
          <w:b/>
          <w:bCs/>
        </w:rPr>
        <w:t xml:space="preserve">Competing interests</w:t>
      </w:r>
    </w:p>
    <w:p>
      <w:pPr>
        <w:pStyle w:val="FirstParagraph"/>
        <w:jc w:val="both"/>
      </w:pPr>
      <w:r>
        <w:rPr>
          <w:rFonts w:ascii="Times New Roman" w:hAnsi="Times New Roman" w:cs="Times New Roman" w:eastAsia="Times New Roman"/>
        </w:rP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p>
      <w:pPr>
        <w:pStyle w:val="Heading1"/>
        <w:jc w:val="both"/>
      </w:pPr>
      <w:r>
        <w:rPr>
          <w:rFonts w:ascii="Times New Roman" w:hAnsi="Times New Roman" w:cs="Times New Roman" w:eastAsia="Times New Roman"/>
          <w:b/>
          <w:bCs/>
        </w:rPr>
        <w:t xml:space="preserve">References</w:t>
      </w:r>
    </w:p>
    <w:p>
      <w:pPr>
        <w:pStyle w:val="Compact"/>
        <w:numPr>
          <w:ilvl w:val="0"/>
          <w:numId w:val="1001"/>
        </w:numPr>
        <w:jc w:val="both"/>
      </w:pPr>
      <w:bookmarkStart w:id="4001" w:name="ref1"/>
      <w:r>
        <w:rPr>
          <w:rFonts w:ascii="Times New Roman" w:hAnsi="Times New Roman" w:cs="Times New Roman" w:eastAsia="Times New Roman"/>
        </w:rPr>
        <w:t xml:space="preserve">McCarthy S, Das S, Kretzschmar W, et al. A reference panel of 64,976 haplotypes for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2016;48(10):1279-1283.</w:t>
      </w:r>
      <w:bookmarkEnd w:id="4001"/>
    </w:p>
    <w:p>
      <w:pPr>
        <w:pStyle w:val="Compact"/>
        <w:numPr>
          <w:ilvl w:val="0"/>
          <w:numId w:val="1001"/>
        </w:numPr>
        <w:jc w:val="both"/>
      </w:pPr>
      <w:bookmarkStart w:id="4002" w:name="ref2"/>
      <w:r>
        <w:rPr>
          <w:rFonts w:ascii="Times New Roman" w:hAnsi="Times New Roman" w:cs="Times New Roman" w:eastAsia="Times New Roman"/>
        </w:rPr>
        <w:t xml:space="preserve">Li N, Stephens M. Modeling linkage disequilibrium and identifying recombination hotspots using single-nucleotide polymorphism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Genetics</w:t>
      </w:r>
      <w:r>
        <w:rPr>
          <w:rFonts w:ascii="Times New Roman" w:hAnsi="Times New Roman" w:cs="Times New Roman" w:eastAsia="Times New Roman"/>
        </w:rPr>
        <w:t xml:space="preserve">. 2003;165(4):2213-2233.</w:t>
      </w:r>
      <w:bookmarkEnd w:id="4002"/>
    </w:p>
    <w:p>
      <w:pPr>
        <w:pStyle w:val="Compact"/>
        <w:numPr>
          <w:ilvl w:val="0"/>
          <w:numId w:val="1001"/>
        </w:numPr>
        <w:jc w:val="both"/>
      </w:pPr>
      <w:bookmarkStart w:id="4003" w:name="ref3"/>
      <w:r>
        <w:rPr>
          <w:rFonts w:ascii="Times New Roman" w:hAnsi="Times New Roman" w:cs="Times New Roman" w:eastAsia="Times New Roman"/>
        </w:rPr>
        <w:t xml:space="preserve">Durbin R. Efficient haplotype matching and storage using the positional Burrows-Wheeler transform (PBWT).</w:t>
      </w:r>
      <w:r>
        <w:rPr>
          <w:rFonts w:ascii="Times New Roman" w:hAnsi="Times New Roman" w:cs="Times New Roman" w:eastAsia="Times New Roman"/>
        </w:rPr>
        <w:t xml:space="preserve"> </w:t>
      </w:r>
      <w:r>
        <w:rPr>
          <w:rFonts w:ascii="Times New Roman" w:hAnsi="Times New Roman" w:cs="Times New Roman" w:eastAsia="Times New Roman"/>
          <w:i/>
          <w:iCs/>
        </w:rPr>
        <w:t xml:space="preserve">Bioinformatics</w:t>
      </w:r>
      <w:r>
        <w:rPr>
          <w:rFonts w:ascii="Times New Roman" w:hAnsi="Times New Roman" w:cs="Times New Roman" w:eastAsia="Times New Roman"/>
        </w:rPr>
        <w:t xml:space="preserve">. 2014;30(9):1266-1272.</w:t>
      </w:r>
      <w:bookmarkEnd w:id="4003"/>
    </w:p>
    <w:p>
      <w:pPr>
        <w:pStyle w:val="Compact"/>
        <w:numPr>
          <w:ilvl w:val="0"/>
          <w:numId w:val="1001"/>
        </w:numPr>
        <w:jc w:val="both"/>
      </w:pPr>
      <w:bookmarkStart w:id="4004" w:name="ref4"/>
      <w:r>
        <w:rPr>
          <w:rFonts w:ascii="Times New Roman" w:hAnsi="Times New Roman" w:cs="Times New Roman" w:eastAsia="Times New Roman"/>
        </w:rPr>
        <w:t xml:space="preserve">Rubinacci S, Delaneau O, Marchini J. Genotype imputation using the Positional Burrows Wheeler Transform.</w:t>
      </w:r>
      <w:r>
        <w:rPr>
          <w:rFonts w:ascii="Times New Roman" w:hAnsi="Times New Roman" w:cs="Times New Roman" w:eastAsia="Times New Roman"/>
        </w:rPr>
        <w:t xml:space="preserve"> </w:t>
      </w:r>
      <w:r>
        <w:rPr>
          <w:rFonts w:ascii="Times New Roman" w:hAnsi="Times New Roman" w:cs="Times New Roman" w:eastAsia="Times New Roman"/>
          <w:i/>
          <w:iCs/>
        </w:rPr>
        <w:t xml:space="preserve">PLoS Genet</w:t>
      </w:r>
      <w:r>
        <w:rPr>
          <w:rFonts w:ascii="Times New Roman" w:hAnsi="Times New Roman" w:cs="Times New Roman" w:eastAsia="Times New Roman"/>
        </w:rPr>
        <w:t xml:space="preserve">. 2020;16(11):e1009049.</w:t>
      </w:r>
      <w:bookmarkEnd w:id="4004"/>
    </w:p>
    <w:p>
      <w:pPr>
        <w:pStyle w:val="Compact"/>
        <w:numPr>
          <w:ilvl w:val="0"/>
          <w:numId w:val="1001"/>
        </w:numPr>
        <w:jc w:val="both"/>
      </w:pPr>
      <w:bookmarkStart w:id="4005" w:name="ref5"/>
      <w:r>
        <w:rPr>
          <w:rFonts w:ascii="Times New Roman" w:hAnsi="Times New Roman" w:cs="Times New Roman" w:eastAsia="Times New Roman"/>
        </w:rPr>
        <w:t xml:space="preserve">Browning BL, Zhou Y, Browning SR. A one-penny imputed genome from next-generation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2018;103(3):338-348.</w:t>
      </w:r>
      <w:bookmarkEnd w:id="4005"/>
    </w:p>
    <w:p>
      <w:pPr>
        <w:pStyle w:val="Compact"/>
        <w:numPr>
          <w:ilvl w:val="0"/>
          <w:numId w:val="1001"/>
        </w:numPr>
        <w:jc w:val="both"/>
      </w:pPr>
      <w:bookmarkStart w:id="4006" w:name="ref6"/>
      <w:r>
        <w:rPr>
          <w:rFonts w:ascii="Times New Roman" w:hAnsi="Times New Roman" w:cs="Times New Roman" w:eastAsia="Times New Roman"/>
        </w:rPr>
        <w:t xml:space="preserve">Browning BL, Browning SR. Statistical phasing of 150,119 sequenced genomes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2023;110(1):161-165.</w:t>
      </w:r>
      <w:bookmarkEnd w:id="4006"/>
    </w:p>
    <w:p>
      <w:pPr>
        <w:pStyle w:val="Compact"/>
        <w:numPr>
          <w:ilvl w:val="0"/>
          <w:numId w:val="1001"/>
        </w:numPr>
        <w:jc w:val="both"/>
      </w:pPr>
      <w:bookmarkStart w:id="4007" w:name="ref7"/>
      <w:r>
        <w:rPr>
          <w:rFonts w:ascii="Times New Roman" w:hAnsi="Times New Roman" w:cs="Times New Roman" w:eastAsia="Times New Roman"/>
        </w:rPr>
        <w:t xml:space="preserve">Das S, Forer L, Schönherr S, et al. Next-generation genotype imputation service and methods.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2016;48(10):1284-1287.</w:t>
      </w:r>
      <w:bookmarkEnd w:id="4007"/>
    </w:p>
    <w:p>
      <w:pPr>
        <w:pStyle w:val="Compact"/>
        <w:numPr>
          <w:ilvl w:val="0"/>
          <w:numId w:val="1001"/>
        </w:numPr>
        <w:jc w:val="both"/>
      </w:pPr>
      <w:bookmarkStart w:id="4008" w:name="ref8"/>
      <w:r>
        <w:rPr>
          <w:rFonts w:ascii="Times New Roman" w:hAnsi="Times New Roman" w:cs="Times New Roman" w:eastAsia="Times New Roman"/>
        </w:rPr>
        <w:t xml:space="preserve">Loh PR, Danecek P, Palamara PF, et al. Reference-based phasing using the Haplotype Reference Consortium panel.</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2016;48(11):1443-1448.</w:t>
      </w:r>
      <w:bookmarkEnd w:id="4008"/>
    </w:p>
    <w:p>
      <w:pPr>
        <w:pStyle w:val="Compact"/>
        <w:numPr>
          <w:ilvl w:val="0"/>
          <w:numId w:val="1001"/>
        </w:numPr>
        <w:jc w:val="both"/>
      </w:pPr>
      <w:bookmarkStart w:id="4009" w:name="ref9"/>
      <w:r>
        <w:rPr>
          <w:rFonts w:ascii="Times New Roman" w:hAnsi="Times New Roman" w:cs="Times New Roman" w:eastAsia="Times New Roman"/>
        </w:rPr>
        <w:t xml:space="preserve">Hofmeister RJ, Ribeiro DM, Rubinacci S, Delaneau O. Accurate rare variant phasing of whole-genome and whole-exome sequencing data in the UK Biobank.</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2023;55(7):1243-1249.</w:t>
      </w:r>
      <w:bookmarkEnd w:id="4009"/>
    </w:p>
    <w:p>
      <w:pPr>
        <w:pStyle w:val="Compact"/>
        <w:numPr>
          <w:ilvl w:val="0"/>
          <w:numId w:val="1001"/>
        </w:numPr>
        <w:jc w:val="both"/>
      </w:pPr>
      <w:bookmarkStart w:id="4010" w:name="ref10"/>
      <w:r>
        <w:rPr>
          <w:rFonts w:ascii="Times New Roman" w:hAnsi="Times New Roman" w:cs="Times New Roman" w:eastAsia="Times New Roman"/>
        </w:rPr>
        <w:t xml:space="preserve">O'Connell J, Sharp K, Shrine N, et al. Haplotype estimation for biobank-scale data 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2016;48(7):817-820.</w:t>
      </w:r>
      <w:bookmarkEnd w:id="4010"/>
    </w:p>
    <w:p>
      <w:pPr>
        <w:pStyle w:val="Compact"/>
        <w:numPr>
          <w:ilvl w:val="0"/>
          <w:numId w:val="1001"/>
        </w:numPr>
        <w:jc w:val="both"/>
      </w:pPr>
      <w:bookmarkStart w:id="4011" w:name="ref11"/>
      <w:r>
        <w:rPr>
          <w:rFonts w:ascii="Times New Roman" w:hAnsi="Times New Roman" w:cs="Times New Roman" w:eastAsia="Times New Roman"/>
        </w:rPr>
        <w:t xml:space="preserve">Chang CC, Chow CC, Tellier LC, Vattikuti S, Purcell SM, Lee JJ. Second-generation PLINK: rising to the challenge of larger and richer datasets.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2015;4(1):7.</w:t>
      </w:r>
      <w:bookmarkEnd w:id="4011"/>
    </w:p>
    <w:p>
      <w:pPr>
        <w:pStyle w:val="Compact"/>
        <w:numPr>
          <w:ilvl w:val="0"/>
          <w:numId w:val="1001"/>
        </w:numPr>
        <w:jc w:val="both"/>
      </w:pPr>
      <w:bookmarkStart w:id="4012" w:name="ref12"/>
      <w:r>
        <w:rPr>
          <w:rFonts w:ascii="Times New Roman" w:hAnsi="Times New Roman" w:cs="Times New Roman" w:eastAsia="Times New Roman"/>
        </w:rPr>
        <w:t xml:space="preserve">De Marino A, Mahmoud AA, Bohn S, Lerga-Jaso J, Novković B, Manson C, Loguercio S, Terpolovsky A, Matushyn M, Torkamani A, Yazdi PG. Selphi, a tool for improving genotype imputation accuracy.</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 Rep</w:t>
      </w:r>
      <w:r>
        <w:rPr>
          <w:rFonts w:ascii="Times New Roman" w:hAnsi="Times New Roman" w:cs="Times New Roman" w:eastAsia="Times New Roman"/>
        </w:rPr>
        <w:t xml:space="preserve">. 2026;16:58420. doi:10.1038/s41598-026-58420-2.</w:t>
      </w:r>
      <w:bookmarkEnd w:id="4012"/>
    </w:p>
    <w:p>
      <w:pPr>
        <w:pStyle w:val="Compact"/>
        <w:numPr>
          <w:ilvl w:val="0"/>
          <w:numId w:val="1001"/>
        </w:numPr>
        <w:jc w:val="both"/>
      </w:pPr>
      <w:bookmarkStart w:id="4013" w:name="ref13"/>
      <w:r>
        <w:rPr>
          <w:rFonts w:ascii="Times New Roman" w:hAnsi="Times New Roman" w:cs="Times New Roman" w:eastAsia="Times New Roman"/>
        </w:rPr>
        <w:t xml:space="preserve">1000 Genomes Project Consortium. A global reference for human genetic variation.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2015;526(7571):68-74.</w:t>
      </w:r>
      <w:bookmarkEnd w:id="4013"/>
    </w:p>
    <w:p>
      <w:pPr>
        <w:pStyle w:val="Compact"/>
        <w:numPr>
          <w:ilvl w:val="0"/>
          <w:numId w:val="1001"/>
        </w:numPr>
        <w:jc w:val="both"/>
      </w:pPr>
      <w:bookmarkStart w:id="4014" w:name="ref14"/>
      <w:r>
        <w:rPr>
          <w:rFonts w:ascii="Times New Roman" w:hAnsi="Times New Roman" w:cs="Times New Roman" w:eastAsia="Times New Roman"/>
        </w:rPr>
        <w:t xml:space="preserve">Taliun D, Harris DN, Kessler MD, et al. Sequencing of 53,831 diverse genomes from the NHLBI TOPMed Program.</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2021;590(7845):290-299. doi:10.1038/s41586-021-03205-y.</w:t>
      </w:r>
      <w:bookmarkEnd w:id="4014"/>
    </w:p>
    <w:p>
      <w:pPr>
        <w:pStyle w:val="Compact"/>
        <w:numPr>
          <w:ilvl w:val="0"/>
          <w:numId w:val="1001"/>
        </w:numPr>
        <w:jc w:val="both"/>
      </w:pPr>
      <w:bookmarkStart w:id="4015" w:name="ref15"/>
      <w:r>
        <w:rPr>
          <w:rFonts w:ascii="Times New Roman" w:hAnsi="Times New Roman" w:cs="Times New Roman" w:eastAsia="Times New Roman"/>
        </w:rPr>
        <w:t xml:space="preserve">Rubinacci S, Hofmeister RJ, Sousa da Mota B, Delaneau O. Imputation of low-coverage sequencing data from 150,119 UK Biobank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Genet</w:t>
      </w:r>
      <w:r>
        <w:rPr>
          <w:rFonts w:ascii="Times New Roman" w:hAnsi="Times New Roman" w:cs="Times New Roman" w:eastAsia="Times New Roman"/>
        </w:rPr>
        <w:t xml:space="preserve">. 2023;55(7):1088-1090.</w:t>
      </w:r>
      <w:bookmarkEnd w:id="4015"/>
    </w:p>
    <w:p>
      <w:pPr>
        <w:pStyle w:val="Compact"/>
        <w:numPr>
          <w:ilvl w:val="0"/>
          <w:numId w:val="1001"/>
        </w:numPr>
        <w:jc w:val="both"/>
      </w:pPr>
      <w:bookmarkStart w:id="4016" w:name="ref16"/>
      <w:r>
        <w:rPr>
          <w:rFonts w:ascii="Times New Roman" w:hAnsi="Times New Roman" w:cs="Times New Roman" w:eastAsia="Times New Roman"/>
        </w:rPr>
        <w:t xml:space="preserve">Li Z, Albrechtsen A, Davies RW. Flexible read-aware genotype imputation from sequence using biobank sized reference panels.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2025;17(1):524.</w:t>
      </w:r>
      <w:bookmarkEnd w:id="4016"/>
    </w:p>
    <w:p>
      <w:pPr>
        <w:pStyle w:val="Compact"/>
        <w:numPr>
          <w:ilvl w:val="0"/>
          <w:numId w:val="1001"/>
        </w:numPr>
        <w:jc w:val="both"/>
      </w:pPr>
      <w:bookmarkStart w:id="4017" w:name="ref17"/>
      <w:r>
        <w:rPr>
          <w:rFonts w:ascii="Times New Roman" w:hAnsi="Times New Roman" w:cs="Times New Roman" w:eastAsia="Times New Roman"/>
        </w:rPr>
        <w:t xml:space="preserve">Zook JM, McDaniel J, Olson ND, et al. An open resource for accurately benchmarking small variant and reference calls.</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Biotechnol</w:t>
      </w:r>
      <w:r>
        <w:rPr>
          <w:rFonts w:ascii="Times New Roman" w:hAnsi="Times New Roman" w:cs="Times New Roman" w:eastAsia="Times New Roman"/>
        </w:rPr>
        <w:t xml:space="preserve">. 2019;37(5):561-566.</w:t>
      </w:r>
      <w:bookmarkEnd w:id="4017"/>
    </w:p>
    <w:p>
      <w:pPr>
        <w:pStyle w:val="Compact"/>
        <w:numPr>
          <w:ilvl w:val="0"/>
          <w:numId w:val="1001"/>
        </w:numPr>
        <w:jc w:val="both"/>
      </w:pPr>
      <w:bookmarkStart w:id="4018" w:name="ref18"/>
      <w:r>
        <w:rPr>
          <w:rFonts w:ascii="Times New Roman" w:hAnsi="Times New Roman" w:cs="Times New Roman" w:eastAsia="Times New Roman"/>
        </w:rPr>
        <w:t xml:space="preserve">Stone N, Matsakis N. Rayon: a data parallelism library for Rust. https://github.com/rayon-rs/rayon (accessed 2026).</w:t>
      </w:r>
      <w:bookmarkEnd w:id="4018"/>
    </w:p>
    <w:p>
      <w:pPr>
        <w:pStyle w:val="Compact"/>
        <w:numPr>
          <w:ilvl w:val="0"/>
          <w:numId w:val="1001"/>
        </w:numPr>
        <w:jc w:val="both"/>
      </w:pPr>
      <w:bookmarkStart w:id="4019" w:name="ref19"/>
      <w:r>
        <w:rPr>
          <w:rFonts w:ascii="Times New Roman" w:hAnsi="Times New Roman" w:cs="Times New Roman" w:eastAsia="Times New Roman"/>
        </w:rPr>
        <w:t xml:space="preserve">Browning SR, Browning BL. Rapid and accurate haplotype phasing and missing-data inference for whole-genome association studies by use of localized haplotype clustering.</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2007;81(5):1084-1097.</w:t>
      </w:r>
      <w:bookmarkEnd w:id="4019"/>
    </w:p>
    <w:p>
      <w:pPr>
        <w:pStyle w:val="Compact"/>
        <w:numPr>
          <w:ilvl w:val="0"/>
          <w:numId w:val="1001"/>
        </w:numPr>
        <w:jc w:val="both"/>
      </w:pPr>
      <w:bookmarkStart w:id="4020" w:name="ref20"/>
      <w:r>
        <w:rPr>
          <w:rFonts w:ascii="Times New Roman" w:hAnsi="Times New Roman" w:cs="Times New Roman" w:eastAsia="Times New Roman"/>
        </w:rPr>
        <w:t xml:space="preserve">Dempster AP, Laird NM, Rubin DB. Maximum likelihood from incomplete data via the EM algorithm.</w:t>
      </w:r>
      <w:r>
        <w:rPr>
          <w:rFonts w:ascii="Times New Roman" w:hAnsi="Times New Roman" w:cs="Times New Roman" w:eastAsia="Times New Roman"/>
        </w:rPr>
        <w:t xml:space="preserve"> </w:t>
      </w:r>
      <w:r>
        <w:rPr>
          <w:rFonts w:ascii="Times New Roman" w:hAnsi="Times New Roman" w:cs="Times New Roman" w:eastAsia="Times New Roman"/>
          <w:i/>
          <w:iCs/>
        </w:rPr>
        <w:t xml:space="preserve">J R Stat Soc Ser B</w:t>
      </w:r>
      <w:r>
        <w:rPr>
          <w:rFonts w:ascii="Times New Roman" w:hAnsi="Times New Roman" w:cs="Times New Roman" w:eastAsia="Times New Roman"/>
        </w:rPr>
        <w:t xml:space="preserve">. 1977;39(1):1-38.</w:t>
      </w:r>
      <w:bookmarkEnd w:id="4020"/>
    </w:p>
    <w:p>
      <w:pPr>
        <w:pStyle w:val="Compact"/>
        <w:numPr>
          <w:ilvl w:val="0"/>
          <w:numId w:val="1001"/>
        </w:numPr>
        <w:jc w:val="both"/>
      </w:pPr>
      <w:bookmarkStart w:id="4021" w:name="ref21"/>
      <w:r>
        <w:rPr>
          <w:rFonts w:ascii="Times New Roman" w:hAnsi="Times New Roman" w:cs="Times New Roman" w:eastAsia="Times New Roman"/>
        </w:rPr>
        <w:t xml:space="preserve">Delaneau O, Zagury JF, Robinson MR, Marchini JL, Dermitzakis ET. Accurate, scalable and integrative haplotype estimation.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 Commun</w:t>
      </w:r>
      <w:r>
        <w:rPr>
          <w:rFonts w:ascii="Times New Roman" w:hAnsi="Times New Roman" w:cs="Times New Roman" w:eastAsia="Times New Roman"/>
        </w:rPr>
        <w:t xml:space="preserve">. 2019;10(1):5436.</w:t>
      </w:r>
      <w:bookmarkEnd w:id="4021"/>
    </w:p>
    <w:p>
      <w:pPr>
        <w:pStyle w:val="Compact"/>
        <w:numPr>
          <w:ilvl w:val="0"/>
          <w:numId w:val="1001"/>
        </w:numPr>
        <w:jc w:val="both"/>
      </w:pPr>
      <w:bookmarkStart w:id="4022" w:name="ref22"/>
      <w:r>
        <w:rPr>
          <w:rFonts w:ascii="Times New Roman" w:hAnsi="Times New Roman" w:cs="Times New Roman" w:eastAsia="Times New Roman"/>
        </w:rPr>
        <w:t xml:space="preserve">Browning SR, Browning BL. Identity by descent between distant relatives: detection and applications.</w:t>
      </w:r>
      <w:r>
        <w:rPr>
          <w:rFonts w:ascii="Times New Roman" w:hAnsi="Times New Roman" w:cs="Times New Roman" w:eastAsia="Times New Roman"/>
        </w:rPr>
        <w:t xml:space="preserve"> </w:t>
      </w:r>
      <w:r>
        <w:rPr>
          <w:rFonts w:ascii="Times New Roman" w:hAnsi="Times New Roman" w:cs="Times New Roman" w:eastAsia="Times New Roman"/>
          <w:i/>
          <w:iCs/>
        </w:rPr>
        <w:t xml:space="preserve">Annu Rev Genet</w:t>
      </w:r>
      <w:r>
        <w:rPr>
          <w:rFonts w:ascii="Times New Roman" w:hAnsi="Times New Roman" w:cs="Times New Roman" w:eastAsia="Times New Roman"/>
        </w:rPr>
        <w:t xml:space="preserve">. 2012;46:617-633.</w:t>
      </w:r>
      <w:bookmarkEnd w:id="4022"/>
    </w:p>
    <w:p>
      <w:pPr>
        <w:pStyle w:val="Compact"/>
        <w:numPr>
          <w:ilvl w:val="0"/>
          <w:numId w:val="1001"/>
        </w:numPr>
        <w:jc w:val="both"/>
      </w:pPr>
      <w:bookmarkStart w:id="4023" w:name="ref23"/>
      <w:r>
        <w:rPr>
          <w:rFonts w:ascii="Times New Roman" w:hAnsi="Times New Roman" w:cs="Times New Roman" w:eastAsia="Times New Roman"/>
        </w:rPr>
        <w:t xml:space="preserve">Bycroft C, Freeman C, Petkova D, et al. The UK Biobank resource with deep phenotyping and genomic data.</w:t>
      </w:r>
      <w:r>
        <w:rPr>
          <w:rFonts w:ascii="Times New Roman" w:hAnsi="Times New Roman" w:cs="Times New Roman" w:eastAsia="Times New Roman"/>
        </w:rPr>
        <w:t xml:space="preserve"> </w:t>
      </w:r>
      <w:r>
        <w:rPr>
          <w:rFonts w:ascii="Times New Roman" w:hAnsi="Times New Roman" w:cs="Times New Roman" w:eastAsia="Times New Roman"/>
          <w:i/>
          <w:iCs/>
        </w:rPr>
        <w:t xml:space="preserve">Nature</w:t>
      </w:r>
      <w:r>
        <w:rPr>
          <w:rFonts w:ascii="Times New Roman" w:hAnsi="Times New Roman" w:cs="Times New Roman" w:eastAsia="Times New Roman"/>
        </w:rPr>
        <w:t xml:space="preserve">. 2018;562(7726):203-209.</w:t>
      </w:r>
      <w:bookmarkEnd w:id="4023"/>
    </w:p>
    <w:p>
      <w:pPr>
        <w:pStyle w:val="Compact"/>
        <w:numPr>
          <w:ilvl w:val="0"/>
          <w:numId w:val="1001"/>
        </w:numPr>
        <w:jc w:val="both"/>
      </w:pPr>
      <w:bookmarkStart w:id="4024" w:name="ref24"/>
      <w:r>
        <w:rPr>
          <w:rFonts w:ascii="Times New Roman" w:hAnsi="Times New Roman" w:cs="Times New Roman" w:eastAsia="Times New Roman"/>
        </w:rPr>
        <w:t xml:space="preserve">Browning BL, Browning SR. A unified approach to genotype imputation and haplotype-phase inference for large data sets of trios and unrelated individuals.</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Hum Genet</w:t>
      </w:r>
      <w:r>
        <w:rPr>
          <w:rFonts w:ascii="Times New Roman" w:hAnsi="Times New Roman" w:cs="Times New Roman" w:eastAsia="Times New Roman"/>
        </w:rPr>
        <w:t xml:space="preserve">. 2009;84(2):210-223.</w:t>
      </w:r>
      <w:bookmarkEnd w:id="4024"/>
    </w:p>
    <w:p>
      <w:pPr>
        <w:pStyle w:val="Compact"/>
        <w:numPr>
          <w:ilvl w:val="0"/>
          <w:numId w:val="1001"/>
        </w:numPr>
        <w:jc w:val="both"/>
      </w:pPr>
      <w:bookmarkStart w:id="4025" w:name="ref25"/>
      <w:r>
        <w:rPr>
          <w:rFonts w:ascii="Times New Roman" w:hAnsi="Times New Roman" w:cs="Times New Roman" w:eastAsia="Times New Roman"/>
        </w:rPr>
        <w:t xml:space="preserve">Danecek P, Bonfield JK, Liddle J, et al. Twelve years of SAMtools and BCFtools.</w:t>
      </w:r>
      <w:r>
        <w:rPr>
          <w:rFonts w:ascii="Times New Roman" w:hAnsi="Times New Roman" w:cs="Times New Roman" w:eastAsia="Times New Roman"/>
        </w:rPr>
        <w:t xml:space="preserve"> </w:t>
      </w:r>
      <w:r>
        <w:rPr>
          <w:rFonts w:ascii="Times New Roman" w:hAnsi="Times New Roman" w:cs="Times New Roman" w:eastAsia="Times New Roman"/>
          <w:i/>
          <w:iCs/>
        </w:rPr>
        <w:t xml:space="preserve">GigaScience</w:t>
      </w:r>
      <w:r>
        <w:rPr>
          <w:rFonts w:ascii="Times New Roman" w:hAnsi="Times New Roman" w:cs="Times New Roman" w:eastAsia="Times New Roman"/>
        </w:rPr>
        <w:t xml:space="preserve">. 2021;10(2):giab008.</w:t>
      </w:r>
      <w:bookmarkEnd w:id="4025"/>
    </w:p>
    <w:p>
      <w:pPr>
        <w:pStyle w:val="Compact"/>
        <w:numPr>
          <w:ilvl w:val="0"/>
          <w:numId w:val="1001"/>
        </w:numPr>
        <w:jc w:val="both"/>
      </w:pPr>
      <w:bookmarkStart w:id="4026" w:name="ref26"/>
      <w:r>
        <w:rPr>
          <w:rFonts w:ascii="Times New Roman" w:hAnsi="Times New Roman" w:cs="Times New Roman" w:eastAsia="Times New Roman"/>
        </w:rPr>
        <w:t xml:space="preserve">Myers S, Bottolo L, Freeman C, McVean G, Donnelly P. A fine-scale map of recombination rates and hotspots across the human genome.</w:t>
      </w:r>
      <w:r>
        <w:rPr>
          <w:rFonts w:ascii="Times New Roman" w:hAnsi="Times New Roman" w:cs="Times New Roman" w:eastAsia="Times New Roman"/>
        </w:rPr>
        <w:t xml:space="preserve"> </w:t>
      </w:r>
      <w:r>
        <w:rPr>
          <w:rFonts w:ascii="Times New Roman" w:hAnsi="Times New Roman" w:cs="Times New Roman" w:eastAsia="Times New Roman"/>
          <w:i/>
          <w:iCs/>
        </w:rPr>
        <w:t xml:space="preserve">Science</w:t>
      </w:r>
      <w:r>
        <w:rPr>
          <w:rFonts w:ascii="Times New Roman" w:hAnsi="Times New Roman" w:cs="Times New Roman" w:eastAsia="Times New Roman"/>
        </w:rPr>
        <w:t xml:space="preserve">. 2005;310(5746):321-324.</w:t>
      </w:r>
      <w:bookmarkEnd w:id="4026"/>
    </w:p>
    <w:p>
      <w:pPr>
        <w:pStyle w:val="Compact"/>
        <w:numPr>
          <w:ilvl w:val="0"/>
          <w:numId w:val="1001"/>
        </w:numPr>
        <w:jc w:val="both"/>
      </w:pPr>
      <w:bookmarkStart w:id="4027" w:name="ref27"/>
      <w:r>
        <w:rPr>
          <w:rFonts w:ascii="Times New Roman" w:hAnsi="Times New Roman" w:cs="Times New Roman" w:eastAsia="Times New Roman"/>
        </w:rPr>
        <w:t xml:space="preserve">Bild DE, Bluemke DA, Burke GL, et al. Multi-Ethnic Study of Atherosclerosis: objectives and design.</w:t>
      </w:r>
      <w:r>
        <w:rPr>
          <w:rFonts w:ascii="Times New Roman" w:hAnsi="Times New Roman" w:cs="Times New Roman" w:eastAsia="Times New Roman"/>
        </w:rPr>
        <w:t xml:space="preserve"> </w:t>
      </w:r>
      <w:r>
        <w:rPr>
          <w:rFonts w:ascii="Times New Roman" w:hAnsi="Times New Roman" w:cs="Times New Roman" w:eastAsia="Times New Roman"/>
          <w:i/>
          <w:iCs/>
        </w:rPr>
        <w:t xml:space="preserve">Am J Epidemiol</w:t>
      </w:r>
      <w:r>
        <w:rPr>
          <w:rFonts w:ascii="Times New Roman" w:hAnsi="Times New Roman" w:cs="Times New Roman" w:eastAsia="Times New Roman"/>
        </w:rPr>
        <w:t xml:space="preserve">. 2002;156(9):871-881.</w:t>
      </w:r>
      <w:bookmarkEnd w:id="4027"/>
    </w:p>
    <w:p>
      <w:pPr>
        <w:pStyle w:val="Compact"/>
        <w:numPr>
          <w:ilvl w:val="0"/>
          <w:numId w:val="1001"/>
        </w:numPr>
        <w:jc w:val="both"/>
      </w:pPr>
      <w:bookmarkStart w:id="4028" w:name="ref28"/>
      <w:r>
        <w:rPr>
          <w:rFonts w:ascii="Times New Roman" w:hAnsi="Times New Roman" w:cs="Times New Roman" w:eastAsia="Times New Roman"/>
        </w:rPr>
        <w:t xml:space="preserve">Koenig Z, Yohannes MT, Nkambule LL, et al. A harmonized public resource of deeply sequenced diverse human genomes.</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Res</w:t>
      </w:r>
      <w:r>
        <w:rPr>
          <w:rFonts w:ascii="Times New Roman" w:hAnsi="Times New Roman" w:cs="Times New Roman" w:eastAsia="Times New Roman"/>
        </w:rPr>
        <w:t xml:space="preserve">. 2024;34(5):796-809. doi:10.1101/gr.278378.123.</w:t>
      </w:r>
      <w:bookmarkEnd w:id="4028"/>
    </w:p>
    <w:p>
      <w:pPr>
        <w:pStyle w:val="Compact"/>
        <w:numPr>
          <w:ilvl w:val="0"/>
          <w:numId w:val="1001"/>
        </w:numPr>
        <w:jc w:val="both"/>
      </w:pPr>
      <w:bookmarkStart w:id="4029" w:name="ref29"/>
      <w:r>
        <w:rPr>
          <w:rFonts w:ascii="Times New Roman" w:hAnsi="Times New Roman" w:cs="Times New Roman" w:eastAsia="Times New Roman"/>
        </w:rPr>
        <w:t xml:space="preserve">Mosca MJ, Cho H. Reconstruction of private genomes through reference-based genotype imputation.</w:t>
      </w:r>
      <w:r>
        <w:rPr>
          <w:rFonts w:ascii="Times New Roman" w:hAnsi="Times New Roman" w:cs="Times New Roman" w:eastAsia="Times New Roman"/>
        </w:rPr>
        <w:t xml:space="preserve"> </w:t>
      </w:r>
      <w:r>
        <w:rPr>
          <w:rFonts w:ascii="Times New Roman" w:hAnsi="Times New Roman" w:cs="Times New Roman" w:eastAsia="Times New Roman"/>
          <w:i/>
          <w:iCs/>
        </w:rPr>
        <w:t xml:space="preserve">Genome Biol</w:t>
      </w:r>
      <w:r>
        <w:rPr>
          <w:rFonts w:ascii="Times New Roman" w:hAnsi="Times New Roman" w:cs="Times New Roman" w:eastAsia="Times New Roman"/>
        </w:rPr>
        <w:t xml:space="preserve">. 2023;24(1):271. doi:10.1186/s13059-023-03105-6.</w:t>
      </w:r>
      <w:bookmarkEnd w:id="4029"/>
    </w:p>
    <w:p>
      <w:pPr>
        <w:pageBreakBefore/>
        <w:pStyle w:val="Heading1"/>
        <w:jc w:val="both"/>
      </w:pPr>
      <w:r>
        <w:rPr>
          <w:rFonts w:ascii="Times New Roman" w:hAnsi="Times New Roman" w:cs="Times New Roman" w:eastAsia="Times New Roman"/>
        </w:rPr>
        <w:t xml:space="preserve">Supplementary Information</w:t>
      </w:r>
    </w:p>
    <w:p>
      <w:pPr>
        <w:pStyle w:val="Heading2"/>
        <w:jc w:val="both"/>
      </w:pPr>
      <w:r>
        <w:rPr>
          <w:rFonts w:ascii="Times New Roman" w:hAnsi="Times New Roman" w:cs="Times New Roman" w:eastAsia="Times New Roman"/>
        </w:rPr>
        <w:t xml:space="preserve">Table S1. Imputation accuracy (R²) - 1KG Phase 3, chip to WGS</w:t>
      </w:r>
    </w:p>
    <w:p>
      <w:pPr>
        <w:pStyle w:val="FirstParagraph"/>
        <w:jc w:val="both"/>
      </w:pPr>
      <w:r>
        <w:rPr>
          <w:rFonts w:ascii="Times New Roman" w:hAnsi="Times New Roman" w:cs="Times New Roman" w:eastAsia="Times New Roman"/>
        </w:rPr>
        <w:t xml:space="preserve">Panel: 1KG Phase 3, 4802 haps. Targets: 801 samples, chr22 (1.07 M variants) and</w:t>
      </w:r>
      <w:r>
        <w:rPr>
          <w:rFonts w:ascii="Times New Roman" w:hAnsi="Times New Roman" w:cs="Times New Roman" w:eastAsia="Times New Roman"/>
        </w:rPr>
        <w:t xml:space="preserve"> </w:t>
      </w:r>
      <w:r>
        <w:rPr>
          <w:rFonts w:ascii="Times New Roman" w:hAnsi="Times New Roman" w:cs="Times New Roman" w:eastAsia="Times New Roman"/>
        </w:rPr>
        <w:t xml:space="preserve">chr1 (5.77 M variants). 16 threads. PHASED = impute-only (input phased); UNPHASED =</w:t>
      </w:r>
      <w:r>
        <w:rPr>
          <w:rFonts w:ascii="Times New Roman" w:hAnsi="Times New Roman" w:cs="Times New Roman" w:eastAsia="Times New Roman"/>
        </w:rPr>
        <w:t xml:space="preserve"> </w:t>
      </w:r>
      <w:r>
        <w:rPr>
          <w:rFonts w:ascii="Times New Roman" w:hAnsi="Times New Roman" w:cs="Times New Roman" w:eastAsia="Times New Roman"/>
        </w:rPr>
        <w:t xml:space="preserve">full phase+impute pipeline. Reference: Beagle 5.5 (03Oct25).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828"/>
        <w:gridCol w:w="1585"/>
        <w:gridCol w:w="2647"/>
        <w:gridCol w:w="1282"/>
        <w:gridCol w:w="1282"/>
        <w:gridCol w:w="1736"/>
      </w:tblGrid>
      <w:tr>
        <w:trPr>
          <w:tblHeader w:val="on"/>
        </w:trPr>
        <w:tc>
          <w:tcPr>
            <w:shd w:val="clear" w:color="auto" w:fill="595959"/>
            <w:vAlign w:val="center"/>
            <w:tcW w:type="dxa" w:w="828"/>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585"/>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2647"/>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282"/>
          </w:tcPr>
          <w:p>
            <w:pPr>
              <w:pStyle w:val="Compact"/>
              <w:jc w:val="center"/>
            </w:pPr>
            <w:r>
              <w:rPr>
                <w:rFonts w:ascii="Times New Roman" w:hAnsi="Times New Roman" w:cs="Times New Roman" w:eastAsia="Times New Roman"/>
                <w:b/>
                <w:color w:val="FFFFFF"/>
                <w:sz w:val="20"/>
              </w:rPr>
              <w:t xml:space="preserve">Beagle 5.5 R²</w:t>
            </w:r>
          </w:p>
        </w:tc>
        <w:tc>
          <w:tcPr>
            <w:shd w:val="clear" w:color="auto" w:fill="595959"/>
            <w:vAlign w:val="center"/>
            <w:tcW w:type="dxa" w:w="1736"/>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0.4680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0.4832</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per-sample mean</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0.9152</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0.9077</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0.2672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0.5033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0.4850</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0.8418</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0.8313</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0.5643</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0.5571</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unphased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0.5739</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0.5640</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0.3453</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0.3495</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E7E6E6"/>
            <w:vAlign w:val="center"/>
            <w:tcW w:type="dxa" w:w="2647"/>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282"/>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282"/>
          </w:tcPr>
          <w:p>
            <w:pPr>
              <w:pStyle w:val="Compact"/>
              <w:jc w:val="center"/>
            </w:pPr>
            <w:r>
              <w:rPr>
                <w:rFonts w:ascii="Times New Roman" w:hAnsi="Times New Roman" w:cs="Times New Roman" w:eastAsia="Times New Roman"/>
                <w:sz w:val="20"/>
              </w:rPr>
              <w:t xml:space="preserve">0.5912</w:t>
            </w:r>
          </w:p>
        </w:tc>
        <w:tc>
          <w:tcPr>
            <w:shd w:val="clear" w:color="auto" w:fill="E7E6E6"/>
            <w:vAlign w:val="center"/>
            <w:tcW w:type="dxa" w:w="1736"/>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828"/>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585"/>
          </w:tcPr>
          <w:p>
            <w:pPr>
              <w:pStyle w:val="Compact"/>
              <w:jc w:val="center"/>
            </w:pPr>
            <w:r>
              <w:rPr>
                <w:rFonts w:ascii="Times New Roman" w:hAnsi="Times New Roman" w:cs="Times New Roman" w:eastAsia="Times New Roman"/>
                <w:sz w:val="20"/>
              </w:rPr>
              <w:t xml:space="preserve">phased</w:t>
            </w:r>
          </w:p>
        </w:tc>
        <w:tc>
          <w:tcPr>
            <w:shd w:val="clear" w:color="auto" w:fill="FFFFFF"/>
            <w:vAlign w:val="center"/>
            <w:tcW w:type="dxa" w:w="2647"/>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282"/>
          </w:tcPr>
          <w:p>
            <w:pPr>
              <w:pStyle w:val="Compact"/>
              <w:jc w:val="center"/>
            </w:pPr>
            <w:r>
              <w:rPr>
                <w:rFonts w:ascii="Times New Roman" w:hAnsi="Times New Roman" w:cs="Times New Roman" w:eastAsia="Times New Roman"/>
                <w:b/>
                <w:bCs/>
                <w:sz w:val="20"/>
              </w:rPr>
              <w:t xml:space="preserve">0.9305</w:t>
            </w:r>
          </w:p>
        </w:tc>
        <w:tc>
          <w:tcPr>
            <w:shd w:val="clear" w:color="auto" w:fill="FFFFFF"/>
            <w:vAlign w:val="center"/>
            <w:tcW w:type="dxa" w:w="1282"/>
          </w:tcPr>
          <w:p>
            <w:pPr>
              <w:pStyle w:val="Compact"/>
              <w:jc w:val="center"/>
            </w:pPr>
            <w:r>
              <w:rPr>
                <w:rFonts w:ascii="Times New Roman" w:hAnsi="Times New Roman" w:cs="Times New Roman" w:eastAsia="Times New Roman"/>
                <w:sz w:val="20"/>
              </w:rPr>
              <w:t xml:space="preserve">0.9249</w:t>
            </w:r>
          </w:p>
        </w:tc>
        <w:tc>
          <w:tcPr>
            <w:shd w:val="clear" w:color="auto" w:fill="FFFFFF"/>
            <w:vAlign w:val="center"/>
            <w:tcW w:type="dxa" w:w="1736"/>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S2. Imputation accuracy (R²) - biobank-scale MESA × TOPMed</w:t>
      </w:r>
    </w:p>
    <w:p>
      <w:pPr>
        <w:pStyle w:val="FirstParagraph"/>
        <w:jc w:val="both"/>
      </w:pPr>
      <w:r>
        <w:rPr>
          <w:rFonts w:ascii="Times New Roman" w:hAnsi="Times New Roman" w:cs="Times New Roman" w:eastAsia="Times New Roman"/>
        </w:rPr>
        <w:t xml:space="preserve">Target: MESA admixed cohort, chr20. Panel: TOPMed 171 K-hap (85 K samples; disjoint</w:t>
      </w:r>
      <w:r>
        <w:rPr>
          <w:rFonts w:ascii="Times New Roman" w:hAnsi="Times New Roman" w:cs="Times New Roman" w:eastAsia="Times New Roman"/>
        </w:rPr>
        <w:t xml:space="preserve"> </w:t>
      </w:r>
      <w:r>
        <w:rPr>
          <w:rFonts w:ascii="Times New Roman" w:hAnsi="Times New Roman" w:cs="Times New Roman" w:eastAsia="Times New Roman"/>
        </w:rPr>
        <w:t xml:space="preserve">from target).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max conditioning candidates. Reference: Beagle 5.5 unless noted.</w:t>
      </w:r>
      <w:r>
        <w:rPr>
          <w:rFonts w:ascii="Times New Roman" w:hAnsi="Times New Roman" w:cs="Times New Roman" w:eastAsia="Times New Roman"/>
        </w:rPr>
        <w:t xml:space="preserve"> </w:t>
      </w:r>
      <w:r>
        <w:rPr>
          <w:rFonts w:ascii="Times New Roman" w:hAnsi="Times New Roman" w:cs="Times New Roman" w:eastAsia="Times New Roman"/>
        </w:rPr>
        <w:t xml:space="preserve">The first row is the camera-ready headline that matches the main-text MESA result and Figure 2b (full</w:t>
      </w:r>
      <w:r>
        <w:rPr>
          <w:rFonts w:ascii="Times New Roman" w:hAnsi="Times New Roman" w:cs="Times New Roman" w:eastAsia="Times New Roman"/>
        </w:rPr>
        <w:t xml:space="preserve"> </w:t>
      </w:r>
      <w:r>
        <w:rPr>
          <w:rFonts w:ascii="Times New Roman" w:hAnsi="Times New Roman" w:cs="Times New Roman" w:eastAsia="Times New Roman"/>
        </w:rPr>
        <w:t xml:space="preserve">17.9 M-variant set,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--sample-batch-size</w:t>
      </w:r>
      <w:r>
        <w:rPr>
          <w:rFonts w:ascii="Times New Roman" w:hAnsi="Times New Roman" w:cs="Times New Roman" w:eastAsia="Times New Roman"/>
        </w:rPr>
        <w:t xml:space="preserve">, panel-adaptive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 132,676); the</w:t>
      </w:r>
      <w:r>
        <w:rPr>
          <w:rFonts w:ascii="Times New Roman" w:hAnsi="Times New Roman" w:cs="Times New Roman" w:eastAsia="Times New Roman"/>
        </w:rPr>
        <w:t xml:space="preserve"> </w:t>
      </w:r>
      <w:r>
        <w:rPr>
          <w:rFonts w:ascii="Times New Roman" w:hAnsi="Times New Roman" w:cs="Times New Roman" w:eastAsia="Times New Roman"/>
        </w:rPr>
        <w:t xml:space="preserve">subsequent rows are the candidate-set-size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sweep behind the biobank claim,</w:t>
      </w:r>
      <w:r>
        <w:rPr>
          <w:rFonts w:ascii="Times New Roman" w:hAnsi="Times New Roman" w:cs="Times New Roman" w:eastAsia="Times New Roman"/>
        </w:rPr>
        <w:t xml:space="preserve"> </w:t>
      </w:r>
      <w:r>
        <w:rPr>
          <w:rFonts w:ascii="Times New Roman" w:hAnsi="Times New Roman" w:cs="Times New Roman" w:eastAsia="Times New Roman"/>
        </w:rPr>
        <w:t xml:space="preserve">measured against an earlier Beagle 5.5 baseline (0.5975) and retained to show the</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mc</w:t>
      </w:r>
      <w:r>
        <w:rPr>
          <w:rFonts w:ascii="Times New Roman" w:hAnsi="Times New Roman" w:cs="Times New Roman" w:eastAsia="Times New Roman"/>
        </w:rPr>
        <w:t xml:space="preserve"> </w:t>
      </w:r>
      <w:r>
        <w:rPr>
          <w:rFonts w:ascii="Times New Roman" w:hAnsi="Times New Roman" w:cs="Times New Roman" w:eastAsia="Times New Roman"/>
        </w:rPr>
        <w:t xml:space="preserve">trajectory (so their Beagle column differs from the headline by design).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730"/>
        <w:gridCol w:w="2038"/>
        <w:gridCol w:w="2922"/>
        <w:gridCol w:w="890"/>
        <w:gridCol w:w="890"/>
        <w:gridCol w:w="890"/>
      </w:tblGrid>
      <w:tr>
        <w:trPr>
          <w:tblHeader w:val="on"/>
        </w:trPr>
        <w:tc>
          <w:tcPr>
            <w:shd w:val="clear" w:color="auto" w:fill="595959"/>
            <w:vAlign w:val="center"/>
            <w:tcW w:type="dxa" w:w="1730"/>
          </w:tcPr>
          <w:p>
            <w:pPr>
              <w:pStyle w:val="Compact"/>
              <w:jc w:val="center"/>
            </w:pPr>
            <w:r>
              <w:rPr>
                <w:rFonts w:ascii="Times New Roman" w:hAnsi="Times New Roman" w:cs="Times New Roman" w:eastAsia="Times New Roman"/>
                <w:b/>
                <w:color w:val="FFFFFF"/>
                <w:sz w:val="20"/>
              </w:rPr>
              <w:t xml:space="preserve">Cohort</w:t>
            </w:r>
          </w:p>
        </w:tc>
        <w:tc>
          <w:tcPr>
            <w:shd w:val="clear" w:color="auto" w:fill="595959"/>
            <w:vAlign w:val="center"/>
            <w:tcW w:type="dxa" w:w="2038"/>
          </w:tcPr>
          <w:p>
            <w:pPr>
              <w:pStyle w:val="Compact"/>
              <w:jc w:val="center"/>
            </w:pPr>
            <w:r>
              <w:rPr>
                <w:rFonts w:ascii="Times New Roman" w:hAnsi="Times New Roman" w:cs="Times New Roman" w:eastAsia="Times New Roman"/>
                <w:rStyle w:val="VerbatimChar"/>
                <w:b/>
                <w:color w:val="FFFFFF"/>
                <w:sz w:val="20"/>
              </w:rPr>
              <w:t xml:space="preserve">mc</w:t>
            </w:r>
          </w:p>
        </w:tc>
        <w:tc>
          <w:tcPr>
            <w:shd w:val="clear" w:color="auto" w:fill="595959"/>
            <w:vAlign w:val="center"/>
            <w:tcW w:type="dxa" w:w="2922"/>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Beagle R²</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(headline, diploid 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0.6148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0.5921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(haploid, larger mc)</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0.6162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132676 (auto)</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(haploid auto-mc)</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0.6156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0.5975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132676 (auto), full 17.9 M var</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per-sample mean (headline, diploid default)</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0.8978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0.8764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150K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0.05-0.1% (rarest, Ne-default)</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0.5211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0.6554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0.6360</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5-10%</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0.6809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0.6635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5K</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120K</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20-50%</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0.6653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0.6541</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0.6624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0.6242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0.5-1%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0.6548</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0.6079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9800</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0.6645</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0.6290</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730"/>
          </w:tcPr>
          <w:p>
            <w:pPr>
              <w:pStyle w:val="Compact"/>
              <w:jc w:val="center"/>
            </w:pPr>
            <w:r>
              <w:rPr>
                <w:rFonts w:ascii="Times New Roman" w:hAnsi="Times New Roman" w:cs="Times New Roman" w:eastAsia="Times New Roman"/>
                <w:sz w:val="20"/>
              </w:rPr>
              <w:t xml:space="preserve">MESA 100s set1</w:t>
            </w:r>
          </w:p>
        </w:tc>
        <w:tc>
          <w:tcPr>
            <w:shd w:val="clear" w:color="auto" w:fill="E7E6E6"/>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E7E6E6"/>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0.6507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730"/>
          </w:tcPr>
          <w:p>
            <w:pPr>
              <w:pStyle w:val="Compact"/>
              <w:jc w:val="center"/>
            </w:pPr>
            <w:r>
              <w:rPr>
                <w:rFonts w:ascii="Times New Roman" w:hAnsi="Times New Roman" w:cs="Times New Roman" w:eastAsia="Times New Roman"/>
                <w:sz w:val="20"/>
              </w:rPr>
              <w:t xml:space="preserve">MESA 100s set2</w:t>
            </w:r>
          </w:p>
        </w:tc>
        <w:tc>
          <w:tcPr>
            <w:shd w:val="clear" w:color="auto" w:fill="FFFFFF"/>
            <w:vAlign w:val="center"/>
            <w:tcW w:type="dxa" w:w="2038"/>
          </w:tcPr>
          <w:p>
            <w:pPr>
              <w:pStyle w:val="Compact"/>
              <w:jc w:val="left"/>
            </w:pPr>
            <w:r>
              <w:rPr>
                <w:rFonts w:ascii="Times New Roman" w:hAnsi="Times New Roman" w:cs="Times New Roman" w:eastAsia="Times New Roman"/>
                <w:sz w:val="20"/>
              </w:rPr>
              <w:t xml:space="preserve">per-window default</w:t>
            </w:r>
          </w:p>
        </w:tc>
        <w:tc>
          <w:tcPr>
            <w:shd w:val="clear" w:color="auto" w:fill="FFFFFF"/>
            <w:vAlign w:val="center"/>
            <w:tcW w:type="dxa" w:w="2922"/>
          </w:tcPr>
          <w:p>
            <w:pPr>
              <w:pStyle w:val="Compact"/>
              <w:jc w:val="left"/>
            </w:pPr>
            <w:r>
              <w:rPr>
                <w:rFonts w:ascii="Times New Roman" w:hAnsi="Times New Roman" w:cs="Times New Roman" w:eastAsia="Times New Roman"/>
                <w:sz w:val="20"/>
              </w:rPr>
              <w:t xml:space="preserve">OVERALL (Test B)</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0.6546</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tie</w:t>
            </w:r>
          </w:p>
        </w:tc>
      </w:tr>
    </w:tbl>
    <w:p>
      <w:pPr>
        <w:pStyle w:val="Heading2"/>
        <w:jc w:val="both"/>
      </w:pPr>
      <w:r>
        <w:rPr>
          <w:rFonts w:ascii="Times New Roman" w:hAnsi="Times New Roman" w:cs="Times New Roman" w:eastAsia="Times New Roman"/>
        </w:rPr>
        <w:t xml:space="preserve">Table S3. Leak-free GIAB validation - chip to WGS</w:t>
      </w:r>
    </w:p>
    <w:p>
      <w:pPr>
        <w:pStyle w:val="FirstParagraph"/>
        <w:jc w:val="both"/>
      </w:pPr>
      <w:r>
        <w:rPr>
          <w:rFonts w:ascii="Times New Roman" w:hAnsi="Times New Roman" w:cs="Times New Roman" w:eastAsia="Times New Roman"/>
        </w:rPr>
        <w:t xml:space="preserve">6 GIAB samples (HG002-007), 75,552-haplotype reference panel (37,776 samples),</w:t>
      </w:r>
      <w:r>
        <w:rPr>
          <w:rFonts w:ascii="Times New Roman" w:hAnsi="Times New Roman" w:cs="Times New Roman" w:eastAsia="Times New Roman"/>
        </w:rPr>
        <w:t xml:space="preserve"> </w:t>
      </w:r>
      <w:r>
        <w:rPr>
          <w:rFonts w:ascii="Times New Roman" w:hAnsi="Times New Roman" w:cs="Times New Roman" w:eastAsia="Times New Roman"/>
        </w:rPr>
        <w:t xml:space="preserve">leak-free. EC2 r7a.4xlarge, 16 threads. Reference: Beagle 5 (03Oct25); old Selphi 1.5.3.</w:t>
      </w:r>
      <w:r>
        <w:rPr>
          <w:rFonts w:ascii="Times New Roman" w:hAnsi="Times New Roman" w:cs="Times New Roman" w:eastAsia="Times New Roman"/>
        </w:rPr>
        <w:t xml:space="preserve"> </w:t>
      </w:r>
      <w:r>
        <w:rPr>
          <w:rFonts w:ascii="Times New Roman" w:hAnsi="Times New Roman" w:cs="Times New Roman" w:eastAsia="Times New Roman"/>
        </w:rPr>
        <w:t xml:space="preserve">This is the GIAB overlay validation set (no array no-calls), distinct from the</w:t>
      </w:r>
      <w:r>
        <w:rPr>
          <w:rFonts w:ascii="Times New Roman" w:hAnsi="Times New Roman" w:cs="Times New Roman" w:eastAsia="Times New Roman"/>
        </w:rPr>
        <w:t xml:space="preserve"> </w:t>
      </w:r>
      <w:r>
        <w:rPr>
          <w:rFonts w:ascii="Times New Roman" w:hAnsi="Times New Roman" w:cs="Times New Roman" w:eastAsia="Times New Roman"/>
        </w:rPr>
        <w:t xml:space="preserve">consumer-array GSA benchmark in the main paper (Table 3); the missing-genotype</w:t>
      </w:r>
      <w:r>
        <w:rPr>
          <w:rFonts w:ascii="Times New Roman" w:hAnsi="Times New Roman" w:cs="Times New Roman" w:eastAsia="Times New Roman"/>
        </w:rPr>
        <w:t xml:space="preserve"> </w:t>
      </w:r>
      <w:r>
        <w:rPr>
          <w:rFonts w:ascii="Times New Roman" w:hAnsi="Times New Roman" w:cs="Times New Roman" w:eastAsia="Times New Roman"/>
        </w:rPr>
        <w:t xml:space="preserve">phasing fix does not affect these rows.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20"/>
        <w:gridCol w:w="4030"/>
        <w:gridCol w:w="1415"/>
        <w:gridCol w:w="995"/>
        <w:gridCol w:w="995"/>
        <w:gridCol w:w="1205"/>
      </w:tblGrid>
      <w:tr>
        <w:trPr>
          <w:tblHeader w:val="on"/>
        </w:trPr>
        <w:tc>
          <w:tcPr>
            <w:shd w:val="clear" w:color="auto" w:fill="595959"/>
            <w:vAlign w:val="center"/>
            <w:tcW w:type="dxa" w:w="720"/>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4030"/>
          </w:tcPr>
          <w:p>
            <w:pPr>
              <w:pStyle w:val="Compact"/>
              <w:jc w:val="center"/>
            </w:pPr>
            <w:r>
              <w:rPr>
                <w:rFonts w:ascii="Times New Roman" w:hAnsi="Times New Roman" w:cs="Times New Roman" w:eastAsia="Times New Roman"/>
                <w:b/>
                <w:color w:val="FFFFFF"/>
                <w:sz w:val="20"/>
              </w:rPr>
              <w:t xml:space="preserve">Mode</w:t>
            </w:r>
          </w:p>
        </w:tc>
        <w:tc>
          <w:tcPr>
            <w:shd w:val="clear" w:color="auto" w:fill="595959"/>
            <w:vAlign w:val="center"/>
            <w:tcW w:type="dxa" w:w="1415"/>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Beagle 5</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0.9704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0.9676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concordance</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0.9777</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0.9762</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7.2 s</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6.2 GB</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0.9734</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21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(haploid auto)</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0.9705</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0.9707</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0.9815</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0.9825</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wall</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38.8 s</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43.2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4030"/>
          </w:tcPr>
          <w:p>
            <w:pPr>
              <w:pStyle w:val="Compact"/>
              <w:jc w:val="left"/>
            </w:pPr>
            <w:r>
              <w:rPr>
                <w:rFonts w:ascii="Times New Roman" w:hAnsi="Times New Roman" w:cs="Times New Roman" w:eastAsia="Times New Roman"/>
                <w:sz w:val="20"/>
              </w:rPr>
              <w:t xml:space="preserve">impute-only</w:t>
            </w:r>
          </w:p>
        </w:tc>
        <w:tc>
          <w:tcPr>
            <w:shd w:val="clear" w:color="auto" w:fill="FFFFFF"/>
            <w:vAlign w:val="center"/>
            <w:tcW w:type="dxa" w:w="1415"/>
          </w:tcPr>
          <w:p>
            <w:pPr>
              <w:pStyle w:val="Compact"/>
              <w:jc w:val="center"/>
            </w:pPr>
            <w:r>
              <w:rPr>
                <w:rFonts w:ascii="Times New Roman" w:hAnsi="Times New Roman" w:cs="Times New Roman" w:eastAsia="Times New Roman"/>
                <w:sz w:val="20"/>
              </w:rPr>
              <w:t xml:space="preserve">peak RAM</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16.3 GB</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39.2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20"/>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4030"/>
          </w:tcPr>
          <w:p>
            <w:pPr>
              <w:pStyle w:val="Compact"/>
              <w:jc w:val="left"/>
            </w:pPr>
            <w:r>
              <w:rPr>
                <w:rFonts w:ascii="Times New Roman" w:hAnsi="Times New Roman" w:cs="Times New Roman" w:eastAsia="Times New Roman"/>
                <w:sz w:val="20"/>
              </w:rPr>
              <w:t xml:space="preserve">full pipeline (diploid)</w:t>
            </w:r>
          </w:p>
        </w:tc>
        <w:tc>
          <w:tcPr>
            <w:shd w:val="clear" w:color="auto" w:fill="E7E6E6"/>
            <w:vAlign w:val="center"/>
            <w:tcW w:type="dxa" w:w="1415"/>
          </w:tcPr>
          <w:p>
            <w:pPr>
              <w:pStyle w:val="Compact"/>
              <w:jc w:val="center"/>
            </w:pPr>
            <w:r>
              <w:rPr>
                <w:rFonts w:ascii="Times New Roman" w:hAnsi="Times New Roman" w:cs="Times New Roman" w:eastAsia="Times New Roman"/>
                <w:sz w:val="20"/>
              </w:rPr>
              <w:t xml:space="preserve">OVERALL R²</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0.9812</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0.9820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bl>
    <w:p>
      <w:pPr>
        <w:pStyle w:val="Heading2"/>
        <w:jc w:val="both"/>
      </w:pPr>
      <w:r>
        <w:rPr>
          <w:rFonts w:ascii="Times New Roman" w:hAnsi="Times New Roman" w:cs="Times New Roman" w:eastAsia="Times New Roman"/>
        </w:rPr>
        <w:t xml:space="preserve">Table S4. Low-coverage WGS (lcWGS) accuracy (R²) - vs GLIMPSE2 and QUILT2</w:t>
      </w:r>
    </w:p>
    <w:p>
      <w:pPr>
        <w:pStyle w:val="FirstParagraph"/>
        <w:jc w:val="both"/>
      </w:pPr>
      <w:r>
        <w:rPr>
          <w:rFonts w:ascii="Times New Roman" w:hAnsi="Times New Roman" w:cs="Times New Roman" w:eastAsia="Times New Roman"/>
        </w:rPr>
        <w:t xml:space="preserve">Extended detail behind main-text</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w:t>
      </w:r>
      <w:r>
        <w:rPr>
          <w:rFonts w:ascii="Times New Roman" w:hAnsi="Times New Roman" w:cs="Times New Roman" w:eastAsia="Times New Roman"/>
        </w:rPr>
        <w:t xml:space="preserve"> </w:t>
      </w:r>
      <w:r>
        <w:rPr>
          <w:rFonts w:ascii="Times New Roman" w:hAnsi="Times New Roman" w:cs="Times New Roman" w:eastAsia="Times New Roman"/>
        </w:rPr>
        <w:t xml:space="preserve">(per-sample real-GIAB accuracy) and</w:t>
      </w:r>
      <w:r>
        <w:rPr>
          <w:rFonts w:ascii="Times New Roman" w:hAnsi="Times New Roman" w:cs="Times New Roman" w:eastAsia="Times New Roman"/>
        </w:rPr>
        <w:t xml:space="preserve"> </w:t>
      </w:r>
      <w:r>
        <w:rPr>
          <w:rFonts w:ascii="Times New Roman" w:hAnsi="Times New Roman" w:cs="Times New Roman" w:eastAsia="Times New Roman"/>
          <w:b/>
          <w:bCs/>
        </w:rPr>
        <w:t xml:space="preserve">Table 6b</w:t>
      </w:r>
      <w:r>
        <w:rPr>
          <w:rFonts w:ascii="Times New Roman" w:hAnsi="Times New Roman" w:cs="Times New Roman" w:eastAsia="Times New Roman"/>
        </w:rPr>
        <w:t xml:space="preserve"> </w:t>
      </w:r>
      <w:r>
        <w:rPr>
          <w:rFonts w:ascii="Times New Roman" w:hAnsi="Times New Roman" w:cs="Times New Roman" w:eastAsia="Times New Roman"/>
        </w:rPr>
        <w:t xml:space="preserve">(three-way coverage sweep). Default engine = the reference-faithful</w:t>
      </w:r>
      <w:r>
        <w:rPr>
          <w:rFonts w:ascii="Times New Roman" w:hAnsi="Times New Roman" w:cs="Times New Roman" w:eastAsia="Times New Roman"/>
        </w:rPr>
        <w:t xml:space="preserve"> </w:t>
      </w:r>
      <w:r>
        <w:rPr>
          <w:rFonts w:ascii="Times New Roman" w:hAnsi="Times New Roman" w:cs="Times New Roman" w:eastAsia="Times New Roman"/>
        </w:rPr>
        <w:t xml:space="preserve">8-founder phasing HMM run every iteration (opt out</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LCWGS_NO_FOUNDER_PHASE=1</w:t>
      </w:r>
      <w:r>
        <w:rPr>
          <w:rFonts w:ascii="Times New Roman" w:hAnsi="Times New Roman" w:cs="Times New Roman" w:eastAsia="Times New Roman"/>
        </w:rPr>
        <w:t xml:space="preserve">) with</w:t>
      </w:r>
      <w:r>
        <w:rPr>
          <w:rFonts w:ascii="Times New Roman" w:hAnsi="Times New Roman" w:cs="Times New Roman" w:eastAsia="Times New Roman"/>
        </w:rPr>
        <w:t xml:space="preserve"> </w:t>
      </w:r>
      <w:r>
        <w:rPr>
          <w:rFonts w:ascii="Times New Roman" w:hAnsi="Times New Roman" w:cs="Times New Roman" w:eastAsia="Times New Roman"/>
        </w:rPr>
        <w:t xml:space="preserve">band-mode recombination (default; Methods). All rows compute genotype likelihoods</w:t>
      </w:r>
      <w:r>
        <w:rPr>
          <w:rFonts w:ascii="Times New Roman" w:hAnsi="Times New Roman" w:cs="Times New Roman" w:eastAsia="Times New Roman"/>
        </w:rPr>
        <w:t xml:space="preserve"> </w:t>
      </w:r>
      <w:r>
        <w:rPr>
          <w:rFonts w:ascii="Times New Roman" w:hAnsi="Times New Roman" w:cs="Times New Roman" w:eastAsia="Times New Roman"/>
        </w:rPr>
        <w:t xml:space="preserve">from the BAM with each tool's own in-process pileup (no external caller) and score</w:t>
      </w:r>
      <w:r>
        <w:rPr>
          <w:rFonts w:ascii="Times New Roman" w:hAnsi="Times New Roman" w:cs="Times New Roman" w:eastAsia="Times New Roman"/>
        </w:rPr>
        <w:t xml:space="preserve"> </w:t>
      </w:r>
      <w:r>
        <w:rPr>
          <w:rFonts w:ascii="Times New Roman" w:hAnsi="Times New Roman" w:cs="Times New Roman" w:eastAsia="Times New Roman"/>
        </w:rPr>
        <w:t xml:space="preserve">on the identical site set across the compared tools.</w:t>
      </w:r>
    </w:p>
    <w:p>
      <w:pPr>
        <w:pStyle w:val="BodyText"/>
        <w:jc w:val="both"/>
      </w:pPr>
      <w:r>
        <w:rPr>
          <w:rFonts w:ascii="Times New Roman" w:hAnsi="Times New Roman" w:cs="Times New Roman" w:eastAsia="Times New Roman"/>
          <w:b/>
          <w:bCs/>
        </w:rPr>
        <w:t xml:space="preserve">S4a. Per-sample real-GIAB accuracy (= main-text Table 6).</w:t>
      </w:r>
      <w:r>
        <w:rPr>
          <w:rFonts w:ascii="Times New Roman" w:hAnsi="Times New Roman" w:cs="Times New Roman" w:eastAsia="Times New Roman"/>
        </w:rPr>
        <w:t xml:space="preserve"> </w:t>
      </w:r>
      <w:r>
        <w:rPr>
          <w:rFonts w:ascii="Times New Roman" w:hAnsi="Times New Roman" w:cs="Times New Roman" w:eastAsia="Times New Roman"/>
        </w:rPr>
        <w:t xml:space="preserve">Six GIAB samples</w:t>
      </w:r>
      <w:r>
        <w:rPr>
          <w:rFonts w:ascii="Times New Roman" w:hAnsi="Times New Roman" w:cs="Times New Roman" w:eastAsia="Times New Roman"/>
        </w:rPr>
        <w:t xml:space="preserve"> </w:t>
      </w:r>
      <w:r>
        <w:rPr>
          <w:rFonts w:ascii="Times New Roman" w:hAnsi="Times New Roman" w:cs="Times New Roman" w:eastAsia="Times New Roman"/>
        </w:rPr>
        <w:t xml:space="preserve">(HG002-HG007), NovaSeq PCR-free 30× downsampled to ~1.8× chromosome 22, imputed</w:t>
      </w:r>
      <w:r>
        <w:rPr>
          <w:rFonts w:ascii="Times New Roman" w:hAnsi="Times New Roman" w:cs="Times New Roman" w:eastAsia="Times New Roman"/>
        </w:rPr>
        <w:t xml:space="preserve"> </w:t>
      </w:r>
      <w:r>
        <w:rPr>
          <w:rFonts w:ascii="Times New Roman" w:hAnsi="Times New Roman" w:cs="Times New Roman" w:eastAsia="Times New Roman"/>
        </w:rPr>
        <w:t xml:space="preserve">independently against the 4,478-haplotype (2,239-sample) no-trios 1000 Genomes</w:t>
      </w:r>
      <w:r>
        <w:rPr>
          <w:rFonts w:ascii="Times New Roman" w:hAnsi="Times New Roman" w:cs="Times New Roman" w:eastAsia="Times New Roman"/>
        </w:rPr>
        <w:t xml:space="preserve"> </w:t>
      </w:r>
      <w:r>
        <w:rPr>
          <w:rFonts w:ascii="Times New Roman" w:hAnsi="Times New Roman" w:cs="Times New Roman" w:eastAsia="Times New Roman"/>
        </w:rPr>
        <w:t xml:space="preserve">panel. Per-sample dosage R² over the high-confidence variant sites carrying a</w:t>
      </w:r>
      <w:r>
        <w:rPr>
          <w:rFonts w:ascii="Times New Roman" w:hAnsi="Times New Roman" w:cs="Times New Roman" w:eastAsia="Times New Roman"/>
        </w:rPr>
        <w:t xml:space="preserve"> </w:t>
      </w:r>
      <w:r>
        <w:rPr>
          <w:rFonts w:ascii="Times New Roman" w:hAnsi="Times New Roman" w:cs="Times New Roman" w:eastAsia="Times New Roman"/>
        </w:rPr>
        <w:t xml:space="preserve">non-reference allele (≈37-40k per sample), identical site set for both tools.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09"/>
        <w:gridCol w:w="2211"/>
        <w:gridCol w:w="2731"/>
        <w:gridCol w:w="2209"/>
      </w:tblGrid>
      <w:tr>
        <w:trPr>
          <w:tblHeader w:val="on"/>
        </w:trPr>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Sample</w:t>
            </w:r>
          </w:p>
        </w:tc>
        <w:tc>
          <w:tcPr>
            <w:shd w:val="clear" w:color="auto" w:fill="595959"/>
            <w:vAlign w:val="center"/>
            <w:tcW w:type="dxa" w:w="2211"/>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2731"/>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2209"/>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HG002</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0.9457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0.9421</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HG003</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0.9515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0.9459</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HG004</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0.9479</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0.9435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HG005</w:t>
            </w:r>
          </w:p>
        </w:tc>
        <w:tc>
          <w:tcPr>
            <w:shd w:val="clear" w:color="auto" w:fill="E7E6E6"/>
            <w:vAlign w:val="center"/>
            <w:tcW w:type="dxa" w:w="2211"/>
          </w:tcPr>
          <w:p>
            <w:pPr>
              <w:pStyle w:val="Compact"/>
              <w:jc w:val="center"/>
            </w:pPr>
            <w:r>
              <w:rPr>
                <w:rFonts w:ascii="Times New Roman" w:hAnsi="Times New Roman" w:cs="Times New Roman" w:eastAsia="Times New Roman"/>
                <w:b/>
                <w:bCs/>
                <w:sz w:val="20"/>
              </w:rPr>
              <w:t xml:space="preserve">0.9455</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0.9416</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HG006</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0.9547</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0.9496</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HG007</w:t>
            </w:r>
          </w:p>
        </w:tc>
        <w:tc>
          <w:tcPr>
            <w:shd w:val="clear" w:color="auto" w:fill="E7E6E6"/>
            <w:vAlign w:val="center"/>
            <w:tcW w:type="dxa" w:w="2211"/>
          </w:tcPr>
          <w:p>
            <w:pPr>
              <w:pStyle w:val="Compact"/>
              <w:jc w:val="center"/>
            </w:pPr>
            <w:r>
              <w:rPr>
                <w:rFonts w:ascii="Times New Roman" w:hAnsi="Times New Roman" w:cs="Times New Roman" w:eastAsia="Times New Roman"/>
                <w:sz w:val="20"/>
              </w:rPr>
              <w:t xml:space="preserve">0.9502</w:t>
            </w:r>
          </w:p>
        </w:tc>
        <w:tc>
          <w:tcPr>
            <w:shd w:val="clear" w:color="auto" w:fill="E7E6E6"/>
            <w:vAlign w:val="center"/>
            <w:tcW w:type="dxa" w:w="2731"/>
          </w:tcPr>
          <w:p>
            <w:pPr>
              <w:pStyle w:val="Compact"/>
              <w:jc w:val="center"/>
            </w:pPr>
            <w:r>
              <w:rPr>
                <w:rFonts w:ascii="Times New Roman" w:hAnsi="Times New Roman" w:cs="Times New Roman" w:eastAsia="Times New Roman"/>
                <w:sz w:val="20"/>
              </w:rPr>
              <w:t xml:space="preserve">0.9504</w:t>
            </w:r>
          </w:p>
        </w:tc>
        <w:tc>
          <w:tcPr>
            <w:shd w:val="clear" w:color="auto" w:fill="E7E6E6"/>
            <w:vAlign w:val="center"/>
            <w:tcW w:type="dxa" w:w="2209"/>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Mean</w:t>
            </w:r>
          </w:p>
        </w:tc>
        <w:tc>
          <w:tcPr>
            <w:shd w:val="clear" w:color="auto" w:fill="FFFFFF"/>
            <w:vAlign w:val="center"/>
            <w:tcW w:type="dxa" w:w="2211"/>
          </w:tcPr>
          <w:p>
            <w:pPr>
              <w:pStyle w:val="Compact"/>
              <w:jc w:val="center"/>
            </w:pPr>
            <w:r>
              <w:rPr>
                <w:rFonts w:ascii="Times New Roman" w:hAnsi="Times New Roman" w:cs="Times New Roman" w:eastAsia="Times New Roman"/>
                <w:b/>
                <w:bCs/>
                <w:sz w:val="20"/>
              </w:rPr>
              <w:t xml:space="preserve">0.9493</w:t>
            </w:r>
          </w:p>
        </w:tc>
        <w:tc>
          <w:tcPr>
            <w:shd w:val="clear" w:color="auto" w:fill="FFFFFF"/>
            <w:vAlign w:val="center"/>
            <w:tcW w:type="dxa" w:w="2731"/>
          </w:tcPr>
          <w:p>
            <w:pPr>
              <w:pStyle w:val="Compact"/>
              <w:jc w:val="center"/>
            </w:pPr>
            <w:r>
              <w:rPr>
                <w:rFonts w:ascii="Times New Roman" w:hAnsi="Times New Roman" w:cs="Times New Roman" w:eastAsia="Times New Roman"/>
                <w:sz w:val="20"/>
              </w:rPr>
              <w:t xml:space="preserve">0.9455</w:t>
            </w:r>
          </w:p>
        </w:tc>
        <w:tc>
          <w:tcPr>
            <w:shd w:val="clear" w:color="auto" w:fill="FFFFFF"/>
            <w:vAlign w:val="center"/>
            <w:tcW w:type="dxa" w:w="2209"/>
          </w:tcPr>
          <w:p>
            <w:pPr>
              <w:pStyle w:val="Compact"/>
              <w:jc w:val="center"/>
            </w:pPr>
            <w:r>
              <w:rPr>
                <w:rFonts w:ascii="Times New Roman" w:hAnsi="Times New Roman" w:cs="Times New Roman" w:eastAsia="Times New Roman"/>
                <w:sz w:val="20"/>
              </w:rPr>
              <w:t xml:space="preserve">Selphi</w:t>
            </w:r>
          </w:p>
        </w:tc>
      </w:tr>
    </w:tbl>
    <w:p>
      <w:pPr>
        <w:pStyle w:val="BodyText"/>
        <w:jc w:val="both"/>
      </w:pPr>
      <w:r>
        <w:rPr>
          <w:rFonts w:ascii="Times New Roman" w:hAnsi="Times New Roman" w:cs="Times New Roman" w:eastAsia="Times New Roman"/>
          <w:b/>
          <w:bCs/>
        </w:rPr>
        <w:t xml:space="preserve">S4b. Three-way coverage sweep (= main-text Table 6b).</w:t>
      </w:r>
      <w:r>
        <w:rPr>
          <w:rFonts w:ascii="Times New Roman" w:hAnsi="Times New Roman" w:cs="Times New Roman" w:eastAsia="Times New Roman"/>
        </w:rPr>
        <w:t xml:space="preserve"> </w:t>
      </w:r>
      <w:r>
        <w:rPr>
          <w:rFonts w:ascii="Times New Roman" w:hAnsi="Times New Roman" w:cs="Times New Roman" w:eastAsia="Times New Roman"/>
        </w:rPr>
        <w:t xml:space="preserve">Mean per-sample dosage R²</w:t>
      </w:r>
      <w:r>
        <w:rPr>
          <w:rFonts w:ascii="Times New Roman" w:hAnsi="Times New Roman" w:cs="Times New Roman" w:eastAsia="Times New Roman"/>
        </w:rPr>
        <w:t xml:space="preserve"> </w:t>
      </w:r>
      <w:r>
        <w:rPr>
          <w:rFonts w:ascii="Times New Roman" w:hAnsi="Times New Roman" w:cs="Times New Roman" w:eastAsia="Times New Roman"/>
        </w:rPr>
        <w:t xml:space="preserve">over GIAB HG002/HG003/HG004 downsampled to each depth over chr22:20-30 Mb, imputed</w:t>
      </w:r>
      <w:r>
        <w:rPr>
          <w:rFonts w:ascii="Times New Roman" w:hAnsi="Times New Roman" w:cs="Times New Roman" w:eastAsia="Times New Roman"/>
        </w:rPr>
        <w:t xml:space="preserve"> </w:t>
      </w:r>
      <w:r>
        <w:rPr>
          <w:rFonts w:ascii="Times New Roman" w:hAnsi="Times New Roman" w:cs="Times New Roman" w:eastAsia="Times New Roman"/>
        </w:rPr>
        <w:t xml:space="preserve">against a leak-free 1000 Genomes panel (6,332 haplotypes), scored (reference-homozygous</w:t>
      </w:r>
      <w:r>
        <w:rPr>
          <w:rFonts w:ascii="Times New Roman" w:hAnsi="Times New Roman" w:cs="Times New Roman" w:eastAsia="Times New Roman"/>
        </w:rPr>
        <w:t xml:space="preserve"> </w:t>
      </w:r>
      <w:r>
        <w:rPr>
          <w:rFonts w:ascii="Times New Roman" w:hAnsi="Times New Roman" w:cs="Times New Roman" w:eastAsia="Times New Roman"/>
        </w:rPr>
        <w:t xml:space="preserve">sites as dosage zero) on the set of sites imputed by all three tools. Overall and</w:t>
      </w:r>
      <w:r>
        <w:rPr>
          <w:rFonts w:ascii="Times New Roman" w:hAnsi="Times New Roman" w:cs="Times New Roman" w:eastAsia="Times New Roman"/>
        </w:rPr>
        <w:t xml:space="preserve"> </w:t>
      </w:r>
      <w:r>
        <w:rPr>
          <w:rFonts w:ascii="Times New Roman" w:hAnsi="Times New Roman" w:cs="Times New Roman" w:eastAsia="Times New Roman"/>
        </w:rPr>
        <w:t xml:space="preserve">ultra-rare (MAF 0-0.5%).</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383"/>
        <w:gridCol w:w="2841"/>
        <w:gridCol w:w="1119"/>
        <w:gridCol w:w="1383"/>
        <w:gridCol w:w="1119"/>
        <w:gridCol w:w="1515"/>
      </w:tblGrid>
      <w:tr>
        <w:trPr>
          <w:tblHeader w:val="on"/>
        </w:trPr>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Coverage</w:t>
            </w:r>
          </w:p>
        </w:tc>
        <w:tc>
          <w:tcPr>
            <w:shd w:val="clear" w:color="auto" w:fill="595959"/>
            <w:vAlign w:val="center"/>
            <w:tcW w:type="dxa" w:w="2841"/>
          </w:tcPr>
          <w:p>
            <w:pPr>
              <w:pStyle w:val="Compact"/>
              <w:jc w:val="center"/>
            </w:pPr>
            <w:r>
              <w:rPr>
                <w:rFonts w:ascii="Times New Roman" w:hAnsi="Times New Roman" w:cs="Times New Roman" w:eastAsia="Times New Roman"/>
                <w:b/>
                <w:color w:val="FFFFFF"/>
                <w:sz w:val="20"/>
              </w:rPr>
              <w:t xml:space="preserve">Bin</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Selphi 2 R²</w:t>
            </w:r>
          </w:p>
        </w:tc>
        <w:tc>
          <w:tcPr>
            <w:shd w:val="clear" w:color="auto" w:fill="595959"/>
            <w:vAlign w:val="center"/>
            <w:tcW w:type="dxa" w:w="1383"/>
          </w:tcPr>
          <w:p>
            <w:pPr>
              <w:pStyle w:val="Compact"/>
              <w:jc w:val="center"/>
            </w:pPr>
            <w:r>
              <w:rPr>
                <w:rFonts w:ascii="Times New Roman" w:hAnsi="Times New Roman" w:cs="Times New Roman" w:eastAsia="Times New Roman"/>
                <w:b/>
                <w:color w:val="FFFFFF"/>
                <w:sz w:val="20"/>
              </w:rPr>
              <w:t xml:space="preserve">GLIMPSE2 R²</w:t>
            </w:r>
          </w:p>
        </w:tc>
        <w:tc>
          <w:tcPr>
            <w:shd w:val="clear" w:color="auto" w:fill="595959"/>
            <w:vAlign w:val="center"/>
            <w:tcW w:type="dxa" w:w="1119"/>
          </w:tcPr>
          <w:p>
            <w:pPr>
              <w:pStyle w:val="Compact"/>
              <w:jc w:val="center"/>
            </w:pPr>
            <w:r>
              <w:rPr>
                <w:rFonts w:ascii="Times New Roman" w:hAnsi="Times New Roman" w:cs="Times New Roman" w:eastAsia="Times New Roman"/>
                <w:b/>
                <w:color w:val="FFFFFF"/>
                <w:sz w:val="20"/>
              </w:rPr>
              <w:t xml:space="preserve">QUILT2 R²</w:t>
            </w:r>
          </w:p>
        </w:tc>
        <w:tc>
          <w:tcPr>
            <w:shd w:val="clear" w:color="auto" w:fill="595959"/>
            <w:vAlign w:val="center"/>
            <w:tcW w:type="dxa" w:w="151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0.9924</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0.9916</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0.9919</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0.9950</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0.9945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0.9944</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0.9971</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0.9967</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0.9968</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OVERALL</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0.9979</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0.9975</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0.9973</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0.5×</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0.8997</w:t>
            </w:r>
          </w:p>
        </w:tc>
        <w:tc>
          <w:tcPr>
            <w:shd w:val="clear" w:color="auto" w:fill="FFFFFF"/>
            <w:vAlign w:val="center"/>
            <w:tcW w:type="dxa" w:w="1383"/>
          </w:tcPr>
          <w:p>
            <w:pPr>
              <w:pStyle w:val="Compact"/>
              <w:jc w:val="center"/>
            </w:pPr>
            <w:r>
              <w:rPr>
                <w:rFonts w:ascii="Times New Roman" w:hAnsi="Times New Roman" w:cs="Times New Roman" w:eastAsia="Times New Roman"/>
                <w:b/>
                <w:bCs/>
                <w:sz w:val="20"/>
              </w:rPr>
              <w:t xml:space="preserve">0.9023</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0.8864</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0.9243</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0.9252</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0.9150</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tie</w:t>
            </w:r>
          </w:p>
        </w:tc>
      </w:tr>
      <w:tr>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2×</w:t>
            </w:r>
          </w:p>
        </w:tc>
        <w:tc>
          <w:tcPr>
            <w:shd w:val="clear" w:color="auto" w:fill="FFFFFF"/>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FFFFFF"/>
            <w:vAlign w:val="center"/>
            <w:tcW w:type="dxa" w:w="1119"/>
          </w:tcPr>
          <w:p>
            <w:pPr>
              <w:pStyle w:val="Compact"/>
              <w:jc w:val="center"/>
            </w:pPr>
            <w:r>
              <w:rPr>
                <w:rFonts w:ascii="Times New Roman" w:hAnsi="Times New Roman" w:cs="Times New Roman" w:eastAsia="Times New Roman"/>
                <w:b/>
                <w:bCs/>
                <w:sz w:val="20"/>
              </w:rPr>
              <w:t xml:space="preserve">0.9522</w:t>
            </w:r>
          </w:p>
        </w:tc>
        <w:tc>
          <w:tcPr>
            <w:shd w:val="clear" w:color="auto" w:fill="FFFFFF"/>
            <w:vAlign w:val="center"/>
            <w:tcW w:type="dxa" w:w="1383"/>
          </w:tcPr>
          <w:p>
            <w:pPr>
              <w:pStyle w:val="Compact"/>
              <w:jc w:val="center"/>
            </w:pPr>
            <w:r>
              <w:rPr>
                <w:rFonts w:ascii="Times New Roman" w:hAnsi="Times New Roman" w:cs="Times New Roman" w:eastAsia="Times New Roman"/>
                <w:sz w:val="20"/>
              </w:rPr>
              <w:t xml:space="preserve">0.9495</w:t>
            </w:r>
          </w:p>
        </w:tc>
        <w:tc>
          <w:tcPr>
            <w:shd w:val="clear" w:color="auto" w:fill="FFFFFF"/>
            <w:vAlign w:val="center"/>
            <w:tcW w:type="dxa" w:w="1119"/>
          </w:tcPr>
          <w:p>
            <w:pPr>
              <w:pStyle w:val="Compact"/>
              <w:jc w:val="center"/>
            </w:pPr>
            <w:r>
              <w:rPr>
                <w:rFonts w:ascii="Times New Roman" w:hAnsi="Times New Roman" w:cs="Times New Roman" w:eastAsia="Times New Roman"/>
                <w:sz w:val="20"/>
              </w:rPr>
              <w:t xml:space="preserve">0.9415</w:t>
            </w:r>
          </w:p>
        </w:tc>
        <w:tc>
          <w:tcPr>
            <w:shd w:val="clear" w:color="auto" w:fill="FFFFFF"/>
            <w:vAlign w:val="center"/>
            <w:tcW w:type="dxa" w:w="151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4×</w:t>
            </w:r>
          </w:p>
        </w:tc>
        <w:tc>
          <w:tcPr>
            <w:shd w:val="clear" w:color="auto" w:fill="E7E6E6"/>
            <w:vAlign w:val="center"/>
            <w:tcW w:type="dxa" w:w="2841"/>
          </w:tcPr>
          <w:p>
            <w:pPr>
              <w:pStyle w:val="Compact"/>
              <w:jc w:val="left"/>
            </w:pPr>
            <w:r>
              <w:rPr>
                <w:rFonts w:ascii="Times New Roman" w:hAnsi="Times New Roman" w:cs="Times New Roman" w:eastAsia="Times New Roman"/>
                <w:sz w:val="20"/>
              </w:rPr>
              <w:t xml:space="preserve">0-0.5% (ultra-rare)</w:t>
            </w:r>
          </w:p>
        </w:tc>
        <w:tc>
          <w:tcPr>
            <w:shd w:val="clear" w:color="auto" w:fill="E7E6E6"/>
            <w:vAlign w:val="center"/>
            <w:tcW w:type="dxa" w:w="1119"/>
          </w:tcPr>
          <w:p>
            <w:pPr>
              <w:pStyle w:val="Compact"/>
              <w:jc w:val="center"/>
            </w:pPr>
            <w:r>
              <w:rPr>
                <w:rFonts w:ascii="Times New Roman" w:hAnsi="Times New Roman" w:cs="Times New Roman" w:eastAsia="Times New Roman"/>
                <w:b/>
                <w:bCs/>
                <w:sz w:val="20"/>
              </w:rPr>
              <w:t xml:space="preserve">0.9704</w:t>
            </w:r>
          </w:p>
        </w:tc>
        <w:tc>
          <w:tcPr>
            <w:shd w:val="clear" w:color="auto" w:fill="E7E6E6"/>
            <w:vAlign w:val="center"/>
            <w:tcW w:type="dxa" w:w="1383"/>
          </w:tcPr>
          <w:p>
            <w:pPr>
              <w:pStyle w:val="Compact"/>
              <w:jc w:val="center"/>
            </w:pPr>
            <w:r>
              <w:rPr>
                <w:rFonts w:ascii="Times New Roman" w:hAnsi="Times New Roman" w:cs="Times New Roman" w:eastAsia="Times New Roman"/>
                <w:sz w:val="20"/>
              </w:rPr>
              <w:t xml:space="preserve">0.9638</w:t>
            </w:r>
          </w:p>
        </w:tc>
        <w:tc>
          <w:tcPr>
            <w:shd w:val="clear" w:color="auto" w:fill="E7E6E6"/>
            <w:vAlign w:val="center"/>
            <w:tcW w:type="dxa" w:w="1119"/>
          </w:tcPr>
          <w:p>
            <w:pPr>
              <w:pStyle w:val="Compact"/>
              <w:jc w:val="center"/>
            </w:pPr>
            <w:r>
              <w:rPr>
                <w:rFonts w:ascii="Times New Roman" w:hAnsi="Times New Roman" w:cs="Times New Roman" w:eastAsia="Times New Roman"/>
                <w:sz w:val="20"/>
              </w:rPr>
              <w:t xml:space="preserve">0.9437</w:t>
            </w:r>
          </w:p>
        </w:tc>
        <w:tc>
          <w:tcPr>
            <w:shd w:val="clear" w:color="auto" w:fill="E7E6E6"/>
            <w:vAlign w:val="center"/>
            <w:tcW w:type="dxa" w:w="1515"/>
          </w:tcPr>
          <w:p>
            <w:pPr>
              <w:pStyle w:val="Compact"/>
              <w:jc w:val="center"/>
            </w:pPr>
            <w:r>
              <w:rPr>
                <w:rFonts w:ascii="Times New Roman" w:hAnsi="Times New Roman" w:cs="Times New Roman" w:eastAsia="Times New Roman"/>
                <w:sz w:val="20"/>
              </w:rPr>
              <w:t xml:space="preserve">Selphi</w:t>
            </w:r>
          </w:p>
        </w:tc>
      </w:tr>
    </w:tbl>
    <w:p>
      <w:pPr>
        <w:pStyle w:val="BlockText"/>
        <w:jc w:val="both"/>
      </w:pPr>
      <w:r>
        <w:rPr>
          <w:rFonts w:ascii="Times New Roman" w:hAnsi="Times New Roman" w:cs="Times New Roman" w:eastAsia="Times New Roman"/>
        </w:rPr>
        <w:t xml:space="preserve">Earlier lcWGS benchmark rounds (simulated 54-sample chr22 sets, and a 75,552-haplotype</w:t>
      </w:r>
      <w:r>
        <w:rPr>
          <w:rFonts w:ascii="Times New Roman" w:hAnsi="Times New Roman" w:cs="Times New Roman" w:eastAsia="Times New Roman"/>
        </w:rPr>
        <w:t xml:space="preserve"> </w:t>
      </w:r>
      <w:r>
        <w:rPr>
          <w:rFonts w:ascii="Times New Roman" w:hAnsi="Times New Roman" w:cs="Times New Roman" w:eastAsia="Times New Roman"/>
        </w:rPr>
        <w:t xml:space="preserve">large-panel multi-coverage sweep) were superseded for accuracy by the real-read measurements</w:t>
      </w:r>
      <w:r>
        <w:rPr>
          <w:rFonts w:ascii="Times New Roman" w:hAnsi="Times New Roman" w:cs="Times New Roman" w:eastAsia="Times New Roman"/>
        </w:rPr>
        <w:t xml:space="preserve"> </w:t>
      </w:r>
      <w:r>
        <w:rPr>
          <w:rFonts w:ascii="Times New Roman" w:hAnsi="Times New Roman" w:cs="Times New Roman" w:eastAsia="Times New Roman"/>
        </w:rPr>
        <w:t xml:space="preserve">above, so their accuracy is not reproduced here and the real-GIAB numbers are the accuracy</w:t>
      </w:r>
      <w:r>
        <w:rPr>
          <w:rFonts w:ascii="Times New Roman" w:hAnsi="Times New Roman" w:cs="Times New Roman" w:eastAsia="Times New Roman"/>
        </w:rPr>
        <w:t xml:space="preserve"> </w:t>
      </w:r>
      <w:r>
        <w:rPr>
          <w:rFonts w:ascii="Times New Roman" w:hAnsi="Times New Roman" w:cs="Times New Roman" w:eastAsia="Times New Roman"/>
        </w:rPr>
        <w:t xml:space="preserve">reported in the paper; the large-panel run's wall time and peak memory are retained as an</w:t>
      </w:r>
      <w:r>
        <w:rPr>
          <w:rFonts w:ascii="Times New Roman" w:hAnsi="Times New Roman" w:cs="Times New Roman" w:eastAsia="Times New Roman"/>
        </w:rPr>
        <w:t xml:space="preserve"> </w:t>
      </w:r>
      <w:r>
        <w:rPr>
          <w:rFonts w:ascii="Times New Roman" w:hAnsi="Times New Roman" w:cs="Times New Roman" w:eastAsia="Times New Roman"/>
        </w:rPr>
        <w:t xml:space="preserve">efficiency data point in Table S6.</w:t>
      </w:r>
    </w:p>
    <w:p>
      <w:pPr>
        <w:pStyle w:val="Heading2"/>
        <w:jc w:val="both"/>
      </w:pPr>
      <w:r>
        <w:rPr>
          <w:rFonts w:ascii="Times New Roman" w:hAnsi="Times New Roman" w:cs="Times New Roman" w:eastAsia="Times New Roman"/>
        </w:rPr>
        <w:t xml:space="preserve">Table S5. Phasing accuracy - switch-error rate (SER %)</w:t>
      </w:r>
    </w:p>
    <w:p>
      <w:pPr>
        <w:pStyle w:val="FirstParagraph"/>
        <w:jc w:val="both"/>
      </w:pPr>
      <w:r>
        <w:rPr>
          <w:rFonts w:ascii="Times New Roman" w:hAnsi="Times New Roman" w:cs="Times New Roman" w:eastAsia="Times New Roman"/>
        </w:rPr>
        <w:t xml:space="preserve">1KG 54-trio benchmark, no-trios panel (~2,239 samples). Lower is better.</w:t>
      </w:r>
      <w:r>
        <w:rPr>
          <w:rFonts w:ascii="Times New Roman" w:hAnsi="Times New Roman" w:cs="Times New Roman" w:eastAsia="Times New Roman"/>
        </w:rPr>
        <w:t xml:space="preserve"> </w:t>
      </w:r>
      <w:r>
        <w:rPr>
          <w:rFonts w:ascii="Times New Roman" w:hAnsi="Times New Roman" w:cs="Times New Roman" w:eastAsia="Times New Roman"/>
        </w:rPr>
        <w:t xml:space="preserve">Reference: Beagle 5.5, SHAPEIT5 v5.1.1.</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796"/>
        <w:gridCol w:w="1378"/>
        <w:gridCol w:w="1233"/>
        <w:gridCol w:w="1233"/>
        <w:gridCol w:w="1524"/>
        <w:gridCol w:w="1672"/>
        <w:gridCol w:w="1524"/>
      </w:tblGrid>
      <w:tr>
        <w:trPr>
          <w:tblHeader w:val="on"/>
        </w:trPr>
        <w:tc>
          <w:tcPr>
            <w:shd w:val="clear" w:color="auto" w:fill="595959"/>
            <w:vAlign w:val="center"/>
            <w:tcW w:type="dxa" w:w="796"/>
          </w:tcPr>
          <w:p>
            <w:pPr>
              <w:pStyle w:val="Compact"/>
              <w:jc w:val="center"/>
            </w:pPr>
            <w:r>
              <w:rPr>
                <w:rFonts w:ascii="Times New Roman" w:hAnsi="Times New Roman" w:cs="Times New Roman" w:eastAsia="Times New Roman"/>
                <w:b/>
                <w:color w:val="FFFFFF"/>
                <w:sz w:val="20"/>
              </w:rPr>
              <w:t xml:space="preserve">Chr</w:t>
            </w:r>
          </w:p>
        </w:tc>
        <w:tc>
          <w:tcPr>
            <w:shd w:val="clear" w:color="auto" w:fill="595959"/>
            <w:vAlign w:val="center"/>
            <w:tcW w:type="dxa" w:w="1378"/>
          </w:tcPr>
          <w:p>
            <w:pPr>
              <w:pStyle w:val="Compact"/>
              <w:jc w:val="center"/>
            </w:pPr>
            <w:r>
              <w:rPr>
                <w:rFonts w:ascii="Times New Roman" w:hAnsi="Times New Roman" w:cs="Times New Roman" w:eastAsia="Times New Roman"/>
                <w:b/>
                <w:color w:val="FFFFFF"/>
                <w:sz w:val="20"/>
              </w:rPr>
              <w:t xml:space="preserve">Engine</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Selphi 2 SER %</w:t>
            </w:r>
          </w:p>
        </w:tc>
        <w:tc>
          <w:tcPr>
            <w:shd w:val="clear" w:color="auto" w:fill="595959"/>
            <w:vAlign w:val="center"/>
            <w:tcW w:type="dxa" w:w="1233"/>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SHAPEIT5</w:t>
            </w:r>
          </w:p>
        </w:tc>
        <w:tc>
          <w:tcPr>
            <w:shd w:val="clear" w:color="auto" w:fill="595959"/>
            <w:vAlign w:val="center"/>
            <w:tcW w:type="dxa" w:w="1672"/>
          </w:tcPr>
          <w:p>
            <w:pPr>
              <w:pStyle w:val="Compact"/>
              <w:jc w:val="center"/>
            </w:pPr>
            <w:r>
              <w:rPr>
                <w:rFonts w:ascii="Times New Roman" w:hAnsi="Times New Roman" w:cs="Times New Roman" w:eastAsia="Times New Roman"/>
                <w:b/>
                <w:color w:val="FFFFFF"/>
                <w:sz w:val="20"/>
              </w:rPr>
              <w:t xml:space="preserve">vs Beagle</w:t>
            </w:r>
          </w:p>
        </w:tc>
        <w:tc>
          <w:tcPr>
            <w:shd w:val="clear" w:color="auto" w:fill="595959"/>
            <w:vAlign w:val="center"/>
            <w:tcW w:type="dxa" w:w="1524"/>
          </w:tcPr>
          <w:p>
            <w:pPr>
              <w:pStyle w:val="Compact"/>
              <w:jc w:val="center"/>
            </w:pPr>
            <w:r>
              <w:rPr>
                <w:rFonts w:ascii="Times New Roman" w:hAnsi="Times New Roman" w:cs="Times New Roman" w:eastAsia="Times New Roman"/>
                <w:b/>
                <w:color w:val="FFFFFF"/>
                <w:sz w:val="20"/>
              </w:rPr>
              <w:t xml:space="preserve">vs SHAPEIT5</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2.521</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2.548</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Selphi</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22</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2.569</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2.548</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2.611</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FFFFFF"/>
            <w:vAlign w:val="center"/>
            <w:tcW w:type="dxa" w:w="1378"/>
          </w:tcPr>
          <w:p>
            <w:pPr>
              <w:pStyle w:val="Compact"/>
              <w:jc w:val="center"/>
            </w:pPr>
            <w:r>
              <w:rPr>
                <w:rFonts w:ascii="Times New Roman" w:hAnsi="Times New Roman" w:cs="Times New Roman" w:eastAsia="Times New Roman"/>
                <w:sz w:val="20"/>
              </w:rPr>
              <w:t xml:space="preserve">diploid</w:t>
            </w:r>
          </w:p>
        </w:tc>
        <w:tc>
          <w:tcPr>
            <w:shd w:val="clear" w:color="auto" w:fill="FFFFFF"/>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FFFFFF"/>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FFFFFF"/>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FFFFFF"/>
            <w:vAlign w:val="center"/>
            <w:tcW w:type="dxa" w:w="1524"/>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796"/>
          </w:tcPr>
          <w:p>
            <w:pPr>
              <w:pStyle w:val="Compact"/>
              <w:jc w:val="center"/>
            </w:pPr>
            <w:r>
              <w:rPr>
                <w:rFonts w:ascii="Times New Roman" w:hAnsi="Times New Roman" w:cs="Times New Roman" w:eastAsia="Times New Roman"/>
                <w:sz w:val="20"/>
              </w:rPr>
              <w:t xml:space="preserve">1</w:t>
            </w:r>
          </w:p>
        </w:tc>
        <w:tc>
          <w:tcPr>
            <w:shd w:val="clear" w:color="auto" w:fill="E7E6E6"/>
            <w:vAlign w:val="center"/>
            <w:tcW w:type="dxa" w:w="1378"/>
          </w:tcPr>
          <w:p>
            <w:pPr>
              <w:pStyle w:val="Compact"/>
              <w:jc w:val="center"/>
            </w:pPr>
            <w:r>
              <w:rPr>
                <w:rFonts w:ascii="Times New Roman" w:hAnsi="Times New Roman" w:cs="Times New Roman" w:eastAsia="Times New Roman"/>
                <w:sz w:val="20"/>
              </w:rPr>
              <w:t xml:space="preserve">haploid</w:t>
            </w:r>
          </w:p>
        </w:tc>
        <w:tc>
          <w:tcPr>
            <w:shd w:val="clear" w:color="auto" w:fill="E7E6E6"/>
            <w:vAlign w:val="center"/>
            <w:tcW w:type="dxa" w:w="1233"/>
          </w:tcPr>
          <w:p>
            <w:pPr>
              <w:pStyle w:val="Compact"/>
              <w:jc w:val="center"/>
            </w:pPr>
            <w:r>
              <w:rPr>
                <w:rFonts w:ascii="Times New Roman" w:hAnsi="Times New Roman" w:cs="Times New Roman" w:eastAsia="Times New Roman"/>
                <w:sz w:val="20"/>
              </w:rPr>
              <w:t xml:space="preserve">1.876</w:t>
            </w:r>
          </w:p>
        </w:tc>
        <w:tc>
          <w:tcPr>
            <w:shd w:val="clear" w:color="auto" w:fill="E7E6E6"/>
            <w:vAlign w:val="center"/>
            <w:tcW w:type="dxa" w:w="1233"/>
          </w:tcPr>
          <w:p>
            <w:pPr>
              <w:pStyle w:val="Compact"/>
              <w:jc w:val="center"/>
            </w:pPr>
            <w:r>
              <w:rPr>
                <w:rFonts w:ascii="Times New Roman" w:hAnsi="Times New Roman" w:cs="Times New Roman" w:eastAsia="Times New Roman"/>
                <w:b/>
                <w:bCs/>
                <w:sz w:val="20"/>
              </w:rPr>
              <w:t xml:space="preserve">1.865</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1.935</w:t>
            </w:r>
          </w:p>
        </w:tc>
        <w:tc>
          <w:tcPr>
            <w:shd w:val="clear" w:color="auto" w:fill="E7E6E6"/>
            <w:vAlign w:val="center"/>
            <w:tcW w:type="dxa" w:w="1672"/>
          </w:tcPr>
          <w:p>
            <w:pPr>
              <w:pStyle w:val="Compact"/>
              <w:jc w:val="center"/>
            </w:pPr>
            <w:r>
              <w:rPr>
                <w:rFonts w:ascii="Times New Roman" w:hAnsi="Times New Roman" w:cs="Times New Roman" w:eastAsia="Times New Roman"/>
                <w:sz w:val="20"/>
              </w:rPr>
              <w:t xml:space="preserve">reference</w:t>
            </w:r>
          </w:p>
        </w:tc>
        <w:tc>
          <w:tcPr>
            <w:shd w:val="clear" w:color="auto" w:fill="E7E6E6"/>
            <w:vAlign w:val="center"/>
            <w:tcW w:type="dxa" w:w="1524"/>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S6. Speed &amp; memory</w:t>
      </w:r>
    </w:p>
    <w:p>
      <w:pPr>
        <w:pStyle w:val="FirstParagraph"/>
        <w:jc w:val="both"/>
      </w:pPr>
      <w:r>
        <w:rPr>
          <w:rFonts w:ascii="Times New Roman" w:hAnsi="Times New Roman" w:cs="Times New Roman" w:eastAsia="Times New Roman"/>
        </w:rPr>
        <w:t xml:space="preserve">16 threads unless noted. Wall as reported by the source benchmark.</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079"/>
        <w:gridCol w:w="1093"/>
        <w:gridCol w:w="1392"/>
        <w:gridCol w:w="1591"/>
        <w:gridCol w:w="1205"/>
      </w:tblGrid>
      <w:tr>
        <w:trPr>
          <w:tblHeader w:val="on"/>
        </w:trPr>
        <w:tc>
          <w:tcPr>
            <w:shd w:val="clear" w:color="auto" w:fill="595959"/>
            <w:vAlign w:val="center"/>
            <w:tcW w:type="dxa" w:w="4079"/>
          </w:tcPr>
          <w:p>
            <w:pPr>
              <w:pStyle w:val="Compact"/>
              <w:jc w:val="center"/>
            </w:pPr>
            <w:r>
              <w:rPr>
                <w:rFonts w:ascii="Times New Roman" w:hAnsi="Times New Roman" w:cs="Times New Roman" w:eastAsia="Times New Roman"/>
                <w:b/>
                <w:color w:val="FFFFFF"/>
                <w:sz w:val="20"/>
              </w:rPr>
              <w:t xml:space="preserve">Benchmark</w:t>
            </w:r>
          </w:p>
        </w:tc>
        <w:tc>
          <w:tcPr>
            <w:shd w:val="clear" w:color="auto" w:fill="595959"/>
            <w:vAlign w:val="center"/>
            <w:tcW w:type="dxa" w:w="1093"/>
          </w:tcPr>
          <w:p>
            <w:pPr>
              <w:pStyle w:val="Compact"/>
              <w:jc w:val="center"/>
            </w:pPr>
            <w:r>
              <w:rPr>
                <w:rFonts w:ascii="Times New Roman" w:hAnsi="Times New Roman" w:cs="Times New Roman" w:eastAsia="Times New Roman"/>
                <w:b/>
                <w:color w:val="FFFFFF"/>
                <w:sz w:val="20"/>
              </w:rPr>
              <w:t xml:space="preserve">Metric</w:t>
            </w:r>
          </w:p>
        </w:tc>
        <w:tc>
          <w:tcPr>
            <w:shd w:val="clear" w:color="auto" w:fill="595959"/>
            <w:vAlign w:val="center"/>
            <w:tcW w:type="dxa" w:w="1392"/>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591"/>
          </w:tcPr>
          <w:p>
            <w:pPr>
              <w:pStyle w:val="Compact"/>
              <w:jc w:val="center"/>
            </w:pPr>
            <w:r>
              <w:rPr>
                <w:rFonts w:ascii="Times New Roman" w:hAnsi="Times New Roman" w:cs="Times New Roman" w:eastAsia="Times New Roman"/>
                <w:b/>
                <w:color w:val="FFFFFF"/>
                <w:sz w:val="20"/>
              </w:rPr>
              <w:t xml:space="preserve">Reference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Winner</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7.2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12.5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chr21,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6.2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14.5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38.8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 43.2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GIAB chr1, 6s, 75,552-haplotype panel, impute-only</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16.3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 39.2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69 s / 82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58 s / 84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tie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chr22 1KG 801s, chip to WGS</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13.2 / 13.1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21.7 / 14.6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chr1 1KG 801s, chip to WGS</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 (phased/unphased)</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373 s / 437 s</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207 s / 321 s</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TOPMed MESA 5K chr20 (171K-hap, 17.9M var), full pipeline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11,289 s (~3.1 h)</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Beagle 5.5: 4,148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TOPMed MESA 5K chr20</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65.5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Beagle 5.5: 96.5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whole-chr22, 1 sample</w:t>
            </w:r>
            <w:r>
              <w:rPr>
                <w:rFonts w:ascii="Times New Roman" w:hAnsi="Times New Roman" w:cs="Times New Roman" w:eastAsia="Times New Roman"/>
                <w:sz w:val="20"/>
              </w:rPr>
              <w:t xml:space="preserve"> </w:t>
            </w:r>
            <w:r>
              <w:rPr>
                <w:rFonts w:ascii="Times New Roman" w:hAnsi="Times New Roman" w:cs="Times New Roman" w:eastAsia="Times New Roman"/>
                <w:sz w:val="20"/>
              </w:rPr>
              <w:t xml:space="preserve">@1</w:t>
            </w:r>
            <w:r>
              <w:rPr>
                <w:rFonts w:ascii="Times New Roman" w:hAnsi="Times New Roman" w:cs="Times New Roman" w:eastAsia="Times New Roman"/>
                <w:sz w:val="20"/>
              </w:rPr>
              <w:t xml:space="preserve">× (= Fig 3c)</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115 s</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287 s; QUILT2: 1,729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single-sample (chr22), real GIAB ~1.8×</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b/>
                <w:bCs/>
                <w:sz w:val="20"/>
              </w:rPr>
              <w:t xml:space="preserve">~2:01</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~5:22</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single-sample (chr22), real GIAB</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E7E6E6"/>
            <w:vAlign w:val="center"/>
            <w:tcW w:type="dxa" w:w="1392"/>
          </w:tcPr>
          <w:p>
            <w:pPr>
              <w:pStyle w:val="Compact"/>
              <w:jc w:val="left"/>
            </w:pPr>
            <w:r>
              <w:rPr>
                <w:rFonts w:ascii="Times New Roman" w:hAnsi="Times New Roman" w:cs="Times New Roman" w:eastAsia="Times New Roman"/>
                <w:sz w:val="20"/>
              </w:rPr>
              <w:t xml:space="preserve">~3.3 GB</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~2.1 GB</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54-sample multi-sample whole-chr22 (simulated; only regime Selphi is slower)</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41:50</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21:36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75,552-haplotype panel multicov (HG002, 0.5-4×)</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2:10-2:34</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4:41-4:49</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r>
        <w:tc>
          <w:tcPr>
            <w:shd w:val="clear" w:color="auto" w:fill="FFFFFF"/>
            <w:vAlign w:val="center"/>
            <w:tcW w:type="dxa" w:w="4079"/>
          </w:tcPr>
          <w:p>
            <w:pPr>
              <w:pStyle w:val="Compact"/>
              <w:jc w:val="left"/>
            </w:pPr>
            <w:r>
              <w:rPr>
                <w:rFonts w:ascii="Times New Roman" w:hAnsi="Times New Roman" w:cs="Times New Roman" w:eastAsia="Times New Roman"/>
                <w:sz w:val="20"/>
              </w:rPr>
              <w:t xml:space="preserve">lcWGS 75,552-haplotype panel multicov</w:t>
            </w:r>
          </w:p>
        </w:tc>
        <w:tc>
          <w:tcPr>
            <w:shd w:val="clear" w:color="auto" w:fill="FFFFFF"/>
            <w:vAlign w:val="center"/>
            <w:tcW w:type="dxa" w:w="1093"/>
          </w:tcPr>
          <w:p>
            <w:pPr>
              <w:pStyle w:val="Compact"/>
              <w:jc w:val="left"/>
            </w:pPr>
            <w:r>
              <w:rPr>
                <w:rFonts w:ascii="Times New Roman" w:hAnsi="Times New Roman" w:cs="Times New Roman" w:eastAsia="Times New Roman"/>
                <w:sz w:val="20"/>
              </w:rPr>
              <w:t xml:space="preserve">peak RAM</w:t>
            </w:r>
          </w:p>
        </w:tc>
        <w:tc>
          <w:tcPr>
            <w:shd w:val="clear" w:color="auto" w:fill="FFFFFF"/>
            <w:vAlign w:val="center"/>
            <w:tcW w:type="dxa" w:w="1392"/>
          </w:tcPr>
          <w:p>
            <w:pPr>
              <w:pStyle w:val="Compact"/>
              <w:jc w:val="left"/>
            </w:pPr>
            <w:r>
              <w:rPr>
                <w:rFonts w:ascii="Times New Roman" w:hAnsi="Times New Roman" w:cs="Times New Roman" w:eastAsia="Times New Roman"/>
                <w:sz w:val="20"/>
              </w:rPr>
              <w:t xml:space="preserve">~2.9-3.2 GB</w:t>
            </w:r>
          </w:p>
        </w:tc>
        <w:tc>
          <w:tcPr>
            <w:shd w:val="clear" w:color="auto" w:fill="FFFFFF"/>
            <w:vAlign w:val="center"/>
            <w:tcW w:type="dxa" w:w="1591"/>
          </w:tcPr>
          <w:p>
            <w:pPr>
              <w:pStyle w:val="Compact"/>
              <w:jc w:val="left"/>
            </w:pPr>
            <w:r>
              <w:rPr>
                <w:rFonts w:ascii="Times New Roman" w:hAnsi="Times New Roman" w:cs="Times New Roman" w:eastAsia="Times New Roman"/>
                <w:sz w:val="20"/>
              </w:rPr>
              <w:t xml:space="preserve">GLIMPSE2: ~2.2-2.6 GB</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reference</w:t>
            </w:r>
          </w:p>
        </w:tc>
      </w:tr>
      <w:tr>
        <w:tc>
          <w:tcPr>
            <w:shd w:val="clear" w:color="auto" w:fill="E7E6E6"/>
            <w:vAlign w:val="center"/>
            <w:tcW w:type="dxa" w:w="4079"/>
          </w:tcPr>
          <w:p>
            <w:pPr>
              <w:pStyle w:val="Compact"/>
              <w:jc w:val="left"/>
            </w:pPr>
            <w:r>
              <w:rPr>
                <w:rFonts w:ascii="Times New Roman" w:hAnsi="Times New Roman" w:cs="Times New Roman" w:eastAsia="Times New Roman"/>
                <w:sz w:val="20"/>
              </w:rPr>
              <w:t xml:space="preserve">lcWGS real-data BAM (chr1:30-45 Mb, 1 sample)</w:t>
            </w:r>
          </w:p>
        </w:tc>
        <w:tc>
          <w:tcPr>
            <w:shd w:val="clear" w:color="auto" w:fill="E7E6E6"/>
            <w:vAlign w:val="center"/>
            <w:tcW w:type="dxa" w:w="1093"/>
          </w:tcPr>
          <w:p>
            <w:pPr>
              <w:pStyle w:val="Compact"/>
              <w:jc w:val="left"/>
            </w:pPr>
            <w:r>
              <w:rPr>
                <w:rFonts w:ascii="Times New Roman" w:hAnsi="Times New Roman" w:cs="Times New Roman" w:eastAsia="Times New Roman"/>
                <w:sz w:val="20"/>
              </w:rPr>
              <w:t xml:space="preserve">wall</w:t>
            </w:r>
          </w:p>
        </w:tc>
        <w:tc>
          <w:tcPr>
            <w:shd w:val="clear" w:color="auto" w:fill="E7E6E6"/>
            <w:vAlign w:val="center"/>
            <w:tcW w:type="dxa" w:w="1392"/>
          </w:tcPr>
          <w:p>
            <w:pPr>
              <w:pStyle w:val="Compact"/>
              <w:jc w:val="left"/>
            </w:pPr>
            <w:r>
              <w:rPr>
                <w:rFonts w:ascii="Times New Roman" w:hAnsi="Times New Roman" w:cs="Times New Roman" w:eastAsia="Times New Roman"/>
                <w:b/>
                <w:bCs/>
                <w:sz w:val="20"/>
              </w:rPr>
              <w:t xml:space="preserve">31 s (fast) / 51 s (default)</w:t>
            </w:r>
          </w:p>
        </w:tc>
        <w:tc>
          <w:tcPr>
            <w:shd w:val="clear" w:color="auto" w:fill="E7E6E6"/>
            <w:vAlign w:val="center"/>
            <w:tcW w:type="dxa" w:w="1591"/>
          </w:tcPr>
          <w:p>
            <w:pPr>
              <w:pStyle w:val="Compact"/>
              <w:jc w:val="left"/>
            </w:pPr>
            <w:r>
              <w:rPr>
                <w:rFonts w:ascii="Times New Roman" w:hAnsi="Times New Roman" w:cs="Times New Roman" w:eastAsia="Times New Roman"/>
                <w:sz w:val="20"/>
              </w:rPr>
              <w:t xml:space="preserve">GLIMPSE2: 102 s</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Selphi</w:t>
            </w:r>
          </w:p>
        </w:tc>
      </w:tr>
    </w:tbl>
    <w:p>
      <w:pPr>
        <w:pStyle w:val="Heading2"/>
        <w:jc w:val="both"/>
      </w:pPr>
      <w:r>
        <w:rPr>
          <w:rFonts w:ascii="Times New Roman" w:hAnsi="Times New Roman" w:cs="Times New Roman" w:eastAsia="Times New Roman"/>
        </w:rPr>
        <w:t xml:space="preserve">Table S7. Phasing × imputer matrix (overall R²) - 1KG, chip to WGS</w:t>
      </w:r>
    </w:p>
    <w:p>
      <w:pPr>
        <w:pStyle w:val="FirstParagraph"/>
        <w:jc w:val="both"/>
      </w:pPr>
      <w:r>
        <w:rPr>
          <w:rFonts w:ascii="Times New Roman" w:hAnsi="Times New Roman" w:cs="Times New Roman" w:eastAsia="Times New Roman"/>
        </w:rPr>
        <w:t xml:space="preserve">A genuinely-unphased 1KG array target (801 held-out samples) phased by each of</w:t>
      </w:r>
      <w:r>
        <w:rPr>
          <w:rFonts w:ascii="Times New Roman" w:hAnsi="Times New Roman" w:cs="Times New Roman" w:eastAsia="Times New Roman"/>
        </w:rPr>
        <w:t xml:space="preserve"> </w:t>
      </w:r>
      <w:r>
        <w:rPr>
          <w:rFonts w:ascii="Times New Roman" w:hAnsi="Times New Roman" w:cs="Times New Roman" w:eastAsia="Times New Roman"/>
        </w:rPr>
        <w:t xml:space="preserve">three tools, then imputed by each of two imputers against the 1000 Genomes Phase 3</w:t>
      </w:r>
      <w:r>
        <w:rPr>
          <w:rFonts w:ascii="Times New Roman" w:hAnsi="Times New Roman" w:cs="Times New Roman" w:eastAsia="Times New Roman"/>
        </w:rPr>
        <w:t xml:space="preserve"> </w:t>
      </w:r>
      <w:r>
        <w:rPr>
          <w:rFonts w:ascii="Times New Roman" w:hAnsi="Times New Roman" w:cs="Times New Roman" w:eastAsia="Times New Roman"/>
        </w:rPr>
        <w:t xml:space="preserve">panel; overall R² vs WGS truth on imputed-only sites. Within a fixed imputer the</w:t>
      </w:r>
      <w:r>
        <w:rPr>
          <w:rFonts w:ascii="Times New Roman" w:hAnsi="Times New Roman" w:cs="Times New Roman" w:eastAsia="Times New Roman"/>
        </w:rPr>
        <w:t xml:space="preserve"> </w:t>
      </w:r>
      <w:r>
        <w:rPr>
          <w:rFonts w:ascii="Times New Roman" w:hAnsi="Times New Roman" w:cs="Times New Roman" w:eastAsia="Times New Roman"/>
        </w:rPr>
        <w:t xml:space="preserve">three phasings differ by ≤0.002; switching the imputer (Beagle to Selphi) moves R²</w:t>
      </w:r>
      <w:r>
        <w:rPr>
          <w:rFonts w:ascii="Times New Roman" w:hAnsi="Times New Roman" w:cs="Times New Roman" w:eastAsia="Times New Roman"/>
        </w:rPr>
        <w:t xml:space="preserve"> </w:t>
      </w:r>
      <w:r>
        <w:rPr>
          <w:rFonts w:ascii="Times New Roman" w:hAnsi="Times New Roman" w:cs="Times New Roman" w:eastAsia="Times New Roman"/>
        </w:rPr>
        <w:t xml:space="preserve">by +0.007 to +0.011 regardless of phaser - i.e. the phaser is practically</w:t>
      </w:r>
      <w:r>
        <w:rPr>
          <w:rFonts w:ascii="Times New Roman" w:hAnsi="Times New Roman" w:cs="Times New Roman" w:eastAsia="Times New Roman"/>
        </w:rPr>
        <w:t xml:space="preserve"> </w:t>
      </w:r>
      <w:r>
        <w:rPr>
          <w:rFonts w:ascii="Times New Roman" w:hAnsi="Times New Roman" w:cs="Times New Roman" w:eastAsia="Times New Roman"/>
        </w:rPr>
        <w:t xml:space="preserve">interchangeable for array imputation and the accuracy gain lives in the imputer.</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520"/>
        <w:gridCol w:w="1710"/>
        <w:gridCol w:w="1710"/>
        <w:gridCol w:w="1710"/>
        <w:gridCol w:w="1710"/>
      </w:tblGrid>
      <w:tr>
        <w:trPr>
          <w:tblHeader w:val="on"/>
        </w:trPr>
        <w:tc>
          <w:tcPr>
            <w:shd w:val="clear" w:color="auto" w:fill="595959"/>
            <w:vAlign w:val="center"/>
            <w:tcW w:type="dxa" w:w="2520"/>
          </w:tcPr>
          <w:p>
            <w:pPr>
              <w:pStyle w:val="Compact"/>
              <w:jc w:val="center"/>
            </w:pPr>
            <w:r>
              <w:rPr>
                <w:rFonts w:ascii="Times New Roman" w:hAnsi="Times New Roman" w:cs="Times New Roman" w:eastAsia="Times New Roman"/>
                <w:b/>
                <w:color w:val="FFFFFF"/>
                <w:sz w:val="20"/>
              </w:rPr>
              <w:t xml:space="preserve">Phasing / Imputer</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chr22 Selphi</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Beagle</w:t>
            </w:r>
          </w:p>
        </w:tc>
        <w:tc>
          <w:tcPr>
            <w:shd w:val="clear" w:color="auto" w:fill="595959"/>
            <w:vAlign w:val="center"/>
            <w:tcW w:type="dxa" w:w="1710"/>
          </w:tcPr>
          <w:p>
            <w:pPr>
              <w:pStyle w:val="Compact"/>
              <w:jc w:val="center"/>
            </w:pPr>
            <w:r>
              <w:rPr>
                <w:rFonts w:ascii="Times New Roman" w:hAnsi="Times New Roman" w:cs="Times New Roman" w:eastAsia="Times New Roman"/>
                <w:b/>
                <w:color w:val="FFFFFF"/>
                <w:sz w:val="20"/>
              </w:rPr>
              <w:t xml:space="preserve">chr1 Selphi</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Selphi 2</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0.4821</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0.5655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0.5730</w:t>
            </w:r>
          </w:p>
        </w:tc>
      </w:tr>
      <w:tr>
        <w:tc>
          <w:tcPr>
            <w:shd w:val="clear" w:color="auto" w:fill="E7E6E6"/>
            <w:vAlign w:val="center"/>
            <w:tcW w:type="dxa" w:w="2520"/>
          </w:tcPr>
          <w:p>
            <w:pPr>
              <w:pStyle w:val="Compact"/>
              <w:jc w:val="center"/>
            </w:pPr>
            <w:r>
              <w:rPr>
                <w:rFonts w:ascii="Times New Roman" w:hAnsi="Times New Roman" w:cs="Times New Roman" w:eastAsia="Times New Roman"/>
                <w:sz w:val="20"/>
              </w:rPr>
              <w:t xml:space="preserve">Beagle 5.5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0.4727</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0.4815</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0.5639</w:t>
            </w:r>
          </w:p>
        </w:tc>
        <w:tc>
          <w:tcPr>
            <w:shd w:val="clear" w:color="auto" w:fill="E7E6E6"/>
            <w:vAlign w:val="center"/>
            <w:tcW w:type="dxa" w:w="1710"/>
          </w:tcPr>
          <w:p>
            <w:pPr>
              <w:pStyle w:val="Compact"/>
              <w:jc w:val="center"/>
            </w:pPr>
            <w:r>
              <w:rPr>
                <w:rFonts w:ascii="Times New Roman" w:hAnsi="Times New Roman" w:cs="Times New Roman" w:eastAsia="Times New Roman"/>
                <w:sz w:val="20"/>
              </w:rPr>
              <w:t xml:space="preserve">0.5710</w:t>
            </w:r>
          </w:p>
        </w:tc>
      </w:tr>
      <w:tr>
        <w:tc>
          <w:tcPr>
            <w:shd w:val="clear" w:color="auto" w:fill="FFFFFF"/>
            <w:vAlign w:val="center"/>
            <w:tcW w:type="dxa" w:w="2520"/>
          </w:tcPr>
          <w:p>
            <w:pPr>
              <w:pStyle w:val="Compact"/>
              <w:jc w:val="center"/>
            </w:pPr>
            <w:r>
              <w:rPr>
                <w:rFonts w:ascii="Times New Roman" w:hAnsi="Times New Roman" w:cs="Times New Roman" w:eastAsia="Times New Roman"/>
                <w:sz w:val="20"/>
              </w:rPr>
              <w:t xml:space="preserve">SHAPEIT5</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0.4728</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0.4834</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0.5646</w:t>
            </w:r>
          </w:p>
        </w:tc>
        <w:tc>
          <w:tcPr>
            <w:shd w:val="clear" w:color="auto" w:fill="FFFFFF"/>
            <w:vAlign w:val="center"/>
            <w:tcW w:type="dxa" w:w="1710"/>
          </w:tcPr>
          <w:p>
            <w:pPr>
              <w:pStyle w:val="Compact"/>
              <w:jc w:val="center"/>
            </w:pPr>
            <w:r>
              <w:rPr>
                <w:rFonts w:ascii="Times New Roman" w:hAnsi="Times New Roman" w:cs="Times New Roman" w:eastAsia="Times New Roman"/>
                <w:sz w:val="20"/>
              </w:rPr>
              <w:t xml:space="preserve">0.5726</w:t>
            </w:r>
          </w:p>
        </w:tc>
      </w:tr>
    </w:tbl>
    <w:p>
      <w:pPr>
        <w:pStyle w:val="Heading2"/>
        <w:jc w:val="both"/>
      </w:pPr>
      <w:r>
        <w:rPr>
          <w:rFonts w:ascii="Times New Roman" w:hAnsi="Times New Roman" w:cs="Times New Roman" w:eastAsia="Times New Roman"/>
        </w:rPr>
        <w:t xml:space="preserve">Table S8. Reference-panel re-phasing (chr22)</w:t>
      </w:r>
    </w:p>
    <w:p>
      <w:pPr>
        <w:pStyle w:val="FirstParagraph"/>
        <w:jc w:val="both"/>
      </w:pPr>
      <w:r>
        <w:rPr>
          <w:rFonts w:ascii="Times New Roman" w:hAnsi="Times New Roman" w:cs="Times New Roman" w:eastAsia="Times New Roman"/>
        </w:rPr>
        <w:t xml:space="preserve">The 1000 Genomes Phase 3 panel re-phased de-novo with Selphi 2 (</w:t>
      </w:r>
      <w:r>
        <w:rPr>
          <w:rFonts w:ascii="Times New Roman" w:hAnsi="Times New Roman" w:cs="Times New Roman" w:eastAsia="Times New Roman"/>
          <w:rStyle w:val="VerbatimChar"/>
        </w:rPr>
        <w:t xml:space="preserve">--phase-panel</w:t>
      </w:r>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2,401 samples) versus its original published phasing; the same Selphi-phased</w:t>
      </w:r>
      <w:r>
        <w:rPr>
          <w:rFonts w:ascii="Times New Roman" w:hAnsi="Times New Roman" w:cs="Times New Roman" w:eastAsia="Times New Roman"/>
        </w:rPr>
        <w:t xml:space="preserve"> </w:t>
      </w:r>
      <w:r>
        <w:rPr>
          <w:rFonts w:ascii="Times New Roman" w:hAnsi="Times New Roman" w:cs="Times New Roman" w:eastAsia="Times New Roman"/>
        </w:rPr>
        <w:t xml:space="preserve">target is imputed against each panel. Re-phasing a well-phased panel is</w:t>
      </w:r>
      <w:r>
        <w:rPr>
          <w:rFonts w:ascii="Times New Roman" w:hAnsi="Times New Roman" w:cs="Times New Roman" w:eastAsia="Times New Roman"/>
        </w:rPr>
        <w:t xml:space="preserve"> </w:t>
      </w:r>
      <w:r>
        <w:rPr>
          <w:rFonts w:ascii="Times New Roman" w:hAnsi="Times New Roman" w:cs="Times New Roman" w:eastAsia="Times New Roman"/>
        </w:rPr>
        <w:t xml:space="preserve">net-negative on overall R², driven entirely by the rarest bins (it helps common</w:t>
      </w:r>
      <w:r>
        <w:rPr>
          <w:rFonts w:ascii="Times New Roman" w:hAnsi="Times New Roman" w:cs="Times New Roman" w:eastAsia="Times New Roman"/>
        </w:rPr>
        <w:t xml:space="preserve"> </w:t>
      </w:r>
      <w:r>
        <w:rPr>
          <w:rFonts w:ascii="Times New Roman" w:hAnsi="Times New Roman" w:cs="Times New Roman" w:eastAsia="Times New Roman"/>
        </w:rPr>
        <w:t xml:space="preserve">variants but loses rare-allele fidelity), so a panel's published phasing is best</w:t>
      </w:r>
      <w:r>
        <w:rPr>
          <w:rFonts w:ascii="Times New Roman" w:hAnsi="Times New Roman" w:cs="Times New Roman" w:eastAsia="Times New Roman"/>
        </w:rPr>
        <w:t xml:space="preserve"> </w:t>
      </w:r>
      <w:r>
        <w:rPr>
          <w:rFonts w:ascii="Times New Roman" w:hAnsi="Times New Roman" w:cs="Times New Roman" w:eastAsia="Times New Roman"/>
        </w:rPr>
        <w:t xml:space="preserve">retained.</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1426"/>
        <w:gridCol w:w="1197"/>
        <w:gridCol w:w="1998"/>
        <w:gridCol w:w="1083"/>
        <w:gridCol w:w="1540"/>
        <w:gridCol w:w="2116"/>
      </w:tblGrid>
      <w:tr>
        <w:trPr>
          <w:tblHeader w:val="on"/>
        </w:trPr>
        <w:tc>
          <w:tcPr>
            <w:shd w:val="clear" w:color="auto" w:fill="595959"/>
            <w:vAlign w:val="center"/>
            <w:tcW w:type="dxa" w:w="1426"/>
          </w:tcPr>
          <w:p>
            <w:pPr>
              <w:pStyle w:val="Compact"/>
              <w:jc w:val="center"/>
            </w:pPr>
            <w:r>
              <w:rPr>
                <w:rFonts w:ascii="Times New Roman" w:hAnsi="Times New Roman" w:cs="Times New Roman" w:eastAsia="Times New Roman"/>
                <w:b/>
                <w:color w:val="FFFFFF"/>
                <w:sz w:val="20"/>
              </w:rPr>
              <w:t xml:space="preserve">Imputer</w:t>
            </w:r>
          </w:p>
        </w:tc>
        <w:tc>
          <w:tcPr>
            <w:shd w:val="clear" w:color="auto" w:fill="595959"/>
            <w:vAlign w:val="center"/>
            <w:tcW w:type="dxa" w:w="1197"/>
          </w:tcPr>
          <w:p>
            <w:pPr>
              <w:pStyle w:val="Compact"/>
              <w:jc w:val="center"/>
            </w:pPr>
            <w:r>
              <w:rPr>
                <w:rFonts w:ascii="Times New Roman" w:hAnsi="Times New Roman" w:cs="Times New Roman" w:eastAsia="Times New Roman"/>
                <w:b/>
                <w:color w:val="FFFFFF"/>
                <w:sz w:val="20"/>
              </w:rPr>
              <w:t xml:space="preserve">original panel</w:t>
            </w:r>
          </w:p>
        </w:tc>
        <w:tc>
          <w:tcPr>
            <w:shd w:val="clear" w:color="auto" w:fill="595959"/>
            <w:vAlign w:val="center"/>
            <w:tcW w:type="dxa" w:w="1998"/>
          </w:tcPr>
          <w:p>
            <w:pPr>
              <w:pStyle w:val="Compact"/>
              <w:jc w:val="center"/>
            </w:pPr>
            <w:r>
              <w:rPr>
                <w:rFonts w:ascii="Times New Roman" w:hAnsi="Times New Roman" w:cs="Times New Roman" w:eastAsia="Times New Roman"/>
                <w:b/>
                <w:color w:val="FFFFFF"/>
                <w:sz w:val="20"/>
              </w:rPr>
              <w:t xml:space="preserve">Selphi-rephased panel</w:t>
            </w:r>
          </w:p>
        </w:tc>
        <w:tc>
          <w:tcPr>
            <w:shd w:val="clear" w:color="auto" w:fill="595959"/>
            <w:vAlign w:val="center"/>
            <w:tcW w:type="dxa" w:w="1083"/>
          </w:tcPr>
          <w:p>
            <w:pPr>
              <w:pStyle w:val="Compact"/>
              <w:jc w:val="center"/>
            </w:pPr>
            <w:r>
              <w:rPr>
                <w:rFonts w:ascii="Times New Roman" w:hAnsi="Times New Roman" w:cs="Times New Roman" w:eastAsia="Times New Roman"/>
                <w:b/>
                <w:color w:val="FFFFFF"/>
                <w:sz w:val="20"/>
              </w:rPr>
              <w:t xml:space="preserve">Δ overall</w:t>
            </w:r>
          </w:p>
        </w:tc>
        <w:tc>
          <w:tcPr>
            <w:shd w:val="clear" w:color="auto" w:fill="595959"/>
            <w:vAlign w:val="center"/>
            <w:tcW w:type="dxa" w:w="1540"/>
          </w:tcPr>
          <w:p>
            <w:pPr>
              <w:pStyle w:val="Compact"/>
              <w:jc w:val="center"/>
            </w:pPr>
            <w:r>
              <w:rPr>
                <w:rFonts w:ascii="Times New Roman" w:hAnsi="Times New Roman" w:cs="Times New Roman" w:eastAsia="Times New Roman"/>
                <w:b/>
                <w:color w:val="FFFFFF"/>
                <w:sz w:val="20"/>
              </w:rPr>
              <w:t xml:space="preserve">rarest-bin Δ (0.05-0.1%)</w:t>
            </w:r>
          </w:p>
        </w:tc>
        <w:tc>
          <w:tcPr>
            <w:shd w:val="clear" w:color="auto" w:fill="595959"/>
            <w:vAlign w:val="center"/>
            <w:tcW w:type="dxa" w:w="2116"/>
          </w:tcPr>
          <w:p>
            <w:pPr>
              <w:pStyle w:val="Compact"/>
              <w:jc w:val="center"/>
            </w:pPr>
            <w:r>
              <w:rPr>
                <w:rFonts w:ascii="Times New Roman" w:hAnsi="Times New Roman" w:cs="Times New Roman" w:eastAsia="Times New Roman"/>
                <w:b/>
                <w:color w:val="FFFFFF"/>
                <w:sz w:val="20"/>
              </w:rPr>
              <w:t xml:space="preserve">common-bin Δ (0.5-50%)</w:t>
            </w:r>
          </w:p>
        </w:tc>
      </w:tr>
      <w:tr>
        <w:tc>
          <w:tcPr>
            <w:shd w:val="clear" w:color="auto" w:fill="FFFFFF"/>
            <w:vAlign w:val="center"/>
            <w:tcW w:type="dxa" w:w="1426"/>
          </w:tcPr>
          <w:p>
            <w:pPr>
              <w:pStyle w:val="Compact"/>
              <w:jc w:val="center"/>
            </w:pPr>
            <w:r>
              <w:rPr>
                <w:rFonts w:ascii="Times New Roman" w:hAnsi="Times New Roman" w:cs="Times New Roman" w:eastAsia="Times New Roman"/>
                <w:sz w:val="20"/>
              </w:rPr>
              <w:t xml:space="preserve">Beagle 5.5</w:t>
            </w:r>
          </w:p>
        </w:tc>
        <w:tc>
          <w:tcPr>
            <w:shd w:val="clear" w:color="auto" w:fill="FFFFFF"/>
            <w:vAlign w:val="center"/>
            <w:tcW w:type="dxa" w:w="1197"/>
          </w:tcPr>
          <w:p>
            <w:pPr>
              <w:pStyle w:val="Compact"/>
              <w:jc w:val="center"/>
            </w:pPr>
            <w:r>
              <w:rPr>
                <w:rFonts w:ascii="Times New Roman" w:hAnsi="Times New Roman" w:cs="Times New Roman" w:eastAsia="Times New Roman"/>
                <w:sz w:val="20"/>
              </w:rPr>
              <w:t xml:space="preserve">0.4723</w:t>
            </w:r>
          </w:p>
        </w:tc>
        <w:tc>
          <w:tcPr>
            <w:shd w:val="clear" w:color="auto" w:fill="FFFFFF"/>
            <w:vAlign w:val="center"/>
            <w:tcW w:type="dxa" w:w="1998"/>
          </w:tcPr>
          <w:p>
            <w:pPr>
              <w:pStyle w:val="Compact"/>
              <w:jc w:val="center"/>
            </w:pPr>
            <w:r>
              <w:rPr>
                <w:rFonts w:ascii="Times New Roman" w:hAnsi="Times New Roman" w:cs="Times New Roman" w:eastAsia="Times New Roman"/>
                <w:sz w:val="20"/>
              </w:rPr>
              <w:t xml:space="preserve">0.4696</w:t>
            </w:r>
          </w:p>
        </w:tc>
        <w:tc>
          <w:tcPr>
            <w:shd w:val="clear" w:color="auto" w:fill="FFFFFF"/>
            <w:vAlign w:val="center"/>
            <w:tcW w:type="dxa" w:w="1083"/>
          </w:tcPr>
          <w:p>
            <w:pPr>
              <w:pStyle w:val="Compact"/>
              <w:jc w:val="center"/>
            </w:pPr>
            <w:r>
              <w:rPr>
                <w:rFonts w:ascii="Times New Roman" w:hAnsi="Times New Roman" w:cs="Times New Roman" w:eastAsia="Times New Roman"/>
                <w:sz w:val="20"/>
              </w:rPr>
              <w:t xml:space="preserve">-0.0028</w:t>
            </w:r>
          </w:p>
        </w:tc>
        <w:tc>
          <w:tcPr>
            <w:shd w:val="clear" w:color="auto" w:fill="FFFFFF"/>
            <w:vAlign w:val="center"/>
            <w:tcW w:type="dxa" w:w="1540"/>
          </w:tcPr>
          <w:p>
            <w:pPr>
              <w:pStyle w:val="Compact"/>
              <w:jc w:val="center"/>
            </w:pPr>
            <w:r>
              <w:rPr>
                <w:rFonts w:ascii="Times New Roman" w:hAnsi="Times New Roman" w:cs="Times New Roman" w:eastAsia="Times New Roman"/>
                <w:sz w:val="20"/>
              </w:rPr>
              <w:t xml:space="preserve">-0.014</w:t>
            </w:r>
          </w:p>
        </w:tc>
        <w:tc>
          <w:tcPr>
            <w:shd w:val="clear" w:color="auto" w:fill="FFFFFF"/>
            <w:vAlign w:val="center"/>
            <w:tcW w:type="dxa" w:w="2116"/>
          </w:tcPr>
          <w:p>
            <w:pPr>
              <w:pStyle w:val="Compact"/>
              <w:jc w:val="center"/>
            </w:pPr>
            <w:r>
              <w:rPr>
                <w:rFonts w:ascii="Times New Roman" w:hAnsi="Times New Roman" w:cs="Times New Roman" w:eastAsia="Times New Roman"/>
                <w:sz w:val="20"/>
              </w:rPr>
              <w:t xml:space="preserve">+0.001 to +0.004</w:t>
            </w:r>
          </w:p>
        </w:tc>
      </w:tr>
      <w:tr>
        <w:tc>
          <w:tcPr>
            <w:shd w:val="clear" w:color="auto" w:fill="E7E6E6"/>
            <w:vAlign w:val="center"/>
            <w:tcW w:type="dxa" w:w="1426"/>
          </w:tcPr>
          <w:p>
            <w:pPr>
              <w:pStyle w:val="Compact"/>
              <w:jc w:val="center"/>
            </w:pPr>
            <w:r>
              <w:rPr>
                <w:rFonts w:ascii="Times New Roman" w:hAnsi="Times New Roman" w:cs="Times New Roman" w:eastAsia="Times New Roman"/>
                <w:sz w:val="20"/>
              </w:rPr>
              <w:t xml:space="preserve">Selphi 2</w:t>
            </w:r>
          </w:p>
        </w:tc>
        <w:tc>
          <w:tcPr>
            <w:shd w:val="clear" w:color="auto" w:fill="E7E6E6"/>
            <w:vAlign w:val="center"/>
            <w:tcW w:type="dxa" w:w="1197"/>
          </w:tcPr>
          <w:p>
            <w:pPr>
              <w:pStyle w:val="Compact"/>
              <w:jc w:val="center"/>
            </w:pPr>
            <w:r>
              <w:rPr>
                <w:rFonts w:ascii="Times New Roman" w:hAnsi="Times New Roman" w:cs="Times New Roman" w:eastAsia="Times New Roman"/>
                <w:sz w:val="20"/>
              </w:rPr>
              <w:t xml:space="preserve">0.4821</w:t>
            </w:r>
          </w:p>
        </w:tc>
        <w:tc>
          <w:tcPr>
            <w:shd w:val="clear" w:color="auto" w:fill="E7E6E6"/>
            <w:vAlign w:val="center"/>
            <w:tcW w:type="dxa" w:w="1998"/>
          </w:tcPr>
          <w:p>
            <w:pPr>
              <w:pStyle w:val="Compact"/>
              <w:jc w:val="center"/>
            </w:pPr>
            <w:r>
              <w:rPr>
                <w:rFonts w:ascii="Times New Roman" w:hAnsi="Times New Roman" w:cs="Times New Roman" w:eastAsia="Times New Roman"/>
                <w:sz w:val="20"/>
              </w:rPr>
              <w:t xml:space="preserve">0.4788</w:t>
            </w:r>
          </w:p>
        </w:tc>
        <w:tc>
          <w:tcPr>
            <w:shd w:val="clear" w:color="auto" w:fill="E7E6E6"/>
            <w:vAlign w:val="center"/>
            <w:tcW w:type="dxa" w:w="1083"/>
          </w:tcPr>
          <w:p>
            <w:pPr>
              <w:pStyle w:val="Compact"/>
              <w:jc w:val="center"/>
            </w:pPr>
            <w:r>
              <w:rPr>
                <w:rFonts w:ascii="Times New Roman" w:hAnsi="Times New Roman" w:cs="Times New Roman" w:eastAsia="Times New Roman"/>
                <w:sz w:val="20"/>
              </w:rPr>
              <w:t xml:space="preserve">-0.0033</w:t>
            </w:r>
          </w:p>
        </w:tc>
        <w:tc>
          <w:tcPr>
            <w:shd w:val="clear" w:color="auto" w:fill="E7E6E6"/>
            <w:vAlign w:val="center"/>
            <w:tcW w:type="dxa" w:w="1540"/>
          </w:tcPr>
          <w:p>
            <w:pPr>
              <w:pStyle w:val="Compact"/>
              <w:jc w:val="center"/>
            </w:pPr>
            <w:r>
              <w:rPr>
                <w:rFonts w:ascii="Times New Roman" w:hAnsi="Times New Roman" w:cs="Times New Roman" w:eastAsia="Times New Roman"/>
                <w:sz w:val="20"/>
              </w:rPr>
              <w:t xml:space="preserve">-0.013</w:t>
            </w:r>
          </w:p>
        </w:tc>
        <w:tc>
          <w:tcPr>
            <w:shd w:val="clear" w:color="auto" w:fill="E7E6E6"/>
            <w:vAlign w:val="center"/>
            <w:tcW w:type="dxa" w:w="2116"/>
          </w:tcPr>
          <w:p>
            <w:pPr>
              <w:pStyle w:val="Compact"/>
              <w:jc w:val="center"/>
            </w:pPr>
            <w:r>
              <w:rPr>
                <w:rFonts w:ascii="Times New Roman" w:hAnsi="Times New Roman" w:cs="Times New Roman" w:eastAsia="Times New Roman"/>
                <w:sz w:val="20"/>
              </w:rPr>
              <w:t xml:space="preserve">+0.001 to +0.003</w:t>
            </w:r>
          </w:p>
        </w:tc>
      </w:tr>
    </w:tbl>
    <w:p>
      <w:pPr>
        <w:pStyle w:val="Heading2"/>
        <w:jc w:val="both"/>
      </w:pPr>
      <w:r>
        <w:rPr>
          <w:rFonts w:ascii="Times New Roman" w:hAnsi="Times New Roman" w:cs="Times New Roman" w:eastAsia="Times New Roman"/>
        </w:rPr>
        <w:t xml:space="preserve">Table S9. Genome-wide per-MAF R² underlying Figure 2a (1KG, four-way)</w:t>
      </w:r>
    </w:p>
    <w:p>
      <w:pPr>
        <w:pStyle w:val="FirstParagraph"/>
        <w:jc w:val="both"/>
      </w:pPr>
      <w:r>
        <w:rPr>
          <w:rFonts w:ascii="Times New Roman" w:hAnsi="Times New Roman" w:cs="Times New Roman" w:eastAsia="Times New Roman"/>
        </w:rPr>
        <w:t xml:space="preserve">Source data for Figure 2a: n-weighted imputation R² by MAF bin, aggregated genome-wide</w:t>
      </w:r>
      <w:r>
        <w:rPr>
          <w:rFonts w:ascii="Times New Roman" w:hAnsi="Times New Roman" w:cs="Times New Roman" w:eastAsia="Times New Roman"/>
        </w:rPr>
        <w:t xml:space="preserve"> </w:t>
      </w:r>
      <w:r>
        <w:rPr>
          <w:rFonts w:ascii="Times New Roman" w:hAnsi="Times New Roman" w:cs="Times New Roman" w:eastAsia="Times New Roman"/>
        </w:rPr>
        <w:t xml:space="preserve">across 20 autosomes (chromosomes 8 and 11 excluded because Beagle aborted on a duplicate</w:t>
      </w:r>
      <w:r>
        <w:rPr>
          <w:rFonts w:ascii="Times New Roman" w:hAnsi="Times New Roman" w:cs="Times New Roman" w:eastAsia="Times New Roman"/>
        </w:rPr>
        <w:t xml:space="preserve"> </w:t>
      </w:r>
      <w:r>
        <w:rPr>
          <w:rFonts w:ascii="Times New Roman" w:hAnsi="Times New Roman" w:cs="Times New Roman" w:eastAsia="Times New Roman"/>
        </w:rPr>
        <w:t xml:space="preserve">panel marker, so all four tools span the identical chromosome set). 801 held-out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samples, full phase-and-impute pipeline (Selphi 2 default diploid engine),</w:t>
      </w:r>
      <w:r>
        <w:rPr>
          <w:rFonts w:ascii="Times New Roman" w:hAnsi="Times New Roman" w:cs="Times New Roman" w:eastAsia="Times New Roman"/>
        </w:rPr>
        <w:t xml:space="preserve"> </w:t>
      </w:r>
      <w:r>
        <w:rPr>
          <w:rFonts w:ascii="Times New Roman" w:hAnsi="Times New Roman" w:cs="Times New Roman" w:eastAsia="Times New Roman"/>
        </w:rPr>
        <w:t xml:space="preserve">imputed against the 1000 Genomes Phase 3 panel; scored against WGS truth. The OVERALL</w:t>
      </w:r>
      <w:r>
        <w:rPr>
          <w:rFonts w:ascii="Times New Roman" w:hAnsi="Times New Roman" w:cs="Times New Roman" w:eastAsia="Times New Roman"/>
        </w:rPr>
        <w:t xml:space="preserve"> </w:t>
      </w:r>
      <w:r>
        <w:rPr>
          <w:rFonts w:ascii="Times New Roman" w:hAnsi="Times New Roman" w:cs="Times New Roman" w:eastAsia="Times New Roman"/>
        </w:rPr>
        <w:t xml:space="preserve">row matches the genome-wide aggregate reported in Results.</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223"/>
        <w:gridCol w:w="1639"/>
        <w:gridCol w:w="1639"/>
        <w:gridCol w:w="1833"/>
        <w:gridCol w:w="2026"/>
      </w:tblGrid>
      <w:tr>
        <w:trPr>
          <w:tblHeader w:val="on"/>
        </w:trPr>
        <w:tc>
          <w:tcPr>
            <w:shd w:val="clear" w:color="auto" w:fill="595959"/>
            <w:vAlign w:val="center"/>
            <w:tcW w:type="dxa" w:w="222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1639"/>
          </w:tcPr>
          <w:p>
            <w:pPr>
              <w:pStyle w:val="Compact"/>
              <w:jc w:val="center"/>
            </w:pPr>
            <w:r>
              <w:rPr>
                <w:rFonts w:ascii="Times New Roman" w:hAnsi="Times New Roman" w:cs="Times New Roman" w:eastAsia="Times New Roman"/>
                <w:b/>
                <w:color w:val="FFFFFF"/>
                <w:sz w:val="20"/>
              </w:rPr>
              <w:t xml:space="preserve">Beagle 5.5</w:t>
            </w:r>
          </w:p>
        </w:tc>
        <w:tc>
          <w:tcPr>
            <w:shd w:val="clear" w:color="auto" w:fill="595959"/>
            <w:vAlign w:val="center"/>
            <w:tcW w:type="dxa" w:w="1833"/>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026"/>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0.3578</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0.3619</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0.3458</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0.3530</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0.4275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0.4196</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0.4061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0.4131</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0.5274</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0.5117</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0.5005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0.5048</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0.6273</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0.6090</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0.5991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0.6013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0.6926</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0.6742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0.6654</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0.6663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0.7630</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0.7458</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0.7381</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0.7367</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0.8531</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0.8410</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0.8355</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0.8323</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0.8965</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0.8881</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0.8840</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0.8803</w:t>
            </w:r>
          </w:p>
        </w:tc>
      </w:tr>
      <w:tr>
        <w:tc>
          <w:tcPr>
            <w:shd w:val="clear" w:color="auto" w:fill="FFFFFF"/>
            <w:vAlign w:val="center"/>
            <w:tcW w:type="dxa" w:w="222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639"/>
          </w:tcPr>
          <w:p>
            <w:pPr>
              <w:pStyle w:val="Compact"/>
              <w:jc w:val="center"/>
            </w:pPr>
            <w:r>
              <w:rPr>
                <w:rFonts w:ascii="Times New Roman" w:hAnsi="Times New Roman" w:cs="Times New Roman" w:eastAsia="Times New Roman"/>
                <w:b/>
                <w:bCs/>
                <w:sz w:val="20"/>
              </w:rPr>
              <w:t xml:space="preserve">0.9255</w:t>
            </w:r>
          </w:p>
        </w:tc>
        <w:tc>
          <w:tcPr>
            <w:shd w:val="clear" w:color="auto" w:fill="FFFFFF"/>
            <w:vAlign w:val="center"/>
            <w:tcW w:type="dxa" w:w="1639"/>
          </w:tcPr>
          <w:p>
            <w:pPr>
              <w:pStyle w:val="Compact"/>
              <w:jc w:val="center"/>
            </w:pPr>
            <w:r>
              <w:rPr>
                <w:rFonts w:ascii="Times New Roman" w:hAnsi="Times New Roman" w:cs="Times New Roman" w:eastAsia="Times New Roman"/>
                <w:sz w:val="20"/>
              </w:rPr>
              <w:t xml:space="preserve">0.9192</w:t>
            </w:r>
          </w:p>
        </w:tc>
        <w:tc>
          <w:tcPr>
            <w:shd w:val="clear" w:color="auto" w:fill="FFFFFF"/>
            <w:vAlign w:val="center"/>
            <w:tcW w:type="dxa" w:w="1833"/>
          </w:tcPr>
          <w:p>
            <w:pPr>
              <w:pStyle w:val="Compact"/>
              <w:jc w:val="center"/>
            </w:pPr>
            <w:r>
              <w:rPr>
                <w:rFonts w:ascii="Times New Roman" w:hAnsi="Times New Roman" w:cs="Times New Roman" w:eastAsia="Times New Roman"/>
                <w:sz w:val="20"/>
              </w:rPr>
              <w:t xml:space="preserve">0.9160</w:t>
            </w:r>
          </w:p>
        </w:tc>
        <w:tc>
          <w:tcPr>
            <w:shd w:val="clear" w:color="auto" w:fill="FFFFFF"/>
            <w:vAlign w:val="center"/>
            <w:tcW w:type="dxa" w:w="2026"/>
          </w:tcPr>
          <w:p>
            <w:pPr>
              <w:pStyle w:val="Compact"/>
              <w:jc w:val="center"/>
            </w:pPr>
            <w:r>
              <w:rPr>
                <w:rFonts w:ascii="Times New Roman" w:hAnsi="Times New Roman" w:cs="Times New Roman" w:eastAsia="Times New Roman"/>
                <w:sz w:val="20"/>
              </w:rPr>
              <w:t xml:space="preserve">0.9112</w:t>
            </w:r>
          </w:p>
        </w:tc>
      </w:tr>
      <w:tr>
        <w:tc>
          <w:tcPr>
            <w:shd w:val="clear" w:color="auto" w:fill="E7E6E6"/>
            <w:vAlign w:val="center"/>
            <w:tcW w:type="dxa" w:w="222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639"/>
          </w:tcPr>
          <w:p>
            <w:pPr>
              <w:pStyle w:val="Compact"/>
              <w:jc w:val="center"/>
            </w:pPr>
            <w:r>
              <w:rPr>
                <w:rFonts w:ascii="Times New Roman" w:hAnsi="Times New Roman" w:cs="Times New Roman" w:eastAsia="Times New Roman"/>
                <w:b/>
                <w:bCs/>
                <w:sz w:val="20"/>
              </w:rPr>
              <w:t xml:space="preserve">0.5838</w:t>
            </w:r>
          </w:p>
        </w:tc>
        <w:tc>
          <w:tcPr>
            <w:shd w:val="clear" w:color="auto" w:fill="E7E6E6"/>
            <w:vAlign w:val="center"/>
            <w:tcW w:type="dxa" w:w="1639"/>
          </w:tcPr>
          <w:p>
            <w:pPr>
              <w:pStyle w:val="Compact"/>
              <w:jc w:val="center"/>
            </w:pPr>
            <w:r>
              <w:rPr>
                <w:rFonts w:ascii="Times New Roman" w:hAnsi="Times New Roman" w:cs="Times New Roman" w:eastAsia="Times New Roman"/>
                <w:sz w:val="20"/>
              </w:rPr>
              <w:t xml:space="preserve">0.5764</w:t>
            </w:r>
          </w:p>
        </w:tc>
        <w:tc>
          <w:tcPr>
            <w:shd w:val="clear" w:color="auto" w:fill="E7E6E6"/>
            <w:vAlign w:val="center"/>
            <w:tcW w:type="dxa" w:w="1833"/>
          </w:tcPr>
          <w:p>
            <w:pPr>
              <w:pStyle w:val="Compact"/>
              <w:jc w:val="center"/>
            </w:pPr>
            <w:r>
              <w:rPr>
                <w:rFonts w:ascii="Times New Roman" w:hAnsi="Times New Roman" w:cs="Times New Roman" w:eastAsia="Times New Roman"/>
                <w:sz w:val="20"/>
              </w:rPr>
              <w:t xml:space="preserve">0.5635</w:t>
            </w:r>
          </w:p>
        </w:tc>
        <w:tc>
          <w:tcPr>
            <w:shd w:val="clear" w:color="auto" w:fill="E7E6E6"/>
            <w:vAlign w:val="center"/>
            <w:tcW w:type="dxa" w:w="2026"/>
          </w:tcPr>
          <w:p>
            <w:pPr>
              <w:pStyle w:val="Compact"/>
              <w:jc w:val="center"/>
            </w:pPr>
            <w:r>
              <w:rPr>
                <w:rFonts w:ascii="Times New Roman" w:hAnsi="Times New Roman" w:cs="Times New Roman" w:eastAsia="Times New Roman"/>
                <w:sz w:val="20"/>
              </w:rPr>
              <w:t xml:space="preserve">0.5668</w:t>
            </w:r>
          </w:p>
        </w:tc>
      </w:tr>
    </w:tbl>
    <w:p>
      <w:pPr>
        <w:pStyle w:val="Heading2"/>
        <w:jc w:val="both"/>
      </w:pPr>
      <w:r>
        <w:rPr>
          <w:rFonts w:ascii="Times New Roman" w:hAnsi="Times New Roman" w:cs="Times New Roman" w:eastAsia="Times New Roman"/>
        </w:rPr>
        <w:t xml:space="preserve">Table S10. Component ablation (1KG chromosome 22, 801 held-out samples)</w:t>
      </w:r>
    </w:p>
    <w:p>
      <w:pPr>
        <w:pStyle w:val="FirstParagraph"/>
        <w:jc w:val="both"/>
      </w:pPr>
      <w:r>
        <w:rPr>
          <w:rFonts w:ascii="Times New Roman" w:hAnsi="Times New Roman" w:cs="Times New Roman" w:eastAsia="Times New Roman"/>
        </w:rPr>
        <w:t xml:space="preserve">Each component is varied from the Selphi 2 default with phasing and everything else held</w:t>
      </w:r>
      <w:r>
        <w:rPr>
          <w:rFonts w:ascii="Times New Roman" w:hAnsi="Times New Roman" w:cs="Times New Roman" w:eastAsia="Times New Roman"/>
        </w:rPr>
        <w:t xml:space="preserve"> </w:t>
      </w:r>
      <w:r>
        <w:rPr>
          <w:rFonts w:ascii="Times New Roman" w:hAnsi="Times New Roman" w:cs="Times New Roman" w:eastAsia="Times New Roman"/>
        </w:rPr>
        <w:t xml:space="preserve">fixed (impute-only against the phased target, so the effect is isolated from phasing). The</w:t>
      </w:r>
      <w:r>
        <w:rPr>
          <w:rFonts w:ascii="Times New Roman" w:hAnsi="Times New Roman" w:cs="Times New Roman" w:eastAsia="Times New Roman"/>
        </w:rPr>
        <w:t xml:space="preserve"> </w:t>
      </w:r>
      <w:r>
        <w:rPr>
          <w:rFonts w:ascii="Times New Roman" w:hAnsi="Times New Roman" w:cs="Times New Roman" w:eastAsia="Times New Roman"/>
        </w:rPr>
        <w:t xml:space="preserve">"Default" row is identical to the chromosome-22 impute-only row of Table S1. The long-range</w:t>
      </w:r>
      <w:r>
        <w:rPr>
          <w:rFonts w:ascii="Times New Roman" w:hAnsi="Times New Roman" w:cs="Times New Roman" w:eastAsia="Times New Roman"/>
        </w:rPr>
        <w:t xml:space="preserve"> </w:t>
      </w:r>
      <w:r>
        <w:rPr>
          <w:rFonts w:ascii="Times New Roman" w:hAnsi="Times New Roman" w:cs="Times New Roman" w:eastAsia="Times New Roman"/>
        </w:rPr>
        <w:t xml:space="preserve">PBWT scan realized as an 80 cM window is worth +0.013 overall R² over a short IMPUTE5-like 8 cM</w:t>
      </w:r>
      <w:r>
        <w:rPr>
          <w:rFonts w:ascii="Times New Roman" w:hAnsi="Times New Roman" w:cs="Times New Roman" w:eastAsia="Times New Roman"/>
        </w:rPr>
        <w:t xml:space="preserve"> </w:t>
      </w:r>
      <w:r>
        <w:rPr>
          <w:rFonts w:ascii="Times New Roman" w:hAnsi="Times New Roman" w:cs="Times New Roman" w:eastAsia="Times New Roman"/>
        </w:rPr>
        <w:t xml:space="preserve">window; because chromosome 22 is shorter than 80 cM, the default 80 cM window already spans the</w:t>
      </w:r>
      <w:r>
        <w:rPr>
          <w:rFonts w:ascii="Times New Roman" w:hAnsi="Times New Roman" w:cs="Times New Roman" w:eastAsia="Times New Roman"/>
        </w:rPr>
        <w:t xml:space="preserve"> </w:t>
      </w:r>
      <w:r>
        <w:rPr>
          <w:rFonts w:ascii="Times New Roman" w:hAnsi="Times New Roman" w:cs="Times New Roman" w:eastAsia="Times New Roman"/>
        </w:rPr>
        <w:t xml:space="preserve">whole chromosome, so the 80 cM and whole-chromosome rows coincide by construction (confirming</w:t>
      </w:r>
      <w:r>
        <w:rPr>
          <w:rFonts w:ascii="Times New Roman" w:hAnsi="Times New Roman" w:cs="Times New Roman" w:eastAsia="Times New Roman"/>
        </w:rPr>
        <w:t xml:space="preserve"> </w:t>
      </w:r>
      <w:r>
        <w:rPr>
          <w:rFonts w:ascii="Times New Roman" w:hAnsi="Times New Roman" w:cs="Times New Roman" w:eastAsia="Times New Roman"/>
        </w:rPr>
        <w:t xml:space="preserve">that windowing at 80 cM imposes no penalty relative to Selphi 1's whole-chromosome pass on this</w:t>
      </w:r>
      <w:r>
        <w:rPr>
          <w:rFonts w:ascii="Times New Roman" w:hAnsi="Times New Roman" w:cs="Times New Roman" w:eastAsia="Times New Roman"/>
        </w:rPr>
        <w:t xml:space="preserve"> </w:t>
      </w:r>
      <w:r>
        <w:rPr>
          <w:rFonts w:ascii="Times New Roman" w:hAnsi="Times New Roman" w:cs="Times New Roman" w:eastAsia="Times New Roman"/>
        </w:rPr>
        <w:t xml:space="preserve">chromosome). The panel-adaptive effective population size is worth +0.008 over a fixed Ne = 20,000. The candidate-set-size component is ablated separately in Table 2b.</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5380"/>
        <w:gridCol w:w="995"/>
        <w:gridCol w:w="1205"/>
        <w:gridCol w:w="890"/>
        <w:gridCol w:w="890"/>
      </w:tblGrid>
      <w:tr>
        <w:trPr>
          <w:tblHeader w:val="on"/>
        </w:trPr>
        <w:tc>
          <w:tcPr>
            <w:shd w:val="clear" w:color="auto" w:fill="595959"/>
            <w:vAlign w:val="center"/>
            <w:tcW w:type="dxa" w:w="5380"/>
          </w:tcPr>
          <w:p>
            <w:pPr>
              <w:pStyle w:val="Compact"/>
              <w:jc w:val="center"/>
            </w:pPr>
            <w:r>
              <w:rPr>
                <w:rFonts w:ascii="Times New Roman" w:hAnsi="Times New Roman" w:cs="Times New Roman" w:eastAsia="Times New Roman"/>
                <w:b/>
                <w:color w:val="FFFFFF"/>
                <w:sz w:val="20"/>
              </w:rPr>
              <w:t xml:space="preserve">Configuration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 R²</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20-50%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Default (80 cM window, panel-adaptive Ne)</w:t>
            </w:r>
          </w:p>
        </w:tc>
        <w:tc>
          <w:tcPr>
            <w:shd w:val="clear" w:color="auto" w:fill="FFFFFF"/>
            <w:vAlign w:val="center"/>
            <w:tcW w:type="dxa" w:w="995"/>
          </w:tcPr>
          <w:p>
            <w:pPr>
              <w:pStyle w:val="Compact"/>
              <w:jc w:val="center"/>
            </w:pPr>
            <w:r>
              <w:rPr>
                <w:rFonts w:ascii="Times New Roman" w:hAnsi="Times New Roman" w:cs="Times New Roman" w:eastAsia="Times New Roman"/>
                <w:b/>
                <w:bCs/>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Short 8 cM window (IMPUTE5-like)</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0.4645</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0.4759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0.8250</w:t>
            </w:r>
          </w:p>
        </w:tc>
      </w:tr>
      <w:tr>
        <w:tc>
          <w:tcPr>
            <w:shd w:val="clear" w:color="auto" w:fill="FFFFFF"/>
            <w:vAlign w:val="center"/>
            <w:tcW w:type="dxa" w:w="5380"/>
          </w:tcPr>
          <w:p>
            <w:pPr>
              <w:pStyle w:val="Compact"/>
              <w:jc w:val="left"/>
            </w:pPr>
            <w:r>
              <w:rPr>
                <w:rFonts w:ascii="Times New Roman" w:hAnsi="Times New Roman" w:cs="Times New Roman" w:eastAsia="Times New Roman"/>
                <w:sz w:val="20"/>
              </w:rPr>
              <w:t xml:space="preserve">Whole-chromosome window (Selphi 1 mode)</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0.4776</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0.5033</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0.8418</w:t>
            </w:r>
          </w:p>
        </w:tc>
      </w:tr>
      <w:tr>
        <w:tc>
          <w:tcPr>
            <w:shd w:val="clear" w:color="auto" w:fill="E7E6E6"/>
            <w:vAlign w:val="center"/>
            <w:tcW w:type="dxa" w:w="5380"/>
          </w:tcPr>
          <w:p>
            <w:pPr>
              <w:pStyle w:val="Compact"/>
              <w:jc w:val="left"/>
            </w:pPr>
            <w:r>
              <w:rPr>
                <w:rFonts w:ascii="Times New Roman" w:hAnsi="Times New Roman" w:cs="Times New Roman" w:eastAsia="Times New Roman"/>
                <w:sz w:val="20"/>
              </w:rPr>
              <w:t xml:space="preserve">Fixed Ne = 20,000 (IMPUTE5 default)</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0.4696</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0.8312</w:t>
            </w:r>
          </w:p>
        </w:tc>
      </w:tr>
    </w:tbl>
    <w:p>
      <w:pPr>
        <w:pStyle w:val="Heading2"/>
        <w:jc w:val="both"/>
      </w:pPr>
      <w:r>
        <w:rPr>
          <w:rFonts w:ascii="Times New Roman" w:hAnsi="Times New Roman" w:cs="Times New Roman" w:eastAsia="Times New Roman"/>
        </w:rPr>
        <w:t xml:space="preserve">Table S11. Biobank-scale MESA × TOPMed, per-MAF, four imputers</w:t>
      </w:r>
    </w:p>
    <w:p>
      <w:pPr>
        <w:pStyle w:val="FirstParagraph"/>
        <w:jc w:val="both"/>
      </w:pPr>
      <w:r>
        <w:rPr>
          <w:rFonts w:ascii="Times New Roman" w:hAnsi="Times New Roman" w:cs="Times New Roman" w:eastAsia="Times New Roman"/>
        </w:rPr>
        <w:t xml:space="preserve">MESA cohort (5,000 samples, chr20) imputed against the TOPMed Freeze 8 panel (171,054</w:t>
      </w:r>
      <w:r>
        <w:rPr>
          <w:rFonts w:ascii="Times New Roman" w:hAnsi="Times New Roman" w:cs="Times New Roman" w:eastAsia="Times New Roman"/>
        </w:rPr>
        <w:t xml:space="preserve"> </w:t>
      </w:r>
      <w:r>
        <w:rPr>
          <w:rFonts w:ascii="Times New Roman" w:hAnsi="Times New Roman" w:cs="Times New Roman" w:eastAsia="Times New Roman"/>
        </w:rPr>
        <w:t xml:space="preserve">haplotypes), scored on the identical set of 17,900,635 variants for all tools. Selphi 2 uses</w:t>
      </w:r>
      <w:r>
        <w:rPr>
          <w:rFonts w:ascii="Times New Roman" w:hAnsi="Times New Roman" w:cs="Times New Roman" w:eastAsia="Times New Roman"/>
        </w:rPr>
        <w:t xml:space="preserve"> </w:t>
      </w:r>
      <w:r>
        <w:rPr>
          <w:rFonts w:ascii="Times New Roman" w:hAnsi="Times New Roman" w:cs="Times New Roman" w:eastAsia="Times New Roman"/>
        </w:rPr>
        <w:t xml:space="preserve">its panel-adaptive candidate set (mc = 132,676); IMPUTE5 (L = 4 conditioning states) and</w:t>
      </w:r>
      <w:r>
        <w:rPr>
          <w:rFonts w:ascii="Times New Roman" w:hAnsi="Times New Roman" w:cs="Times New Roman" w:eastAsia="Times New Roman"/>
        </w:rPr>
        <w:t xml:space="preserve"> </w:t>
      </w:r>
      <w:r>
        <w:rPr>
          <w:rFonts w:ascii="Times New Roman" w:hAnsi="Times New Roman" w:cs="Times New Roman" w:eastAsia="Times New Roman"/>
        </w:rPr>
        <w:t xml:space="preserve">Minimac4 (block-based state reduction) use their default settings. Beagle 5.5 attains overall</w:t>
      </w:r>
      <w:r>
        <w:rPr>
          <w:rFonts w:ascii="Times New Roman" w:hAnsi="Times New Roman" w:cs="Times New Roman" w:eastAsia="Times New Roman"/>
        </w:rPr>
        <w:t xml:space="preserve"> </w:t>
      </w:r>
      <w:r>
        <w:rPr>
          <w:rFonts w:ascii="Times New Roman" w:hAnsi="Times New Roman" w:cs="Times New Roman" w:eastAsia="Times New Roman"/>
        </w:rPr>
        <w:t xml:space="preserve">R² 0.5921 on the same set (main text). Selphi 2 leads at every MAF bin.</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693"/>
        <w:gridCol w:w="1988"/>
        <w:gridCol w:w="2222"/>
        <w:gridCol w:w="2457"/>
      </w:tblGrid>
      <w:tr>
        <w:trPr>
          <w:tblHeader w:val="on"/>
        </w:trPr>
        <w:tc>
          <w:tcPr>
            <w:shd w:val="clear" w:color="auto" w:fill="595959"/>
            <w:vAlign w:val="center"/>
            <w:tcW w:type="dxa" w:w="2693"/>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988"/>
          </w:tcPr>
          <w:p>
            <w:pPr>
              <w:pStyle w:val="Compact"/>
              <w:jc w:val="center"/>
            </w:pPr>
            <w:r>
              <w:rPr>
                <w:rFonts w:ascii="Times New Roman" w:hAnsi="Times New Roman" w:cs="Times New Roman" w:eastAsia="Times New Roman"/>
                <w:b/>
                <w:color w:val="FFFFFF"/>
                <w:sz w:val="20"/>
              </w:rPr>
              <w:t xml:space="preserve">Selphi 2</w:t>
            </w:r>
          </w:p>
        </w:tc>
        <w:tc>
          <w:tcPr>
            <w:shd w:val="clear" w:color="auto" w:fill="595959"/>
            <w:vAlign w:val="center"/>
            <w:tcW w:type="dxa" w:w="2222"/>
          </w:tcPr>
          <w:p>
            <w:pPr>
              <w:pStyle w:val="Compact"/>
              <w:jc w:val="center"/>
            </w:pPr>
            <w:r>
              <w:rPr>
                <w:rFonts w:ascii="Times New Roman" w:hAnsi="Times New Roman" w:cs="Times New Roman" w:eastAsia="Times New Roman"/>
                <w:b/>
                <w:color w:val="FFFFFF"/>
                <w:sz w:val="20"/>
              </w:rPr>
              <w:t xml:space="preserve">IMPUTE5</w:t>
            </w:r>
          </w:p>
        </w:tc>
        <w:tc>
          <w:tcPr>
            <w:shd w:val="clear" w:color="auto" w:fill="595959"/>
            <w:vAlign w:val="center"/>
            <w:tcW w:type="dxa" w:w="2457"/>
          </w:tcPr>
          <w:p>
            <w:pPr>
              <w:pStyle w:val="Compact"/>
              <w:jc w:val="center"/>
            </w:pPr>
            <w:r>
              <w:rPr>
                <w:rFonts w:ascii="Times New Roman" w:hAnsi="Times New Roman" w:cs="Times New Roman" w:eastAsia="Times New Roman"/>
                <w:b/>
                <w:color w:val="FFFFFF"/>
                <w:sz w:val="20"/>
              </w:rPr>
              <w:t xml:space="preserve">Minimac4</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0.5224</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0.3819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0.3693</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0.5665</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0.4107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0.3983</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0.6131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0.4689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0.4531</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0.6537</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0.5342</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0.5150</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0.6698</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0.5695</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0.5494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0.6603</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0.5753</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0.5567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0.6780</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0.6084</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0.5909</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0.7322</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0.6720</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0.6537</w:t>
            </w:r>
          </w:p>
        </w:tc>
      </w:tr>
      <w:tr>
        <w:tc>
          <w:tcPr>
            <w:shd w:val="clear" w:color="auto" w:fill="FFFFFF"/>
            <w:vAlign w:val="center"/>
            <w:tcW w:type="dxa" w:w="2693"/>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988"/>
          </w:tcPr>
          <w:p>
            <w:pPr>
              <w:pStyle w:val="Compact"/>
              <w:jc w:val="center"/>
            </w:pPr>
            <w:r>
              <w:rPr>
                <w:rFonts w:ascii="Times New Roman" w:hAnsi="Times New Roman" w:cs="Times New Roman" w:eastAsia="Times New Roman"/>
                <w:b/>
                <w:bCs/>
                <w:sz w:val="20"/>
              </w:rPr>
              <w:t xml:space="preserve">0.6631</w:t>
            </w:r>
          </w:p>
        </w:tc>
        <w:tc>
          <w:tcPr>
            <w:shd w:val="clear" w:color="auto" w:fill="FFFFFF"/>
            <w:vAlign w:val="center"/>
            <w:tcW w:type="dxa" w:w="2222"/>
          </w:tcPr>
          <w:p>
            <w:pPr>
              <w:pStyle w:val="Compact"/>
              <w:jc w:val="center"/>
            </w:pPr>
            <w:r>
              <w:rPr>
                <w:rFonts w:ascii="Times New Roman" w:hAnsi="Times New Roman" w:cs="Times New Roman" w:eastAsia="Times New Roman"/>
                <w:sz w:val="20"/>
              </w:rPr>
              <w:t xml:space="preserve">0.6249</w:t>
            </w:r>
          </w:p>
        </w:tc>
        <w:tc>
          <w:tcPr>
            <w:shd w:val="clear" w:color="auto" w:fill="FFFFFF"/>
            <w:vAlign w:val="center"/>
            <w:tcW w:type="dxa" w:w="2457"/>
          </w:tcPr>
          <w:p>
            <w:pPr>
              <w:pStyle w:val="Compact"/>
              <w:jc w:val="center"/>
            </w:pPr>
            <w:r>
              <w:rPr>
                <w:rFonts w:ascii="Times New Roman" w:hAnsi="Times New Roman" w:cs="Times New Roman" w:eastAsia="Times New Roman"/>
                <w:sz w:val="20"/>
              </w:rPr>
              <w:t xml:space="preserve">0.6084</w:t>
            </w:r>
          </w:p>
        </w:tc>
      </w:tr>
      <w:tr>
        <w:tc>
          <w:tcPr>
            <w:shd w:val="clear" w:color="auto" w:fill="E7E6E6"/>
            <w:vAlign w:val="center"/>
            <w:tcW w:type="dxa" w:w="2693"/>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988"/>
          </w:tcPr>
          <w:p>
            <w:pPr>
              <w:pStyle w:val="Compact"/>
              <w:jc w:val="center"/>
            </w:pPr>
            <w:r>
              <w:rPr>
                <w:rFonts w:ascii="Times New Roman" w:hAnsi="Times New Roman" w:cs="Times New Roman" w:eastAsia="Times New Roman"/>
                <w:b/>
                <w:bCs/>
                <w:sz w:val="20"/>
              </w:rPr>
              <w:t xml:space="preserve">0.6148</w:t>
            </w:r>
          </w:p>
        </w:tc>
        <w:tc>
          <w:tcPr>
            <w:shd w:val="clear" w:color="auto" w:fill="E7E6E6"/>
            <w:vAlign w:val="center"/>
            <w:tcW w:type="dxa" w:w="2222"/>
          </w:tcPr>
          <w:p>
            <w:pPr>
              <w:pStyle w:val="Compact"/>
              <w:jc w:val="center"/>
            </w:pPr>
            <w:r>
              <w:rPr>
                <w:rFonts w:ascii="Times New Roman" w:hAnsi="Times New Roman" w:cs="Times New Roman" w:eastAsia="Times New Roman"/>
                <w:sz w:val="20"/>
              </w:rPr>
              <w:t xml:space="preserve">0.4967</w:t>
            </w:r>
          </w:p>
        </w:tc>
        <w:tc>
          <w:tcPr>
            <w:shd w:val="clear" w:color="auto" w:fill="E7E6E6"/>
            <w:vAlign w:val="center"/>
            <w:tcW w:type="dxa" w:w="2457"/>
          </w:tcPr>
          <w:p>
            <w:pPr>
              <w:pStyle w:val="Compact"/>
              <w:jc w:val="center"/>
            </w:pPr>
            <w:r>
              <w:rPr>
                <w:rFonts w:ascii="Times New Roman" w:hAnsi="Times New Roman" w:cs="Times New Roman" w:eastAsia="Times New Roman"/>
                <w:sz w:val="20"/>
              </w:rPr>
              <w:t xml:space="preserve">0.4795</w:t>
            </w:r>
          </w:p>
        </w:tc>
      </w:tr>
    </w:tbl>
    <w:p>
      <w:pPr>
        <w:pStyle w:val="Heading2"/>
        <w:jc w:val="both"/>
      </w:pPr>
      <w:r>
        <w:rPr>
          <w:rFonts w:ascii="Times New Roman" w:hAnsi="Times New Roman" w:cs="Times New Roman" w:eastAsia="Times New Roman"/>
        </w:rPr>
        <w:t xml:space="preserve">Table S12. Selphi 2 vs Selphi 1.5.3, per-MAF (1KG Phase 3, impute-only)</w:t>
      </w:r>
    </w:p>
    <w:p>
      <w:pPr>
        <w:pStyle w:val="FirstParagraph"/>
        <w:jc w:val="both"/>
      </w:pPr>
      <w:r>
        <w:rPr>
          <w:rFonts w:ascii="Times New Roman" w:hAnsi="Times New Roman" w:cs="Times New Roman" w:eastAsia="Times New Roman"/>
        </w:rPr>
        <w:t xml:space="preserve">Both tools imputed the identical phased target (801 held-out samples) against the identical 1000</w:t>
      </w:r>
      <w:r>
        <w:rPr>
          <w:rFonts w:ascii="Times New Roman" w:hAnsi="Times New Roman" w:cs="Times New Roman" w:eastAsia="Times New Roman"/>
        </w:rPr>
        <w:t xml:space="preserve"> </w:t>
      </w:r>
      <w:r>
        <w:rPr>
          <w:rFonts w:ascii="Times New Roman" w:hAnsi="Times New Roman" w:cs="Times New Roman" w:eastAsia="Times New Roman"/>
        </w:rPr>
        <w:t xml:space="preserve">Genomes Phase 3 panel, impute-only — the mode in which the original Selphi 1.5.3, which requires</w:t>
      </w:r>
      <w:r>
        <w:rPr>
          <w:rFonts w:ascii="Times New Roman" w:hAnsi="Times New Roman" w:cs="Times New Roman" w:eastAsia="Times New Roman"/>
        </w:rPr>
        <w:t xml:space="preserve"> </w:t>
      </w:r>
      <w:r>
        <w:rPr>
          <w:rFonts w:ascii="Times New Roman" w:hAnsi="Times New Roman" w:cs="Times New Roman" w:eastAsia="Times New Roman"/>
        </w:rPr>
        <w:t xml:space="preserve">pre-phased input, is run — and scored on imputed-only sites. This isolates the imputer from</w:t>
      </w:r>
      <w:r>
        <w:rPr>
          <w:rFonts w:ascii="Times New Roman" w:hAnsi="Times New Roman" w:cs="Times New Roman" w:eastAsia="Times New Roman"/>
        </w:rPr>
        <w:t xml:space="preserve"> </w:t>
      </w:r>
      <w:r>
        <w:rPr>
          <w:rFonts w:ascii="Times New Roman" w:hAnsi="Times New Roman" w:cs="Times New Roman" w:eastAsia="Times New Roman"/>
        </w:rPr>
        <w:t xml:space="preserve">phasing. Selphi 2 matches or exceeds Selphi 1.5.3 overall and at every bin from the rarest through</w:t>
      </w:r>
      <w:r>
        <w:rPr>
          <w:rFonts w:ascii="Times New Roman" w:hAnsi="Times New Roman" w:cs="Times New Roman" w:eastAsia="Times New Roman"/>
        </w:rPr>
        <w:t xml:space="preserve"> </w:t>
      </w:r>
      <w:r>
        <w:rPr>
          <w:rFonts w:ascii="Times New Roman" w:hAnsi="Times New Roman" w:cs="Times New Roman" w:eastAsia="Times New Roman"/>
        </w:rPr>
        <w:t xml:space="preserve">low frequency; at the most common bins the two are within ≈0.001 (seed-level noise). Bold marks the</w:t>
      </w:r>
      <w:r>
        <w:rPr>
          <w:rFonts w:ascii="Times New Roman" w:hAnsi="Times New Roman" w:cs="Times New Roman" w:eastAsia="Times New Roman"/>
        </w:rPr>
        <w:t xml:space="preserve"> </w:t>
      </w:r>
      <w:r>
        <w:rPr>
          <w:rFonts w:ascii="Times New Roman" w:hAnsi="Times New Roman" w:cs="Times New Roman" w:eastAsia="Times New Roman"/>
        </w:rPr>
        <w:t xml:space="preserve">higher value in each chromosome group.</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2368"/>
        <w:gridCol w:w="1748"/>
        <w:gridCol w:w="1748"/>
        <w:gridCol w:w="1748"/>
        <w:gridCol w:w="1748"/>
      </w:tblGrid>
      <w:tr>
        <w:trPr>
          <w:tblHeader w:val="on"/>
        </w:trPr>
        <w:tc>
          <w:tcPr>
            <w:shd w:val="clear" w:color="auto" w:fill="595959"/>
            <w:vAlign w:val="center"/>
            <w:tcW w:type="dxa" w:w="2368"/>
          </w:tcPr>
          <w:p>
            <w:pPr>
              <w:pStyle w:val="Compact"/>
              <w:jc w:val="center"/>
            </w:pPr>
            <w:r>
              <w:rPr>
                <w:rFonts w:ascii="Times New Roman" w:hAnsi="Times New Roman" w:cs="Times New Roman" w:eastAsia="Times New Roman"/>
                <w:b/>
                <w:color w:val="FFFFFF"/>
                <w:sz w:val="20"/>
              </w:rPr>
              <w:t xml:space="preserve">MAF</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chr22 Selphi 1.5.3</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2</w:t>
            </w:r>
          </w:p>
        </w:tc>
        <w:tc>
          <w:tcPr>
            <w:shd w:val="clear" w:color="auto" w:fill="595959"/>
            <w:vAlign w:val="center"/>
            <w:tcW w:type="dxa" w:w="1748"/>
          </w:tcPr>
          <w:p>
            <w:pPr>
              <w:pStyle w:val="Compact"/>
              <w:jc w:val="center"/>
            </w:pPr>
            <w:r>
              <w:rPr>
                <w:rFonts w:ascii="Times New Roman" w:hAnsi="Times New Roman" w:cs="Times New Roman" w:eastAsia="Times New Roman"/>
                <w:b/>
                <w:color w:val="FFFFFF"/>
                <w:sz w:val="20"/>
              </w:rPr>
              <w:t xml:space="preserve">chr1 Selphi 1.5.3</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0.05-0.1%</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0.2661</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0.2502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0.3453</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0.3321</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0.1-0.2%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0.3166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0.4014</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0.3910</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0.2-0.5%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0.4160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0.4064</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0.5019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0.4944</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0.5-1%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0.4986</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0.6077</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0.6036</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1-2%</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0.5702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0.5696</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0.6759</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0.6745</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2-5%</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0.6753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0.7521</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0.7528</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5-10%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0.7588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0.7598</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0.8485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0.8497</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10-20%</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0.7962</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0.7972</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0.8999</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0.9007</w:t>
            </w:r>
          </w:p>
        </w:tc>
      </w:tr>
      <w:tr>
        <w:tc>
          <w:tcPr>
            <w:shd w:val="clear" w:color="auto" w:fill="FFFFFF"/>
            <w:vAlign w:val="center"/>
            <w:tcW w:type="dxa" w:w="2368"/>
          </w:tcPr>
          <w:p>
            <w:pPr>
              <w:pStyle w:val="Compact"/>
              <w:jc w:val="center"/>
            </w:pPr>
            <w:r>
              <w:rPr>
                <w:rFonts w:ascii="Times New Roman" w:hAnsi="Times New Roman" w:cs="Times New Roman" w:eastAsia="Times New Roman"/>
                <w:sz w:val="20"/>
              </w:rPr>
              <w:t xml:space="preserve">20-50%</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0.8418</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0.8432</w:t>
            </w:r>
          </w:p>
        </w:tc>
        <w:tc>
          <w:tcPr>
            <w:shd w:val="clear" w:color="auto" w:fill="FFFFFF"/>
            <w:vAlign w:val="center"/>
            <w:tcW w:type="dxa" w:w="1748"/>
          </w:tcPr>
          <w:p>
            <w:pPr>
              <w:pStyle w:val="Compact"/>
              <w:jc w:val="center"/>
            </w:pPr>
            <w:r>
              <w:rPr>
                <w:rFonts w:ascii="Times New Roman" w:hAnsi="Times New Roman" w:cs="Times New Roman" w:eastAsia="Times New Roman"/>
                <w:sz w:val="20"/>
              </w:rPr>
              <w:t xml:space="preserve">0.9305</w:t>
            </w:r>
          </w:p>
        </w:tc>
        <w:tc>
          <w:tcPr>
            <w:shd w:val="clear" w:color="auto" w:fill="FFFFFF"/>
            <w:vAlign w:val="center"/>
            <w:tcW w:type="dxa" w:w="1748"/>
          </w:tcPr>
          <w:p>
            <w:pPr>
              <w:pStyle w:val="Compact"/>
              <w:jc w:val="center"/>
            </w:pPr>
            <w:r>
              <w:rPr>
                <w:rFonts w:ascii="Times New Roman" w:hAnsi="Times New Roman" w:cs="Times New Roman" w:eastAsia="Times New Roman"/>
                <w:b/>
                <w:bCs/>
                <w:sz w:val="20"/>
              </w:rPr>
              <w:t xml:space="preserve">0.9312</w:t>
            </w:r>
          </w:p>
        </w:tc>
      </w:tr>
      <w:tr>
        <w:tc>
          <w:tcPr>
            <w:shd w:val="clear" w:color="auto" w:fill="E7E6E6"/>
            <w:vAlign w:val="center"/>
            <w:tcW w:type="dxa" w:w="2368"/>
          </w:tcPr>
          <w:p>
            <w:pPr>
              <w:pStyle w:val="Compact"/>
              <w:jc w:val="center"/>
            </w:pPr>
            <w:r>
              <w:rPr>
                <w:rFonts w:ascii="Times New Roman" w:hAnsi="Times New Roman" w:cs="Times New Roman" w:eastAsia="Times New Roman"/>
                <w:sz w:val="20"/>
              </w:rPr>
              <w:t xml:space="preserve">OVERALL</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0.4776</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0.4703</w:t>
            </w:r>
          </w:p>
        </w:tc>
        <w:tc>
          <w:tcPr>
            <w:shd w:val="clear" w:color="auto" w:fill="E7E6E6"/>
            <w:vAlign w:val="center"/>
            <w:tcW w:type="dxa" w:w="1748"/>
          </w:tcPr>
          <w:p>
            <w:pPr>
              <w:pStyle w:val="Compact"/>
              <w:jc w:val="center"/>
            </w:pPr>
            <w:r>
              <w:rPr>
                <w:rFonts w:ascii="Times New Roman" w:hAnsi="Times New Roman" w:cs="Times New Roman" w:eastAsia="Times New Roman"/>
                <w:b/>
                <w:bCs/>
                <w:sz w:val="20"/>
              </w:rPr>
              <w:t xml:space="preserve">0.5643</w:t>
            </w:r>
          </w:p>
        </w:tc>
        <w:tc>
          <w:tcPr>
            <w:shd w:val="clear" w:color="auto" w:fill="E7E6E6"/>
            <w:vAlign w:val="center"/>
            <w:tcW w:type="dxa" w:w="1748"/>
          </w:tcPr>
          <w:p>
            <w:pPr>
              <w:pStyle w:val="Compact"/>
              <w:jc w:val="center"/>
            </w:pPr>
            <w:r>
              <w:rPr>
                <w:rFonts w:ascii="Times New Roman" w:hAnsi="Times New Roman" w:cs="Times New Roman" w:eastAsia="Times New Roman"/>
                <w:sz w:val="20"/>
              </w:rPr>
              <w:t xml:space="preserve">0.5581</w:t>
            </w:r>
          </w:p>
        </w:tc>
      </w:tr>
    </w:tbl>
    <w:p>
      <w:pPr>
        <w:pStyle w:val="Heading2"/>
        <w:jc w:val="both"/>
      </w:pPr>
      <w:r>
        <w:rPr>
          <w:rFonts w:ascii="Times New Roman" w:hAnsi="Times New Roman" w:cs="Times New Roman" w:eastAsia="Times New Roman"/>
        </w:rPr>
        <w:t xml:space="preserve">Table S13. Per-MAF imputation R² versus effective population size (1KG Phase 3 chr22)</w:t>
      </w:r>
    </w:p>
    <w:p>
      <w:pPr>
        <w:pStyle w:val="FirstParagraph"/>
        <w:jc w:val="both"/>
      </w:pPr>
      <w:r>
        <w:rPr>
          <w:rFonts w:ascii="Times New Roman" w:hAnsi="Times New Roman" w:cs="Times New Roman" w:eastAsia="Times New Roman"/>
        </w:rPr>
        <w:t xml:space="preserve">801 held-out samples, impute-only against the 4,802-haplotype panel, at a fixed base effective</w:t>
      </w:r>
      <w:r>
        <w:rPr>
          <w:rFonts w:ascii="Times New Roman" w:hAnsi="Times New Roman" w:cs="Times New Roman" w:eastAsia="Times New Roman"/>
        </w:rPr>
        <w:t xml:space="preserve"> </w:t>
      </w:r>
      <w:r>
        <w:rPr>
          <w:rFonts w:ascii="Times New Roman" w:hAnsi="Times New Roman" w:cs="Times New Roman" w:eastAsia="Times New Roman"/>
        </w:rPr>
        <w:t xml:space="preserve">population size (</w:t>
      </w:r>
      <w:r>
        <w:rPr>
          <w:rFonts w:ascii="Times New Roman" w:hAnsi="Times New Roman" w:cs="Times New Roman" w:eastAsia="Times New Roman"/>
          <w:rStyle w:val="VerbatimChar"/>
        </w:rPr>
        <w:t xml:space="preserve">--est-ne</w:t>
      </w:r>
      <w:r>
        <w:rPr>
          <w:rFonts w:ascii="Times New Roman" w:hAnsi="Times New Roman" w:cs="Times New Roman" w:eastAsia="Times New Roman"/>
        </w:rPr>
        <w:t xml:space="preserve">). The panel-adaptive formula selects Ne = 36.4 × n_ref ≈ 175,000 for</w:t>
      </w:r>
      <w:r>
        <w:rPr>
          <w:rFonts w:ascii="Times New Roman" w:hAnsi="Times New Roman" w:cs="Times New Roman" w:eastAsia="Times New Roman"/>
        </w:rPr>
        <w:t xml:space="preserve"> </w:t>
      </w:r>
      <w:r>
        <w:rPr>
          <w:rFonts w:ascii="Times New Roman" w:hAnsi="Times New Roman" w:cs="Times New Roman" w:eastAsia="Times New Roman"/>
        </w:rPr>
        <w:t xml:space="preserve">this panel (the "auto" row, byte-identical to the Ne = 175,000 row). Overall R² is maximised at</w:t>
      </w:r>
      <w:r>
        <w:rPr>
          <w:rFonts w:ascii="Times New Roman" w:hAnsi="Times New Roman" w:cs="Times New Roman" w:eastAsia="Times New Roman"/>
        </w:rPr>
        <w:t xml:space="preserve"> </w:t>
      </w:r>
      <w:r>
        <w:rPr>
          <w:rFonts w:ascii="Times New Roman" w:hAnsi="Times New Roman" w:cs="Times New Roman" w:eastAsia="Times New Roman"/>
        </w:rPr>
        <w:t xml:space="preserve">the formula's value; rare variants favour a lower Ne (≈50,000) and common variants a higher one</w:t>
      </w:r>
      <w:r>
        <w:rPr>
          <w:rFonts w:ascii="Times New Roman" w:hAnsi="Times New Roman" w:cs="Times New Roman" w:eastAsia="Times New Roman"/>
        </w:rPr>
        <w:t xml:space="preserve"> </w:t>
      </w:r>
      <w:r>
        <w:rPr>
          <w:rFonts w:ascii="Times New Roman" w:hAnsi="Times New Roman" w:cs="Times New Roman" w:eastAsia="Times New Roman"/>
        </w:rPr>
        <w:t xml:space="preserve">(≈350,000), so the formula's choice balances the rare-common tradeoff. Bold marks each column's</w:t>
      </w:r>
      <w:r>
        <w:rPr>
          <w:rFonts w:ascii="Times New Roman" w:hAnsi="Times New Roman" w:cs="Times New Roman" w:eastAsia="Times New Roman"/>
        </w:rPr>
        <w:t xml:space="preserve"> </w:t>
      </w:r>
      <w:r>
        <w:rPr>
          <w:rFonts w:ascii="Times New Roman" w:hAnsi="Times New Roman" w:cs="Times New Roman" w:eastAsia="Times New Roman"/>
        </w:rPr>
        <w:t xml:space="preserve">maximum.</w:t>
      </w:r>
    </w:p>
    <w:tbl>
      <w:tblPr>
        <w:tblStyle w:val="Table"/>
        <w:jc w:val="center"/>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W w:type="dxa" w:w="9360"/>
      </w:tblPr>
      <w:tblGrid>
        <w:gridCol w:w="4280"/>
        <w:gridCol w:w="1205"/>
        <w:gridCol w:w="890"/>
        <w:gridCol w:w="890"/>
        <w:gridCol w:w="1100"/>
        <w:gridCol w:w="995"/>
      </w:tblGrid>
      <w:tr>
        <w:trPr>
          <w:tblHeader w:val="on"/>
        </w:trPr>
        <w:tc>
          <w:tcPr>
            <w:shd w:val="clear" w:color="auto" w:fill="595959"/>
            <w:vAlign w:val="center"/>
            <w:tcW w:type="dxa" w:w="4280"/>
          </w:tcPr>
          <w:p>
            <w:pPr>
              <w:pStyle w:val="Compact"/>
              <w:jc w:val="center"/>
            </w:pPr>
            <w:r>
              <w:rPr>
                <w:rFonts w:ascii="Times New Roman" w:hAnsi="Times New Roman" w:cs="Times New Roman" w:eastAsia="Times New Roman"/>
                <w:b/>
                <w:color w:val="FFFFFF"/>
                <w:sz w:val="20"/>
              </w:rPr>
              <w:t xml:space="preserve">Ne</w:t>
            </w:r>
          </w:p>
        </w:tc>
        <w:tc>
          <w:tcPr>
            <w:shd w:val="clear" w:color="auto" w:fill="595959"/>
            <w:vAlign w:val="center"/>
            <w:tcW w:type="dxa" w:w="1205"/>
          </w:tcPr>
          <w:p>
            <w:pPr>
              <w:pStyle w:val="Compact"/>
              <w:jc w:val="center"/>
            </w:pPr>
            <w:r>
              <w:rPr>
                <w:rFonts w:ascii="Times New Roman" w:hAnsi="Times New Roman" w:cs="Times New Roman" w:eastAsia="Times New Roman"/>
                <w:b/>
                <w:color w:val="FFFFFF"/>
                <w:sz w:val="20"/>
              </w:rPr>
              <w:t xml:space="preserve">0.05-0.1% (rare)</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0.5-1%</w:t>
            </w:r>
          </w:p>
        </w:tc>
        <w:tc>
          <w:tcPr>
            <w:shd w:val="clear" w:color="auto" w:fill="595959"/>
            <w:vAlign w:val="center"/>
            <w:tcW w:type="dxa" w:w="890"/>
          </w:tcPr>
          <w:p>
            <w:pPr>
              <w:pStyle w:val="Compact"/>
              <w:jc w:val="center"/>
            </w:pPr>
            <w:r>
              <w:rPr>
                <w:rFonts w:ascii="Times New Roman" w:hAnsi="Times New Roman" w:cs="Times New Roman" w:eastAsia="Times New Roman"/>
                <w:b/>
                <w:color w:val="FFFFFF"/>
                <w:sz w:val="20"/>
              </w:rPr>
              <w:t xml:space="preserve">2-5%</w:t>
            </w:r>
          </w:p>
        </w:tc>
        <w:tc>
          <w:tcPr>
            <w:shd w:val="clear" w:color="auto" w:fill="595959"/>
            <w:vAlign w:val="center"/>
            <w:tcW w:type="dxa" w:w="1100"/>
          </w:tcPr>
          <w:p>
            <w:pPr>
              <w:pStyle w:val="Compact"/>
              <w:jc w:val="center"/>
            </w:pPr>
            <w:r>
              <w:rPr>
                <w:rFonts w:ascii="Times New Roman" w:hAnsi="Times New Roman" w:cs="Times New Roman" w:eastAsia="Times New Roman"/>
                <w:b/>
                <w:color w:val="FFFFFF"/>
                <w:sz w:val="20"/>
              </w:rPr>
              <w:t xml:space="preserve">20-50% (common)</w:t>
            </w:r>
          </w:p>
        </w:tc>
        <w:tc>
          <w:tcPr>
            <w:shd w:val="clear" w:color="auto" w:fill="595959"/>
            <w:vAlign w:val="center"/>
            <w:tcW w:type="dxa" w:w="995"/>
          </w:tcPr>
          <w:p>
            <w:pPr>
              <w:pStyle w:val="Compact"/>
              <w:jc w:val="center"/>
            </w:pPr>
            <w:r>
              <w:rPr>
                <w:rFonts w:ascii="Times New Roman" w:hAnsi="Times New Roman" w:cs="Times New Roman" w:eastAsia="Times New Roman"/>
                <w:b/>
                <w:color w:val="FFFFFF"/>
                <w:sz w:val="20"/>
              </w:rPr>
              <w:t xml:space="preserve">OVERALL</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20,000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0.4884</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0.6603</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0.8312</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0.4696</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50,000</w:t>
            </w:r>
          </w:p>
        </w:tc>
        <w:tc>
          <w:tcPr>
            <w:shd w:val="clear" w:color="auto" w:fill="E7E6E6"/>
            <w:vAlign w:val="center"/>
            <w:tcW w:type="dxa" w:w="1205"/>
          </w:tcPr>
          <w:p>
            <w:pPr>
              <w:pStyle w:val="Compact"/>
              <w:jc w:val="center"/>
            </w:pPr>
            <w:r>
              <w:rPr>
                <w:rFonts w:ascii="Times New Roman" w:hAnsi="Times New Roman" w:cs="Times New Roman" w:eastAsia="Times New Roman"/>
                <w:b/>
                <w:bCs/>
                <w:sz w:val="20"/>
              </w:rPr>
              <w:t xml:space="preserve">0.2696</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0.4959</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0.6671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0.8361</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0.4742</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0.2688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0.5009</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0.6719</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0.8396</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0.4769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175,000 (formula / auto)</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0.2661</w:t>
            </w:r>
          </w:p>
        </w:tc>
        <w:tc>
          <w:tcPr>
            <w:shd w:val="clear" w:color="auto" w:fill="E7E6E6"/>
            <w:vAlign w:val="center"/>
            <w:tcW w:type="dxa" w:w="890"/>
          </w:tcPr>
          <w:p>
            <w:pPr>
              <w:pStyle w:val="Compact"/>
              <w:jc w:val="center"/>
            </w:pPr>
            <w:r>
              <w:rPr>
                <w:rFonts w:ascii="Times New Roman" w:hAnsi="Times New Roman" w:cs="Times New Roman" w:eastAsia="Times New Roman"/>
                <w:b/>
                <w:bCs/>
                <w:sz w:val="20"/>
              </w:rPr>
              <w:t xml:space="preserve">0.5033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0.6749</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0.8418</w:t>
            </w:r>
          </w:p>
        </w:tc>
        <w:tc>
          <w:tcPr>
            <w:shd w:val="clear" w:color="auto" w:fill="E7E6E6"/>
            <w:vAlign w:val="center"/>
            <w:tcW w:type="dxa" w:w="995"/>
          </w:tcPr>
          <w:p>
            <w:pPr>
              <w:pStyle w:val="Compact"/>
              <w:jc w:val="center"/>
            </w:pPr>
            <w:r>
              <w:rPr>
                <w:rFonts w:ascii="Times New Roman" w:hAnsi="Times New Roman" w:cs="Times New Roman" w:eastAsia="Times New Roman"/>
                <w:b/>
                <w:bCs/>
                <w:sz w:val="20"/>
              </w:rPr>
              <w:t xml:space="preserve">0.4776</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350,000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0.2587</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0.5026</w:t>
            </w:r>
          </w:p>
        </w:tc>
        <w:tc>
          <w:tcPr>
            <w:shd w:val="clear" w:color="auto" w:fill="FFFFFF"/>
            <w:vAlign w:val="center"/>
            <w:tcW w:type="dxa" w:w="890"/>
          </w:tcPr>
          <w:p>
            <w:pPr>
              <w:pStyle w:val="Compact"/>
              <w:jc w:val="center"/>
            </w:pPr>
            <w:r>
              <w:rPr>
                <w:rFonts w:ascii="Times New Roman" w:hAnsi="Times New Roman" w:cs="Times New Roman" w:eastAsia="Times New Roman"/>
                <w:b/>
                <w:bCs/>
                <w:sz w:val="20"/>
              </w:rPr>
              <w:t xml:space="preserve">0.6762</w:t>
            </w:r>
          </w:p>
        </w:tc>
        <w:tc>
          <w:tcPr>
            <w:shd w:val="clear" w:color="auto" w:fill="FFFFFF"/>
            <w:vAlign w:val="center"/>
            <w:tcW w:type="dxa" w:w="1100"/>
          </w:tcPr>
          <w:p>
            <w:pPr>
              <w:pStyle w:val="Compact"/>
              <w:jc w:val="center"/>
            </w:pPr>
            <w:r>
              <w:rPr>
                <w:rFonts w:ascii="Times New Roman" w:hAnsi="Times New Roman" w:cs="Times New Roman" w:eastAsia="Times New Roman"/>
                <w:b/>
                <w:bCs/>
                <w:sz w:val="20"/>
              </w:rPr>
              <w:t xml:space="preserve">0.8430</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0.4749</w:t>
            </w:r>
          </w:p>
        </w:tc>
      </w:tr>
      <w:tr>
        <w:tc>
          <w:tcPr>
            <w:shd w:val="clear" w:color="auto" w:fill="E7E6E6"/>
            <w:vAlign w:val="center"/>
            <w:tcW w:type="dxa" w:w="4280"/>
          </w:tcPr>
          <w:p>
            <w:pPr>
              <w:pStyle w:val="Compact"/>
              <w:jc w:val="left"/>
            </w:pPr>
            <w:r>
              <w:rPr>
                <w:rFonts w:ascii="Times New Roman" w:hAnsi="Times New Roman" w:cs="Times New Roman" w:eastAsia="Times New Roman"/>
                <w:sz w:val="20"/>
              </w:rPr>
              <w:t xml:space="preserve">700,000</w:t>
            </w:r>
          </w:p>
        </w:tc>
        <w:tc>
          <w:tcPr>
            <w:shd w:val="clear" w:color="auto" w:fill="E7E6E6"/>
            <w:vAlign w:val="center"/>
            <w:tcW w:type="dxa" w:w="1205"/>
          </w:tcPr>
          <w:p>
            <w:pPr>
              <w:pStyle w:val="Compact"/>
              <w:jc w:val="center"/>
            </w:pPr>
            <w:r>
              <w:rPr>
                <w:rFonts w:ascii="Times New Roman" w:hAnsi="Times New Roman" w:cs="Times New Roman" w:eastAsia="Times New Roman"/>
                <w:sz w:val="20"/>
              </w:rPr>
              <w:t xml:space="preserve">0.2452</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0.4963</w:t>
            </w:r>
          </w:p>
        </w:tc>
        <w:tc>
          <w:tcPr>
            <w:shd w:val="clear" w:color="auto" w:fill="E7E6E6"/>
            <w:vAlign w:val="center"/>
            <w:tcW w:type="dxa" w:w="890"/>
          </w:tcPr>
          <w:p>
            <w:pPr>
              <w:pStyle w:val="Compact"/>
              <w:jc w:val="center"/>
            </w:pPr>
            <w:r>
              <w:rPr>
                <w:rFonts w:ascii="Times New Roman" w:hAnsi="Times New Roman" w:cs="Times New Roman" w:eastAsia="Times New Roman"/>
                <w:sz w:val="20"/>
              </w:rPr>
              <w:t xml:space="preserve">0.6741</w:t>
            </w:r>
          </w:p>
        </w:tc>
        <w:tc>
          <w:tcPr>
            <w:shd w:val="clear" w:color="auto" w:fill="E7E6E6"/>
            <w:vAlign w:val="center"/>
            <w:tcW w:type="dxa" w:w="1100"/>
          </w:tcPr>
          <w:p>
            <w:pPr>
              <w:pStyle w:val="Compact"/>
              <w:jc w:val="center"/>
            </w:pPr>
            <w:r>
              <w:rPr>
                <w:rFonts w:ascii="Times New Roman" w:hAnsi="Times New Roman" w:cs="Times New Roman" w:eastAsia="Times New Roman"/>
                <w:sz w:val="20"/>
              </w:rPr>
              <w:t xml:space="preserve">0.8424</w:t>
            </w:r>
          </w:p>
        </w:tc>
        <w:tc>
          <w:tcPr>
            <w:shd w:val="clear" w:color="auto" w:fill="E7E6E6"/>
            <w:vAlign w:val="center"/>
            <w:tcW w:type="dxa" w:w="995"/>
          </w:tcPr>
          <w:p>
            <w:pPr>
              <w:pStyle w:val="Compact"/>
              <w:jc w:val="center"/>
            </w:pPr>
            <w:r>
              <w:rPr>
                <w:rFonts w:ascii="Times New Roman" w:hAnsi="Times New Roman" w:cs="Times New Roman" w:eastAsia="Times New Roman"/>
                <w:sz w:val="20"/>
              </w:rPr>
              <w:t xml:space="preserve">0.4670</w:t>
            </w:r>
          </w:p>
        </w:tc>
      </w:tr>
      <w:tr>
        <w:tc>
          <w:tcPr>
            <w:shd w:val="clear" w:color="auto" w:fill="FFFFFF"/>
            <w:vAlign w:val="center"/>
            <w:tcW w:type="dxa" w:w="4280"/>
          </w:tcPr>
          <w:p>
            <w:pPr>
              <w:pStyle w:val="Compact"/>
              <w:jc w:val="left"/>
            </w:pPr>
            <w:r>
              <w:rPr>
                <w:rFonts w:ascii="Times New Roman" w:hAnsi="Times New Roman" w:cs="Times New Roman" w:eastAsia="Times New Roman"/>
                <w:sz w:val="20"/>
              </w:rPr>
              <w:t xml:space="preserve">1,400,000</w:t>
            </w:r>
          </w:p>
        </w:tc>
        <w:tc>
          <w:tcPr>
            <w:shd w:val="clear" w:color="auto" w:fill="FFFFFF"/>
            <w:vAlign w:val="center"/>
            <w:tcW w:type="dxa" w:w="1205"/>
          </w:tcPr>
          <w:p>
            <w:pPr>
              <w:pStyle w:val="Compact"/>
              <w:jc w:val="center"/>
            </w:pPr>
            <w:r>
              <w:rPr>
                <w:rFonts w:ascii="Times New Roman" w:hAnsi="Times New Roman" w:cs="Times New Roman" w:eastAsia="Times New Roman"/>
                <w:sz w:val="20"/>
              </w:rPr>
              <w:t xml:space="preserve">0.2282</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0.4858</w:t>
            </w:r>
          </w:p>
        </w:tc>
        <w:tc>
          <w:tcPr>
            <w:shd w:val="clear" w:color="auto" w:fill="FFFFFF"/>
            <w:vAlign w:val="center"/>
            <w:tcW w:type="dxa" w:w="890"/>
          </w:tcPr>
          <w:p>
            <w:pPr>
              <w:pStyle w:val="Compact"/>
              <w:jc w:val="center"/>
            </w:pPr>
            <w:r>
              <w:rPr>
                <w:rFonts w:ascii="Times New Roman" w:hAnsi="Times New Roman" w:cs="Times New Roman" w:eastAsia="Times New Roman"/>
                <w:sz w:val="20"/>
              </w:rPr>
              <w:t xml:space="preserve">0.6690</w:t>
            </w:r>
          </w:p>
        </w:tc>
        <w:tc>
          <w:tcPr>
            <w:shd w:val="clear" w:color="auto" w:fill="FFFFFF"/>
            <w:vAlign w:val="center"/>
            <w:tcW w:type="dxa" w:w="1100"/>
          </w:tcPr>
          <w:p>
            <w:pPr>
              <w:pStyle w:val="Compact"/>
              <w:jc w:val="center"/>
            </w:pPr>
            <w:r>
              <w:rPr>
                <w:rFonts w:ascii="Times New Roman" w:hAnsi="Times New Roman" w:cs="Times New Roman" w:eastAsia="Times New Roman"/>
                <w:sz w:val="20"/>
              </w:rPr>
              <w:t xml:space="preserve">0.8403</w:t>
            </w:r>
          </w:p>
        </w:tc>
        <w:tc>
          <w:tcPr>
            <w:shd w:val="clear" w:color="auto" w:fill="FFFFFF"/>
            <w:vAlign w:val="center"/>
            <w:tcW w:type="dxa" w:w="995"/>
          </w:tcPr>
          <w:p>
            <w:pPr>
              <w:pStyle w:val="Compact"/>
              <w:jc w:val="center"/>
            </w:pPr>
            <w:r>
              <w:rPr>
                <w:rFonts w:ascii="Times New Roman" w:hAnsi="Times New Roman" w:cs="Times New Roman" w:eastAsia="Times New Roman"/>
                <w:sz w:val="20"/>
              </w:rPr>
              <w:t xml:space="preserve">0.4554</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ascii="Times New Roman" w:hAnsi="Times New Roman" w:cs="Times New Roman" w:eastAsia="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rPr>
  </w:style>
  <w:style w:styleId="BodyText" w:type="paragraph">
    <w:name w:val="Body Text"/>
    <w:basedOn w:val="Normal"/>
    <w:link w:val="BodyTextChar"/>
    <w:qFormat/>
    <w:pPr>
      <w:spacing w:after="180" w:before="180"/>
    </w:pPr>
    <w:rPr>
      <w:rFonts w:ascii="Times New Roman" w:hAnsi="Times New Roman" w:cs="Times New Roman" w:eastAsia="Times New Roman"/>
    </w:rPr>
  </w:style>
  <w:style w:customStyle="1" w:styleId="FirstParagraph" w:type="paragraph">
    <w:name w:val="First Paragraph"/>
    <w:basedOn w:val="BodyText"/>
    <w:next w:val="BodyText"/>
    <w:qFormat/>
    <w:rPr>
      <w:rFonts w:ascii="Times New Roman" w:hAnsi="Times New Roman" w:cs="Times New Roman" w:eastAsia="Times New Roman"/>
    </w:rPr>
  </w:style>
  <w:style w:customStyle="1" w:styleId="Compact" w:type="paragraph">
    <w:name w:val="Compact"/>
    <w:basedOn w:val="BodyText"/>
    <w:qFormat/>
    <w:pPr>
      <w:spacing w:after="36" w:before="36"/>
    </w:pPr>
    <w:rPr>
      <w:rFonts w:ascii="Times New Roman" w:hAnsi="Times New Roman" w:cs="Times New Roman" w:eastAsia="Times New Roman"/>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Times New Roman" w:eastAsia="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s="Times New Roman" w:eastAsia="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s="Times New Roman" w:eastAsia="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color w:val="007020"/>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b/>
      <w:color w:val="008000"/>
    </w:rPr>
  </w:style>
  <w:style w:type="character" w:customStyle="1" w:styleId="CommentTok">
    <w:name w:val="CommentTok"/>
    <w:basedOn w:val="VerbatimChar"/>
    <w:rPr>
      <w:rFonts w:ascii="Times New Roman" w:hAnsi="Times New Roman" w:cs="Times New Roman" w:eastAsia="Times New Roman"/>
      <w:i/>
      <w:color w:val="60a0b0"/>
    </w:rPr>
  </w:style>
  <w:style w:type="character" w:customStyle="1" w:styleId="DocumentationTok">
    <w:name w:val="DocumentationTok"/>
    <w:basedOn w:val="VerbatimChar"/>
    <w:rPr>
      <w:rFonts w:ascii="Times New Roman" w:hAnsi="Times New Roman" w:cs="Times New Roman" w:eastAsia="Times New Roman"/>
      <w:i/>
      <w:color w:val="ba2121"/>
    </w:rPr>
  </w:style>
  <w:style w:type="character" w:customStyle="1" w:styleId="AnnotationTok">
    <w:name w:val="AnnotationTok"/>
    <w:basedOn w:val="VerbatimChar"/>
    <w:rPr>
      <w:rFonts w:ascii="Times New Roman" w:hAnsi="Times New Roman" w:cs="Times New Roman" w:eastAsia="Times New Roman"/>
      <w:b/>
      <w:i/>
      <w:color w:val="60a0b0"/>
    </w:rPr>
  </w:style>
  <w:style w:type="character" w:customStyle="1" w:styleId="CommentVarTok">
    <w:name w:val="CommentVarTok"/>
    <w:basedOn w:val="VerbatimChar"/>
    <w:rPr>
      <w:rFonts w:ascii="Times New Roman" w:hAnsi="Times New Roman" w:cs="Times New Roman" w:eastAsia="Times New Roman"/>
      <w:b/>
      <w:i/>
      <w:color w:val="60a0b0"/>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b/>
      <w:color w:val="007020"/>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color w:val="60a0b0"/>
    </w:rPr>
  </w:style>
  <w:style w:type="character" w:customStyle="1" w:styleId="WarningTok">
    <w:name w:val="WarningTok"/>
    <w:basedOn w:val="VerbatimChar"/>
    <w:rPr>
      <w:rFonts w:ascii="Times New Roman" w:hAnsi="Times New Roman" w:cs="Times New Roman" w:eastAsia="Times New Roman"/>
      <w:b/>
      <w:i/>
      <w:color w:val="60a0b0"/>
    </w:rPr>
  </w:style>
  <w:style w:type="character" w:customStyle="1" w:styleId="AlertTok">
    <w:name w:val="AlertTok"/>
    <w:basedOn w:val="VerbatimChar"/>
    <w:rPr>
      <w:rFonts w:ascii="Times New Roman" w:hAnsi="Times New Roman" w:cs="Times New Roman" w:eastAsia="Times New Roman"/>
      <w:b/>
      <w:color w:val="ff0000"/>
    </w:rPr>
  </w:style>
  <w:style w:type="character" w:customStyle="1" w:styleId="ErrorTok">
    <w:name w:val="ErrorTok"/>
    <w:basedOn w:val="VerbatimChar"/>
    <w:rPr>
      <w:rFonts w:ascii="Times New Roman" w:hAnsi="Times New Roman" w:cs="Times New Roman" w:eastAsia="Times New Roman"/>
      <w:b/>
      <w:color w:val="ff0000"/>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31" Type="http://schemas.openxmlformats.org/officeDocument/2006/relationships/image" Target="media/rId31.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2026-07-10T07:21:29Z</dcterms:created>
  <dcterms:modified xsi:type="dcterms:W3CDTF">2026-07-10T07:21:29Z</dcterms:modified>
</cp:coreProperties>
</file>

<file path=docProps/custom.xml><?xml version="1.0" encoding="utf-8"?>
<Properties xmlns="http://schemas.openxmlformats.org/officeDocument/2006/custom-properties" xmlns:vt="http://schemas.openxmlformats.org/officeDocument/2006/docPropsVTypes"/>
</file>