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the current release measures 0.9609;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genotype graphs, inverting the Li-Stephens relation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w:t>
      </w:r>
      <w:r>
        <w:rPr>
          <w:rFonts w:ascii="Times New Roman" w:hAnsi="Times New Roman" w:cs="Times New Roman" w:eastAsia="Times New Roman"/>
        </w:rPr>
        <w:t xml:space="preserve"> </w:t>
      </w:r>
      <m:oMath>
        <m:r>
          <m:t>d</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it is</w:t>
      </w:r>
      <w:r>
        <w:rPr>
          <w:rFonts w:ascii="Times New Roman" w:hAnsi="Times New Roman" w:cs="Times New Roman" w:eastAsia="Times New Roman"/>
        </w:rP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a floor of 1,000, so the per-cM switch rate is held constant for panels below 12,904 haplotypes and decays as</w:t>
      </w:r>
      <w:r>
        <w:rPr>
          <w:rFonts w:ascii="Times New Roman" w:hAnsi="Times New Roman" w:cs="Times New Roman" w:eastAsia="Times New Roman"/>
        </w:rPr>
        <w:t xml:space="preserve"> </w:t>
      </w:r>
      <m:oMath>
        <m:r>
          <m:t>1</m:t>
        </m:r>
        <m:r>
          <m:rPr>
            <m:sty m:val="p"/>
          </m:rPr>
          <m:t>/</m:t>
        </m:r>
        <m:sSub>
          <m:e>
            <m:r>
              <m:t>n</m:t>
            </m:r>
          </m:e>
          <m:sub>
            <m:r>
              <m:rPr>
                <m:nor/>
                <m:sty m:val="p"/>
              </m:rPr>
              <m:t>haps</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above. An update is applied only when it moves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by more than 5%.</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whose rare pass conditions on the cohort only.</w:t>
      </w:r>
    </w:p>
    <w:p>
      <w:pPr>
        <w:pStyle w:val="BodyText"/>
        <w:jc w:val="both"/>
      </w:pPr>
      <w:r>
        <w:rPr>
          <w:rFonts w:ascii="Times New Roman" w:hAnsi="Times New Roman" w:cs="Times New Roman" w:eastAsia="Times New Roman"/>
        </w:rPr>
        <w:t xml:space="preserve">The algorithm proceeds in three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 recent allele sits on the more recently diverged haplotype, obtained here from PBWT divergence rather than from a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linear ramp in MAF between the two thresholds. When the haploid phasing engine is used, the per-window</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it estimates during phasing replaces this scheme in the imputation HMM unless disabled; with the default diploid engine the MAF-adaptive scheme applies as written.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an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0.4884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0.9164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0.5777 (Selphi 2) versus 0.5640 (Beagle 5.5), and per-sample mean 0.9567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on chromosome 22, and exceeds Beagle 5.5 in every bin on chromosome 1, the rarest bin (MAF 0.05-0.1%) included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(Selphi 2, the original Selphi 1.5.3, Beagle 5.5, Minimac4 and IMPUTE5)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0.5814,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the mode in which it is actually run,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0.5963 (per-sample mean 0.9557) versus Beagle 5.5's 0.5826 (0.9496), both measured in one session on identical targets, panel and evaluator. Selphi 2 leads in every MAF bin, the rarest included (+0.0031). The margin its internal phasing adds is concentrated at low frequency: over the imputation-only arm it is +0.0149 overall and +0.0243 at the rarest bin.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0.4782 versus 0.4703 and 0.5649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0.2836</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0.3669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0.3324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0.4227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0.4300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0.5180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0.5130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0.6178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0.5767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0.6832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0.6783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0.7608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0.8513</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0.7971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0.4884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0.5777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In full-pipeline mode Selphi 2 leads at every frequency, the rarest bin included (chr22 +0.0036, chromosome 1 +0.0031 over Beagle 5.5), and its margin grows with allele frequency (chr22 20-50% MAF: +0.0160 over Beagle 5.5, +0.0215 over Minimac4, +0.0175 over IMPUTE5). The rarest bin is nonetheless where the two methods come closest, and in the imputation-only arm, where Selphi 2 is handed an external phasing instead of producing its own, Beagle 5.5 still leads it there (Supplementary Tables S1 and S9). That the sign differs between the two arms, with the imputer held fixed, points to the phasing stage rather than the imputation stage as the source, plausibly because a single-carrier haplotype is recovered at these frequencies only if the target's own phase is correct around it; we have not isolated the mechanism directly. At common frequencies the advantage comes from the other end of the pipeline, the long-range, large-window PBWT scan retaining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+0.0289).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0.9017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+0.0253; broken down by self-reported ancestry, Selphi 2 leads Beagle 5.5 in all four MESA groups (+0.023 to +0.037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(0.6210):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0.5916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0.6453, a gain of +0.0536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0.5273</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0.6220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+0.0948</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0.5486</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0.6143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+0.0657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0.6097</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+0.0422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0.6369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0.6684</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+0.0315</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0.6656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0.6788</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+0.0132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0.6731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0.6778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+0.0047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0.5916</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0.6453</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+0.0536</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+0.153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+0.121 for African-American samples, versus +0.105 for European-ancestry (White) samples, and the gap widens across the low-frequency range (at 0.2-0.5% MAF, +0.110 and +0.070 versus +0.047). Aggregated over all variants the recovery is +0.100 (Hispanic), +0.073 (African-American), and +0.045 (White); the comparatively homogeneous East-Asian (Chinese-American) group, already well served by a small candidate set, gains essentially nothing (overall -0.002, and marginally negative from 0.5% MAF upward,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+0.1206</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+0.1529</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+0.1049</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+0.0093</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+0.0973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+0.1362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+0.0734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+0.0097</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+0.0702</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+0.1095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+0.0471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+0.0031</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+0.0513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+0.0830</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+0.0298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-0.0007</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+0.0416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+0.0573</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+0.0185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-0.0045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+0.0331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+0.0356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+0.0090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+0.0256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+0.0201</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+0.0080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+0.0192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+0.0142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+0.0064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+0.0127</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+0.0092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+0.0038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-0.0039</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+0.1003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+0.0453</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-0.0021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+0.0105, Middle-Eastern +0.0066; African +0.0129, East-Asian +0.0079;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+0.0072, 95% CI [+0.0070, +0.0075]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(0.5372 versus 0.5252) and at every MAF bin above 0.1%. At the rarest bin (MAF 0.05-0.1%) the two are now level, Beagle ahead by 0.0004, the same place the two methods converge on the in-panel 1000 Genomes benchmark.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+0.0105</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+0.0129</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+0.0079</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0.9472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+0.0048</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0.9400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+0.0072</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(0.5814)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0.9763 (concordance 0.9803) versus Beagle 5.5 (build 03 Oct 2025) 0.9732 (concordance 0.9817) on identical input; on chr1 the order reverses, 0.9817 versus 0.9834, so the two tools are within 0.003 of each other in both directions on this well-saturated panel. Against Selphi 1.5.3, measured in May 2026 on the same six samples with an earlier construction of the chip input and not re-run, Selphi 2 was tied within run-to-run variation (chr21 0.9704 versus 0.9702; chr1 0.9815 versus 0.9815).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6.9 s with peak memory 3.2 GB; Beagle 5.5 takes 6.7 s with peak 7.0 GB; Selphi 1.5.3 took 112.8 s with peak 7.1 GB in the May 2026 measurement. On the larger chr1, the speed-up over Selphi 1.5.3 grows 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(40.1 s for Selphi 2 versus 1923 s for Selphi 1.5.3), with Selphi 2 using less than half the memory of Beagle 5.5 (7.2 GB versus 16.8 GB); on this small six-sample input Beagle 5.5 is the faster of the two on chr1 (24.9 s), where Selphi 2's wall time is dominated by writing the 16.3-million-variant output. Selphi 2 thus matches the accuracy of the established imputation tools on leak-free truth while reducing runtime by an order of magnitude relative to Selphi 1.5.3, at wall times comparable to Beagle 5.5 and less than half its memory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0.9609,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the current release measures 0.9609.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0.7939</w:t>
            </w:r>
          </w:p>
        </w:tc>
      </w:tr>
    </w:tbl>
    <w:p>
      <w:pPr>
        <w:pStyle w:val="BodyText"/>
        <w:jc w:val="both"/>
      </w:pPr>
      <w:r>
        <w:rPr>
          <w:rFonts w:ascii="Times New Roman" w:hAnsi="Times New Roman" w:cs="Times New Roman" w:eastAsia="Times New Roman"/>
        </w:rPr>
        <w:t xml:space="preserve">Beyond accuracy, Selphi 2's default diploid engine is faster and far leaner than Beagle 5.5 on this benchmark. Imputing the six-sample cohort against the 75,552-haplotype panel on a single 16-thread node (one chromosome at a time), Selphi 2 completes all 22 autosomes in 19.0 minutes versus Beagle's 36.4 minutes (1.9</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8.5 GB versus Beagle's roughly 40 GB (about 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19.0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8.5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(2.528%), followed by Beagle 5.5 (2.548%), Selphi 2's haploid engine (2.569%), and SHAPEIT5 full pipeline (2.607%). On chromosome 1, the ranking is Beagle 5.5 (1.865%), Selphi 2 haploid (1.876%), Selphi 2 diploid (1.879%), and SHAPEIT5 (1.929%). Selphi 2's diploid engine is effectively tied with Beagle 5.5 across both chromosomes (|</w:t>
      </w:r>
      <m:oMath>
        <m:r>
          <m:rPr>
            <m:sty m:val="p"/>
          </m:rPr>
          <m:t>Δ</m:t>
        </m:r>
      </m:oMath>
      <w:r>
        <w:rPr>
          <w:rFonts w:ascii="Times New Roman" w:hAnsi="Times New Roman" w:cs="Times New Roman" w:eastAsia="Times New Roman"/>
        </w:rPr>
        <w:t xml:space="preserve">| ≤ 0.020 percentage points; three further seeds on chr22 span 2.527-2.541%) and consistently better than SHAPEIT5 (by 0.050-0.079 percentage points). Selphi 2 diploid is also the fastest phaser of the four on both chromosomes, completing chr22 and chr1 in 0.40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with 4-6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SER is the mean of the per-trio switch-error rates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67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5.2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343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13.7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169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30.3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857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52.8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348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1,559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65.7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118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5.6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611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29.6 GB</w:t>
            </w:r>
          </w:p>
        </w:tc>
      </w:tr>
    </w:tbl>
    <w:p>
      <w:pPr>
        <w:pStyle w:val="BodyText"/>
        <w:jc w:val="both"/>
      </w:pPr>
      <w:r>
        <w:rPr>
          <w:rFonts w:ascii="Times New Roman" w:hAnsi="Times New Roman" w:cs="Times New Roman" w:eastAsia="Times New Roman"/>
        </w:rPr>
        <w:t xml:space="preserve">The two Selphi 2 engines are within 0.005 percentage points on chr1 (haploid 1.876%, diploid 1.879%) and within 0.05 on chr22 (diploid 2.528%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diploid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versus the haploid engine's 0.6158 (+0.0052), while the per-sample means are within 0.001 of each other (0.9017 versus 0.9023); the diploid engine reaches this in 2.98 h against the haploid engine's 1.83 h, at 82.9 versus 56.0 GB.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2.528% to 0.853%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2.607% to 0.000% (Table 6b). On chromosome 1 the pedigree lowered Selphi 2 from 1.879% to 0.332% and Beagle 5.5 from 1.865% to 0.429%. Among the two probabilistic scaffolders Selphi 2 therefore makes the more effective use of the pedigree on both chromosomes (0.853% versus 1.050%; 0.332% versus 0.429%).</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-0.019 pp, 95% CI [-0.049, +0.009] from 20,000 paired bootstrap resamples, lower in 30 of 54 trios) and significantly lower than SHAPEIT5 (Δ = -0.078 pp, [-0.107, -0.050], 40 of 54 trios), while on chromosome 1 Beagle 5.5 is marginally lowest but again not significantly different from Selphi 2 (Δ = +0.014 pp, [-0.001, +0.027]), and Selphi 2 again leads SHAPEIT5 (Δ = -0.050 pp, [-0.062, -0.038], 47 of 54 trios).</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0.853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0.332</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59 s / 9.9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315 s / 15.8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6.7 s / 7.0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40.1 s / 7.2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24.9 s / 16.8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10787 s / 79.4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8.5 GB versus about 40 GB peak memory (~4.7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9 min 34 s at 8.8 GB peak memory on the 16-thread node with the default two-member phase ensemble (6 min 35 s at 8.0 GB with a single member),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+0.0536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0.4884;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(2.528% versus 2.607%) and chromosome 1 (1.879% versus 1.929%), in 0.57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0.56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(343 s versus 611 s). Beagle 5.5's built-in phasing is competitive with Selphi 2 diploid on both chromosomes (chr22: 2.548% versus 2.528%, +0.020 in favor of Selphi 2; chr1: 1.865% versus 1.879%, +0.014 in favor of Beagle); no method dominates the other in mean SER, but Selphi 2 diploid uses 4-6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0.40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Handling both kinds of input in one tool is not itself unprecedented: Beagle 4.1</w:t>
      </w:r>
      <w:hyperlink w:anchor="ref31">
        <w:r>
          <w:rPr>
            <w:rFonts w:ascii="Times New Roman" w:hAnsi="Times New Roman" w:cs="Times New Roman" w:eastAsia="Times New Roman"/>
            <w:color w:val="0563C1"/>
            <w:vertAlign w:val="superscript"/>
          </w:rPr>
          <w:t xml:space="preserve">31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accepted genotype likelihoods alongside called genotypes, a mode dropped in Beagle 5, and today no array imputer reads likelihoods while GLIMPSE2 and QUILT2 have no pathway for called genotypes. What is new is that a single binary routes each input to a dedicated engine and matches or exceeds the specialist tool in both regimes.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in the imputation-only arm, where both tools are handed the same external phasing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-0.001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Supplementary Tables S1 and S9); the chromosome-wide PBWT statistic underlying Selphi's candidate selection is, by construction, biased toward longer-range matches and may underweight single-carrier haplotypes whose informative segment is short. In full-pipeline mode, the mode in which Selphi 2 is actually run, it leads at this bin as well (Table 3).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0.9609, indel 0.7939)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(0.9609 in the current release),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Style w:val="Compact"/>
        <w:numPr>
          <w:ilvl w:val="0"/>
          <w:numId w:val="1001"/>
        </w:numPr>
        <w:jc w:val="both"/>
      </w:pPr>
      <w:bookmarkStart w:id="4031" w:name="ref31"/>
      <w:r>
        <w:rPr>
          <w:rFonts w:ascii="Times New Roman" w:hAnsi="Times New Roman" w:cs="Times New Roman" w:eastAsia="Times New Roman"/>
        </w:rPr>
        <w:t xml:space="preserve">Browning BL, Browning SR. Genotype imputation with millions of reference samples.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2016;98(1):116-126.</w:t>
      </w:r>
      <w:bookmarkEnd w:id="4031"/>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0.4782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0.4884</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0.2665</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0.5045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0.8424</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0.5649</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0.3454</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0.6087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0.6210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0.9017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16 threads. Selphi 2 and Beagle 5 (03Oct25) rows: workstation, September 2026, one</w:t>
      </w:r>
      <w:r>
        <w:rPr>
          <w:rFonts w:ascii="Times New Roman" w:hAnsi="Times New Roman" w:cs="Times New Roman" w:eastAsia="Times New Roman"/>
        </w:rPr>
        <w:t xml:space="preserve"> </w:t>
      </w:r>
      <w:r>
        <w:rPr>
          <w:rFonts w:ascii="Times New Roman" w:hAnsi="Times New Roman" w:cs="Times New Roman" w:eastAsia="Times New Roman"/>
        </w:rPr>
        <w:t xml:space="preserve">rebuilt chip input. Selphi 1.5.3 rows: EC2 r7a.4xlarge, May 2026, not re-run.</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135"/>
        <w:gridCol w:w="1415"/>
        <w:gridCol w:w="890"/>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13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0.9763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0.9732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6.9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6.7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3.2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7.0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0.9817</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0.9834</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40.1 s</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24.9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7.2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16.8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368"/>
        <w:gridCol w:w="858"/>
        <w:gridCol w:w="1092"/>
        <w:gridCol w:w="1677"/>
        <w:gridCol w:w="1365"/>
      </w:tblGrid>
      <w:tr>
        <w:trPr>
          <w:tblHeader w:val="on"/>
        </w:trPr>
        <w:tc>
          <w:tcPr>
            <w:shd w:val="clear" w:color="auto" w:fill="595959"/>
            <w:vAlign w:val="center"/>
            <w:tcW w:type="dxa" w:w="4368"/>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0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77"/>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36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6.9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6.7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tie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3.2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 7.0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40.1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24.9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7.2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 16.8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59 s / 114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tie (phased) / reference (unphased)</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9.9 / 14.4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315 s / 623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10,787 s (~3.0 h)</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79.4 GB</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n/a</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n/a</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1,070,399 sites after removing two records whose REF exceeds the</w:t>
      </w:r>
      <w:r>
        <w:rPr>
          <w:rFonts w:ascii="Times New Roman" w:hAnsi="Times New Roman" w:cs="Times New Roman" w:eastAsia="Times New Roman"/>
        </w:rPr>
        <w:t xml:space="preserve"> </w:t>
      </w:r>
      <w:r>
        <w:rPr>
          <w:rFonts w:ascii="Times New Roman" w:hAnsi="Times New Roman" w:cs="Times New Roman" w:eastAsia="Times New Roman"/>
        </w:rPr>
        <w:t xml:space="preserve">255-byte limit of the panel formats) versus its original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same Selphi-phased target (801 samples) is imputed against each panel and scored</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1,070,397 sites. Re-phasing recovers slightly more than it</w:t>
      </w:r>
      <w:r>
        <w:rPr>
          <w:rFonts w:ascii="Times New Roman" w:hAnsi="Times New Roman" w:cs="Times New Roman" w:eastAsia="Times New Roman"/>
        </w:rPr>
        <w:t xml:space="preserve"> </w:t>
      </w:r>
      <w:r>
        <w:rPr>
          <w:rFonts w:ascii="Times New Roman" w:hAnsi="Times New Roman" w:cs="Times New Roman" w:eastAsia="Times New Roman"/>
        </w:rPr>
        <w:t xml:space="preserve">costs: overall R² rises by 0.0019 for Selphi 2 and 0.0028 for Beagle 5.5, and no</w:t>
      </w:r>
      <w:r>
        <w:rPr>
          <w:rFonts w:ascii="Times New Roman" w:hAnsi="Times New Roman" w:cs="Times New Roman" w:eastAsia="Times New Roman"/>
        </w:rPr>
        <w:t xml:space="preserve"> </w:t>
      </w:r>
      <w:r>
        <w:rPr>
          <w:rFonts w:ascii="Times New Roman" w:hAnsi="Times New Roman" w:cs="Times New Roman" w:eastAsia="Times New Roman"/>
        </w:rPr>
        <w:t xml:space="preserve">MAF bin falls by more than 0.0001. Against the panel's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re-phasing itself has a switch error of 2.18% (37.55% at minor-allele count 1,</w:t>
      </w:r>
      <w:r>
        <w:rPr>
          <w:rFonts w:ascii="Times New Roman" w:hAnsi="Times New Roman" w:cs="Times New Roman" w:eastAsia="Times New Roman"/>
        </w:rPr>
        <w:t xml:space="preserve"> </w:t>
      </w:r>
      <w:r>
        <w:rPr>
          <w:rFonts w:ascii="Times New Roman" w:hAnsi="Times New Roman" w:cs="Times New Roman" w:eastAsia="Times New Roman"/>
        </w:rPr>
        <w:t xml:space="preserve">over 105,538,882 heterozygous transitions). We nonetheless use the published</w:t>
      </w:r>
      <w:r>
        <w:rPr>
          <w:rFonts w:ascii="Times New Roman" w:hAnsi="Times New Roman" w:cs="Times New Roman" w:eastAsia="Times New Roman"/>
        </w:rPr>
        <w:t xml:space="preserve"> </w:t>
      </w:r>
      <w:r>
        <w:rPr>
          <w:rFonts w:ascii="Times New Roman" w:hAnsi="Times New Roman" w:cs="Times New Roman" w:eastAsia="Times New Roman"/>
        </w:rPr>
        <w:t xml:space="preserve">phasing throughout this work, because it is the phasing the comparator tools are</w:t>
      </w:r>
      <w:r>
        <w:rPr>
          <w:rFonts w:ascii="Times New Roman" w:hAnsi="Times New Roman" w:cs="Times New Roman" w:eastAsia="Times New Roman"/>
        </w:rPr>
        <w:t xml:space="preserve"> </w:t>
      </w:r>
      <w:r>
        <w:rPr>
          <w:rFonts w:ascii="Times New Roman" w:hAnsi="Times New Roman" w:cs="Times New Roman" w:eastAsia="Times New Roman"/>
        </w:rPr>
        <w:t xml:space="preserve">conventionally run against; these figures bound what that choice costs at</w:t>
      </w:r>
      <w:r>
        <w:rPr>
          <w:rFonts w:ascii="Times New Roman" w:hAnsi="Times New Roman" w:cs="Times New Roman" w:eastAsia="Times New Roman"/>
        </w:rPr>
        <w:t xml:space="preserve"> </w:t>
      </w:r>
      <w:r>
        <w:rPr>
          <w:rFonts w:ascii="Times New Roman" w:hAnsi="Times New Roman" w:cs="Times New Roman" w:eastAsia="Times New Roman"/>
        </w:rPr>
        <w:t xml:space="preserve">0.0019 to 0.0028 in overall R².</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05"/>
        <w:gridCol w:w="1345"/>
        <w:gridCol w:w="2245"/>
        <w:gridCol w:w="1217"/>
        <w:gridCol w:w="1731"/>
        <w:gridCol w:w="1217"/>
      </w:tblGrid>
      <w:tr>
        <w:trPr>
          <w:tblHeader w:val="on"/>
        </w:trPr>
        <w:tc>
          <w:tcPr>
            <w:shd w:val="clear" w:color="auto" w:fill="595959"/>
            <w:vAlign w:val="center"/>
            <w:tcW w:type="dxa" w:w="1605"/>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345"/>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2245"/>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731"/>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worst bin</w:t>
            </w:r>
          </w:p>
        </w:tc>
      </w:tr>
      <w:tr>
        <w:tc>
          <w:tcPr>
            <w:shd w:val="clear" w:color="auto" w:fill="FFFFFF"/>
            <w:vAlign w:val="center"/>
            <w:tcW w:type="dxa" w:w="1605"/>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345"/>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2245"/>
          </w:tcPr>
          <w:p>
            <w:pPr>
              <w:pStyle w:val="Compact"/>
              <w:jc w:val="center"/>
            </w:pPr>
            <w:r>
              <w:rPr>
                <w:rFonts w:ascii="Times New Roman" w:hAnsi="Times New Roman" w:cs="Times New Roman" w:eastAsia="Times New Roman"/>
                <w:sz w:val="20"/>
              </w:rPr>
              <w:t xml:space="preserve">0.4707</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731"/>
          </w:tcPr>
          <w:p>
            <w:pPr>
              <w:pStyle w:val="Compact"/>
              <w:jc w:val="center"/>
            </w:pPr>
            <w:r>
              <w:rPr>
                <w:rFonts w:ascii="Times New Roman" w:hAnsi="Times New Roman" w:cs="Times New Roman" w:eastAsia="Times New Roman"/>
                <w:sz w:val="20"/>
              </w:rPr>
              <w:t xml:space="preserve">+0.0031</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+0.0010</w:t>
            </w:r>
          </w:p>
        </w:tc>
      </w:tr>
      <w:tr>
        <w:tc>
          <w:tcPr>
            <w:shd w:val="clear" w:color="auto" w:fill="E7E6E6"/>
            <w:vAlign w:val="center"/>
            <w:tcW w:type="dxa" w:w="1605"/>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345"/>
          </w:tcPr>
          <w:p>
            <w:pPr>
              <w:pStyle w:val="Compact"/>
              <w:jc w:val="center"/>
            </w:pPr>
            <w:r>
              <w:rPr>
                <w:rFonts w:ascii="Times New Roman" w:hAnsi="Times New Roman" w:cs="Times New Roman" w:eastAsia="Times New Roman"/>
                <w:sz w:val="20"/>
              </w:rPr>
              <w:t xml:space="preserve">0.4776</w:t>
            </w:r>
          </w:p>
        </w:tc>
        <w:tc>
          <w:tcPr>
            <w:shd w:val="clear" w:color="auto" w:fill="E7E6E6"/>
            <w:vAlign w:val="center"/>
            <w:tcW w:type="dxa" w:w="2245"/>
          </w:tcPr>
          <w:p>
            <w:pPr>
              <w:pStyle w:val="Compact"/>
              <w:jc w:val="center"/>
            </w:pPr>
            <w:r>
              <w:rPr>
                <w:rFonts w:ascii="Times New Roman" w:hAnsi="Times New Roman" w:cs="Times New Roman" w:eastAsia="Times New Roman"/>
                <w:sz w:val="20"/>
              </w:rPr>
              <w:t xml:space="preserve">0.4795</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+0.0019</w:t>
            </w:r>
          </w:p>
        </w:tc>
        <w:tc>
          <w:tcPr>
            <w:shd w:val="clear" w:color="auto" w:fill="E7E6E6"/>
            <w:vAlign w:val="center"/>
            <w:tcW w:type="dxa" w:w="1731"/>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-0.0001</w:t>
            </w:r>
          </w:p>
        </w:tc>
      </w:tr>
    </w:tbl>
    <w:p>
      <w:pPr>
        <w:pStyle w:val="BodyText"/>
        <w:jc w:val="both"/>
      </w:pPr>
      <w:r>
        <w:rPr>
          <w:rFonts w:ascii="Times New Roman" w:hAnsi="Times New Roman" w:cs="Times New Roman" w:eastAsia="Times New Roman"/>
        </w:rPr>
        <w:t xml:space="preserve">An earlier version of this table, computed before the rare-variant phasing</w:t>
      </w:r>
      <w:r>
        <w:rPr>
          <w:rFonts w:ascii="Times New Roman" w:hAnsi="Times New Roman" w:cs="Times New Roman" w:eastAsia="Times New Roman"/>
        </w:rPr>
        <w:t xml:space="preserve"> </w:t>
      </w:r>
      <w:r>
        <w:rPr>
          <w:rFonts w:ascii="Times New Roman" w:hAnsi="Times New Roman" w:cs="Times New Roman" w:eastAsia="Times New Roman"/>
        </w:rPr>
        <w:t xml:space="preserve">defect described under Rare variant phasing in Methods was corrected, reported</w:t>
      </w:r>
      <w:r>
        <w:rPr>
          <w:rFonts w:ascii="Times New Roman" w:hAnsi="Times New Roman" w:cs="Times New Roman" w:eastAsia="Times New Roman"/>
        </w:rPr>
        <w:t xml:space="preserve"> </w:t>
      </w:r>
      <w:r>
        <w:rPr>
          <w:rFonts w:ascii="Times New Roman" w:hAnsi="Times New Roman" w:cs="Times New Roman" w:eastAsia="Times New Roman"/>
        </w:rPr>
        <w:t xml:space="preserve">the opposite sign (-0.0033 and -0.0028 overall, -0.013 and -0.014 in the rarest bin). The</w:t>
      </w:r>
      <w:r>
        <w:rPr>
          <w:rFonts w:ascii="Times New Roman" w:hAnsi="Times New Roman" w:cs="Times New Roman" w:eastAsia="Times New Roman"/>
        </w:rPr>
        <w:t xml:space="preserve"> </w:t>
      </w:r>
      <w:r>
        <w:rPr>
          <w:rFonts w:ascii="Times New Roman" w:hAnsi="Times New Roman" w:cs="Times New Roman" w:eastAsia="Times New Roman"/>
        </w:rPr>
        <w:t xml:space="preserve">difference is the singleton-placement rule: at 2,401 samples the scaffold</w:t>
      </w:r>
      <w:r>
        <w:rPr>
          <w:rFonts w:ascii="Times New Roman" w:hAnsi="Times New Roman" w:cs="Times New Roman" w:eastAsia="Times New Roman"/>
        </w:rPr>
        <w:t xml:space="preserve"> </w:t>
      </w:r>
      <w:r>
        <w:rPr>
          <w:rFonts w:ascii="Times New Roman" w:hAnsi="Times New Roman" w:cs="Times New Roman" w:eastAsia="Times New Roman"/>
        </w:rPr>
        <w:t xml:space="preserve">threshold sends every variant with a minor-allele count of four or fewer to the</w:t>
      </w:r>
      <w:r>
        <w:rPr>
          <w:rFonts w:ascii="Times New Roman" w:hAnsi="Times New Roman" w:cs="Times New Roman" w:eastAsia="Times New Roman"/>
        </w:rPr>
        <w:t xml:space="preserve"> </w:t>
      </w:r>
      <w:r>
        <w:rPr>
          <w:rFonts w:ascii="Times New Roman" w:hAnsi="Times New Roman" w:cs="Times New Roman" w:eastAsia="Times New Roman"/>
        </w:rPr>
        <w:t xml:space="preserve">rare-variant pass, so the panel-wide effect of that rule is larger here than on</w:t>
      </w:r>
      <w:r>
        <w:rPr>
          <w:rFonts w:ascii="Times New Roman" w:hAnsi="Times New Roman" w:cs="Times New Roman" w:eastAsia="Times New Roman"/>
        </w:rPr>
        <w:t xml:space="preserve"> </w:t>
      </w:r>
      <w:r>
        <w:rPr>
          <w:rFonts w:ascii="Times New Roman" w:hAnsi="Times New Roman" w:cs="Times New Roman" w:eastAsia="Times New Roman"/>
        </w:rPr>
        <w:t xml:space="preserve">any smaller cohort we measured.</w:t>
      </w:r>
    </w:p>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0.5963 (Table 3; Results); the 0.5814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0.3531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0.4232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0.5245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0.6260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0.6920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0.7627</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0.8532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0.9259</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0.5814</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0.5306</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0.5748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0.6205</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0.6599</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0.6749</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0.6822</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0.7361</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0.6657</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0.6210</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S11b. MESA per-sample R² by self-reported ancestry (source data for Figure 3b)</w:t>
      </w:r>
    </w:p>
    <w:p>
      <w:pPr>
        <w:pStyle w:val="FirstParagraph"/>
        <w:jc w:val="both"/>
      </w:pPr>
      <w:r>
        <w:rPr>
          <w:rFonts w:ascii="Times New Roman" w:hAnsi="Times New Roman" w:cs="Times New Roman" w:eastAsia="Times New Roman"/>
        </w:rPr>
        <w:t xml:space="preserve">Per-sample mean R² over the labelled MESA samples imputed against the TOPMed panel (chr20, full</w:t>
      </w:r>
      <w:r>
        <w:rPr>
          <w:rFonts w:ascii="Times New Roman" w:hAnsi="Times New Roman" w:cs="Times New Roman" w:eastAsia="Times New Roman"/>
        </w:rPr>
        <w:t xml:space="preserve"> </w:t>
      </w:r>
      <w:r>
        <w:rPr>
          <w:rFonts w:ascii="Times New Roman" w:hAnsi="Times New Roman" w:cs="Times New Roman" w:eastAsia="Times New Roman"/>
        </w:rPr>
        <w:t xml:space="preserve">phase-and-impute pipeline, Selphi 2 at its panel-adaptive mc = 132,676; Beagle 5.5 at its</w:t>
      </w:r>
      <w:r>
        <w:rPr>
          <w:rFonts w:ascii="Times New Roman" w:hAnsi="Times New Roman" w:cs="Times New Roman" w:eastAsia="Times New Roman"/>
        </w:rPr>
        <w:t xml:space="preserve"> </w:t>
      </w:r>
      <w:r>
        <w:rPr>
          <w:rFonts w:ascii="Times New Roman" w:hAnsi="Times New Roman" w:cs="Times New Roman" w:eastAsia="Times New Roman"/>
        </w:rPr>
        <w:t xml:space="preserve">defaults). 3,948 of the 5,000 samples carry an ancestry label. Bold marks the higher value.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Group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Δ</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African-American (924)</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0.8976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0.8733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+0.0243</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Hispanic (859)</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0.9018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+0.0255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White (1,631)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0.9066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0.8835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+0.0231</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Chinese-American (534)</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0.8600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+0.0375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2026-09-17T00:23:23Z</dcterms:created>
  <dcterms:modified xsi:type="dcterms:W3CDTF">2026-09-17T00:23:23Z</dcterms:modified>
</cp:coreProperties>
</file>

<file path=docProps/custom.xml><?xml version="1.0" encoding="utf-8"?>
<Properties xmlns="http://schemas.openxmlformats.org/officeDocument/2006/custom-properties" xmlns:vt="http://schemas.openxmlformats.org/officeDocument/2006/docPropsVTypes"/>
</file>