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the current release measures 0.9609;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genotype graphs,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held constant for panels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An update is applied only when it moves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conditions on the cohort only.</w:t>
      </w:r>
    </w:p>
    <w:p>
      <w:pPr>
        <w:pStyle w:val="BodyText"/>
        <w:jc w:val="both"/>
      </w:pPr>
      <w:r>
        <w:rPr>
          <w:rFonts w:ascii="Times New Roman" w:hAnsi="Times New Roman" w:cs="Times New Roman" w:eastAsia="Times New Roman"/>
        </w:rPr>
        <w:t xml:space="preserve">The algorithm proceeds in three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 recent allele sits on the more recently diverged haplotype, obtained here from PBWT divergence rather than from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linear ramp in MAF between the two thresholds. When the haploid phasing engine is used,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it estimates during phasing replaces this scheme in the imputation HMM unless disabled; with the default diploid engine the MAF-adaptive scheme applies as written.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an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0.5777 (Selphi 2) versus 0.5640 (Beagle 5.5), and per-sample mean 0.9567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0.2836</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0.3669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0.3324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0.4227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0.4300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0.5180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0.5130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0.6178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0.5767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0.6832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0.6783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0.7608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0.8513</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0.7971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+0.0289).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0.9017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+0.0253; broken down by self-reported ancestry, Selphi 2 leads Beagle 5.5 in all four MESA groups (+0.023 to +0.038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(0.6210):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0.5916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0.6453, a gain of +0.0536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0.5273</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0.6220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+0.0948</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0.5486</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0.6143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+0.0657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+0.0422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0.6684</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+0.0315</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0.6656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0.6788</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+0.0132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0.6778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+0.0047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0.5916</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0.6453</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+0.0536</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+0.153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+0.1206</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+0.1529</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+0.1049</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+0.0093</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+0.0973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+0.1362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+0.0734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+0.0097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+0.0702</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+0.1095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+0.0471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+0.0031</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+0.0513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+0.0830</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+0.0298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+0.0416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+0.0573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+0.0185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+0.0331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+0.0356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+0.0090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+0.0256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+0.0201</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+0.0080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+0.0192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+0.0142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+0.0064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+0.0127</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+0.0092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+0.0038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-0.0039</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+0.1003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+0.0453</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-0.0021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+0.0105, Middle-Eastern +0.0066; African +0.0129, East-Asian +0.0079;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+0.0072, 95% CI [+0.0070, +0.0075]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+0.0105</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+0.0129</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+0.0079</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0.9472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+0.0048</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0.9400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+0.0072</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(0.5814)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0.9609,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8.5 GB versus Beagle's roughly 40 GB (about 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19.0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8.5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rPr>
          <w:rFonts w:ascii="Times New Roman" w:hAnsi="Times New Roman" w:cs="Times New Roman" w:eastAsia="Times New Roman"/>
        </w:rP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with 4-6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SER is the mean of the per-trio switch-error rates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5.2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343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13.7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169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30.3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857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52.8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348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1,559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65.7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118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5.6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611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are within 0.005 percentage points on chr1 (haploid 1.876%, diploid 1.879%) and within 0.05 on chr22 (diploid 2.528%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diploid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0.853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0.332</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59 s / 9.9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315 s / 15.8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6.7 s / 7.0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40.1 s / 7.2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24.9 s / 16.8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10787 s / 79.4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8.5 GB versus about 40 GB peak memory (~4.7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0.4884;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-0.001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0.4782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0.2665</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0.5045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0.8424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0.5649</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0.3454</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0.6087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0.6210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16 threads. Selphi 2 and Beagle 5 (03Oct25) rows: workstation, September 2026, one</w:t>
      </w:r>
      <w:r>
        <w:rPr>
          <w:rFonts w:ascii="Times New Roman" w:hAnsi="Times New Roman" w:cs="Times New Roman" w:eastAsia="Times New Roman"/>
        </w:rPr>
        <w:t xml:space="preserve"> </w:t>
      </w:r>
      <w:r>
        <w:rPr>
          <w:rFonts w:ascii="Times New Roman" w:hAnsi="Times New Roman" w:cs="Times New Roman" w:eastAsia="Times New Roman"/>
        </w:rPr>
        <w:t xml:space="preserve">rebuilt chip input. Selphi 1.5.3 rows: EC2 r7a.4xlarge, May 2026, not re-run.</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135"/>
        <w:gridCol w:w="1415"/>
        <w:gridCol w:w="890"/>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13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0.9763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0.9732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6.9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3.2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7.0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0.9817</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0.9834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40.1 s</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24.9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7.2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16.8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68"/>
        <w:gridCol w:w="858"/>
        <w:gridCol w:w="1092"/>
        <w:gridCol w:w="1677"/>
        <w:gridCol w:w="1365"/>
      </w:tblGrid>
      <w:tr>
        <w:trPr>
          <w:tblHeader w:val="on"/>
        </w:trPr>
        <w:tc>
          <w:tcPr>
            <w:shd w:val="clear" w:color="auto" w:fill="595959"/>
            <w:vAlign w:val="center"/>
            <w:tcW w:type="dxa" w:w="4368"/>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7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36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6.9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7.0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40.1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24.9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7.2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16.8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59 s / 114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 (phased) / reference (unphased)</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9.9 / 14.4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315 s / 623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10,787 s (~3.0 h)</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79.4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1,070,399 sites after removing two records whose REF exceeds the</w:t>
      </w:r>
      <w:r>
        <w:rPr>
          <w:rFonts w:ascii="Times New Roman" w:hAnsi="Times New Roman" w:cs="Times New Roman" w:eastAsia="Times New Roman"/>
        </w:rPr>
        <w:t xml:space="preserve"> </w:t>
      </w:r>
      <w:r>
        <w:rPr>
          <w:rFonts w:ascii="Times New Roman" w:hAnsi="Times New Roman" w:cs="Times New Roman" w:eastAsia="Times New Roman"/>
        </w:rPr>
        <w:t xml:space="preserve">255-byte limit of the panel formats) versus its original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same Selphi-phased target (801 samples) is imputed against each panel and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1,070,397 sites. Re-phasing recovers slightly more than it</w:t>
      </w:r>
      <w:r>
        <w:rPr>
          <w:rFonts w:ascii="Times New Roman" w:hAnsi="Times New Roman" w:cs="Times New Roman" w:eastAsia="Times New Roman"/>
        </w:rPr>
        <w:t xml:space="preserve"> </w:t>
      </w:r>
      <w:r>
        <w:rPr>
          <w:rFonts w:ascii="Times New Roman" w:hAnsi="Times New Roman" w:cs="Times New Roman" w:eastAsia="Times New Roman"/>
        </w:rPr>
        <w:t xml:space="preserve">costs: overall R² rises by 0.0019 for Selphi 2 and 0.0028 for Beagle 5.5, and no</w:t>
      </w:r>
      <w:r>
        <w:rPr>
          <w:rFonts w:ascii="Times New Roman" w:hAnsi="Times New Roman" w:cs="Times New Roman" w:eastAsia="Times New Roman"/>
        </w:rPr>
        <w:t xml:space="preserve"> </w:t>
      </w:r>
      <w:r>
        <w:rPr>
          <w:rFonts w:ascii="Times New Roman" w:hAnsi="Times New Roman" w:cs="Times New Roman" w:eastAsia="Times New Roman"/>
        </w:rPr>
        <w:t xml:space="preserve">MAF bin falls by more than 0.0001. Against the panel's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re-phasing itself has a switch error of 2.18% (37.55% at minor-allele count 1,</w:t>
      </w:r>
      <w:r>
        <w:rPr>
          <w:rFonts w:ascii="Times New Roman" w:hAnsi="Times New Roman" w:cs="Times New Roman" w:eastAsia="Times New Roman"/>
        </w:rPr>
        <w:t xml:space="preserve"> </w:t>
      </w:r>
      <w:r>
        <w:rPr>
          <w:rFonts w:ascii="Times New Roman" w:hAnsi="Times New Roman" w:cs="Times New Roman" w:eastAsia="Times New Roman"/>
        </w:rPr>
        <w:t xml:space="preserve">over 105,538,882 heterozygous transitions). We nonetheless use the published</w:t>
      </w:r>
      <w:r>
        <w:rPr>
          <w:rFonts w:ascii="Times New Roman" w:hAnsi="Times New Roman" w:cs="Times New Roman" w:eastAsia="Times New Roman"/>
        </w:rPr>
        <w:t xml:space="preserve"> </w:t>
      </w:r>
      <w:r>
        <w:rPr>
          <w:rFonts w:ascii="Times New Roman" w:hAnsi="Times New Roman" w:cs="Times New Roman" w:eastAsia="Times New Roman"/>
        </w:rPr>
        <w:t xml:space="preserve">phasing throughout this work, because it is the phasing the comparator tools are</w:t>
      </w:r>
      <w:r>
        <w:rPr>
          <w:rFonts w:ascii="Times New Roman" w:hAnsi="Times New Roman" w:cs="Times New Roman" w:eastAsia="Times New Roman"/>
        </w:rPr>
        <w:t xml:space="preserve"> </w:t>
      </w:r>
      <w:r>
        <w:rPr>
          <w:rFonts w:ascii="Times New Roman" w:hAnsi="Times New Roman" w:cs="Times New Roman" w:eastAsia="Times New Roman"/>
        </w:rPr>
        <w:t xml:space="preserve">conventionally run against; these figures bound what that choice costs at</w:t>
      </w:r>
      <w:r>
        <w:rPr>
          <w:rFonts w:ascii="Times New Roman" w:hAnsi="Times New Roman" w:cs="Times New Roman" w:eastAsia="Times New Roman"/>
        </w:rPr>
        <w:t xml:space="preserve"> </w:t>
      </w:r>
      <w:r>
        <w:rPr>
          <w:rFonts w:ascii="Times New Roman" w:hAnsi="Times New Roman" w:cs="Times New Roman" w:eastAsia="Times New Roman"/>
        </w:rPr>
        <w:t xml:space="preserve">0.0019 to 0.0028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05"/>
        <w:gridCol w:w="1345"/>
        <w:gridCol w:w="2245"/>
        <w:gridCol w:w="1217"/>
        <w:gridCol w:w="1731"/>
        <w:gridCol w:w="1217"/>
      </w:tblGrid>
      <w:tr>
        <w:trPr>
          <w:tblHeader w:val="on"/>
        </w:trPr>
        <w:tc>
          <w:tcPr>
            <w:shd w:val="clear" w:color="auto" w:fill="595959"/>
            <w:vAlign w:val="center"/>
            <w:tcW w:type="dxa" w:w="1605"/>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345"/>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2245"/>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731"/>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worst bin</w:t>
            </w:r>
          </w:p>
        </w:tc>
      </w:tr>
      <w:tr>
        <w:tc>
          <w:tcPr>
            <w:shd w:val="clear" w:color="auto" w:fill="FFFFFF"/>
            <w:vAlign w:val="center"/>
            <w:tcW w:type="dxa" w:w="1605"/>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345"/>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2245"/>
          </w:tcPr>
          <w:p>
            <w:pPr>
              <w:pStyle w:val="Compact"/>
              <w:jc w:val="center"/>
            </w:pPr>
            <w:r>
              <w:rPr>
                <w:rFonts w:ascii="Times New Roman" w:hAnsi="Times New Roman" w:cs="Times New Roman" w:eastAsia="Times New Roman"/>
                <w:sz w:val="20"/>
              </w:rPr>
              <w:t xml:space="preserve">0.4707</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731"/>
          </w:tcPr>
          <w:p>
            <w:pPr>
              <w:pStyle w:val="Compact"/>
              <w:jc w:val="center"/>
            </w:pPr>
            <w:r>
              <w:rPr>
                <w:rFonts w:ascii="Times New Roman" w:hAnsi="Times New Roman" w:cs="Times New Roman" w:eastAsia="Times New Roman"/>
                <w:sz w:val="20"/>
              </w:rPr>
              <w:t xml:space="preserve">+0.0031</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+0.0010</w:t>
            </w:r>
          </w:p>
        </w:tc>
      </w:tr>
      <w:tr>
        <w:tc>
          <w:tcPr>
            <w:shd w:val="clear" w:color="auto" w:fill="E7E6E6"/>
            <w:vAlign w:val="center"/>
            <w:tcW w:type="dxa" w:w="1605"/>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345"/>
          </w:tcPr>
          <w:p>
            <w:pPr>
              <w:pStyle w:val="Compact"/>
              <w:jc w:val="center"/>
            </w:pPr>
            <w:r>
              <w:rPr>
                <w:rFonts w:ascii="Times New Roman" w:hAnsi="Times New Roman" w:cs="Times New Roman" w:eastAsia="Times New Roman"/>
                <w:sz w:val="20"/>
              </w:rPr>
              <w:t xml:space="preserve">0.4776</w:t>
            </w:r>
          </w:p>
        </w:tc>
        <w:tc>
          <w:tcPr>
            <w:shd w:val="clear" w:color="auto" w:fill="E7E6E6"/>
            <w:vAlign w:val="center"/>
            <w:tcW w:type="dxa" w:w="2245"/>
          </w:tcPr>
          <w:p>
            <w:pPr>
              <w:pStyle w:val="Compact"/>
              <w:jc w:val="center"/>
            </w:pPr>
            <w:r>
              <w:rPr>
                <w:rFonts w:ascii="Times New Roman" w:hAnsi="Times New Roman" w:cs="Times New Roman" w:eastAsia="Times New Roman"/>
                <w:sz w:val="20"/>
              </w:rPr>
              <w:t xml:space="preserve">0.4795</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731"/>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-0.0001</w:t>
            </w:r>
          </w:p>
        </w:tc>
      </w:tr>
    </w:tbl>
    <w:p>
      <w:pPr>
        <w:pStyle w:val="BodyText"/>
        <w:jc w:val="both"/>
      </w:pPr>
      <w:r>
        <w:rPr>
          <w:rFonts w:ascii="Times New Roman" w:hAnsi="Times New Roman" w:cs="Times New Roman" w:eastAsia="Times New Roman"/>
        </w:rPr>
        <w:t xml:space="preserve">An earlier version of this table, computed before the rare-variant phasing</w:t>
      </w:r>
      <w:r>
        <w:rPr>
          <w:rFonts w:ascii="Times New Roman" w:hAnsi="Times New Roman" w:cs="Times New Roman" w:eastAsia="Times New Roman"/>
        </w:rPr>
        <w:t xml:space="preserve"> </w:t>
      </w:r>
      <w:r>
        <w:rPr>
          <w:rFonts w:ascii="Times New Roman" w:hAnsi="Times New Roman" w:cs="Times New Roman" w:eastAsia="Times New Roman"/>
        </w:rPr>
        <w:t xml:space="preserve">defect described under Rare variant phasing in Methods was corrected, reported</w:t>
      </w:r>
      <w:r>
        <w:rPr>
          <w:rFonts w:ascii="Times New Roman" w:hAnsi="Times New Roman" w:cs="Times New Roman" w:eastAsia="Times New Roman"/>
        </w:rPr>
        <w:t xml:space="preserve"> </w:t>
      </w:r>
      <w:r>
        <w:rPr>
          <w:rFonts w:ascii="Times New Roman" w:hAnsi="Times New Roman" w:cs="Times New Roman" w:eastAsia="Times New Roman"/>
        </w:rPr>
        <w:t xml:space="preserve">the opposite sign (-0.0033 and -0.0028 overall, -0.013 and -0.014 in the rarest bin). The</w:t>
      </w:r>
      <w:r>
        <w:rPr>
          <w:rFonts w:ascii="Times New Roman" w:hAnsi="Times New Roman" w:cs="Times New Roman" w:eastAsia="Times New Roman"/>
        </w:rPr>
        <w:t xml:space="preserve"> </w:t>
      </w:r>
      <w:r>
        <w:rPr>
          <w:rFonts w:ascii="Times New Roman" w:hAnsi="Times New Roman" w:cs="Times New Roman" w:eastAsia="Times New Roman"/>
        </w:rPr>
        <w:t xml:space="preserve">difference is the singleton-placement rule: at 2,401 samples the scaffold</w:t>
      </w:r>
      <w:r>
        <w:rPr>
          <w:rFonts w:ascii="Times New Roman" w:hAnsi="Times New Roman" w:cs="Times New Roman" w:eastAsia="Times New Roman"/>
        </w:rPr>
        <w:t xml:space="preserve"> </w:t>
      </w:r>
      <w:r>
        <w:rPr>
          <w:rFonts w:ascii="Times New Roman" w:hAnsi="Times New Roman" w:cs="Times New Roman" w:eastAsia="Times New Roman"/>
        </w:rPr>
        <w:t xml:space="preserve">threshold sends every variant with a minor-allele count of four or fewer to the</w:t>
      </w:r>
      <w:r>
        <w:rPr>
          <w:rFonts w:ascii="Times New Roman" w:hAnsi="Times New Roman" w:cs="Times New Roman" w:eastAsia="Times New Roman"/>
        </w:rPr>
        <w:t xml:space="preserve"> </w:t>
      </w:r>
      <w:r>
        <w:rPr>
          <w:rFonts w:ascii="Times New Roman" w:hAnsi="Times New Roman" w:cs="Times New Roman" w:eastAsia="Times New Roman"/>
        </w:rPr>
        <w:t xml:space="preserve">rare-variant pass, so the panel-wide effect of that rule is larger here than on</w:t>
      </w:r>
      <w:r>
        <w:rPr>
          <w:rFonts w:ascii="Times New Roman" w:hAnsi="Times New Roman" w:cs="Times New Roman" w:eastAsia="Times New Roman"/>
        </w:rPr>
        <w:t xml:space="preserve"> </w:t>
      </w:r>
      <w:r>
        <w:rPr>
          <w:rFonts w:ascii="Times New Roman" w:hAnsi="Times New Roman" w:cs="Times New Roman" w:eastAsia="Times New Roman"/>
        </w:rPr>
        <w:t xml:space="preserve">any smaller cohort we measured.</w:t>
      </w:r>
    </w:p>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0.5963 (Table 3; Results); the 0.5814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0.3531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0.4232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0.5245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0.6260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0.6920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0.7627</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0.8532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0.9259</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0.5814</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0.5306</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0.5748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0.6205</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0.6749</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0.6822</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0.7361</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0.6210</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2026-09-16T23:53:57Z</dcterms:created>
  <dcterms:modified xsi:type="dcterms:W3CDTF">2026-09-16T23:53:57Z</dcterms:modified>
</cp:coreProperties>
</file>

<file path=docProps/custom.xml><?xml version="1.0" encoding="utf-8"?>
<Properties xmlns="http://schemas.openxmlformats.org/officeDocument/2006/custom-properties" xmlns:vt="http://schemas.openxmlformats.org/officeDocument/2006/docPropsVTypes"/>
</file>