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Institution"/>
      </w:pPr>
      <w:r>
        <w:t xml:space="preserve">Amirkabir University of Technology (Tehran Polytechnic)</w:t>
      </w:r>
    </w:p>
    <w:p>
      <w:pPr>
        <w:pStyle w:val="CoverCourse"/>
      </w:pPr>
      <w:r>
        <w:t xml:space="preserve">Department of Mechanical Engineering · Turbomachinery Course Project</w:t>
      </w:r>
    </w:p>
    <w:p>
      <w:pPr>
        <w:pStyle w:val="CoverTitle"/>
      </w:pPr>
      <w:r>
        <w:t xml:space="preserve">The M701JAC Axial Compressor: What We Know, What We Derived, and What Is Still Open</w:t>
      </w:r>
    </w:p>
    <w:p>
      <w:pPr>
        <w:pStyle w:val="CoverSubtitle"/>
      </w:pPr>
      <w:r>
        <w:t xml:space="preserve">Internal study report — for the team’s own reading and learning</w:t>
      </w:r>
    </w:p>
    <w:p>
      <w:pPr>
        <w:pStyle w:val="CoverTarget"/>
      </w:pPr>
      <w:r>
        <w:t xml:space="preserve">Not an official submission. It prepares the ground for the 15 Aban 1405 report, which is not drafted yet.</w:t>
      </w:r>
    </w:p>
    <w:p>
      <w:pPr>
        <w:pStyle w:val="CoverMeta"/>
      </w:pPr>
      <w:r>
        <w:rPr>
          <w:bCs/>
          <w:b/>
        </w:rPr>
        <w:t xml:space="preserve">Team:</w:t>
      </w:r>
      <w:r>
        <w:t xml:space="preserve"> </w:t>
      </w:r>
      <w:r>
        <w:t xml:space="preserve">Alireza Bayati · Melika Bali</w:t>
      </w:r>
    </w:p>
    <w:p>
      <w:pPr>
        <w:pStyle w:val="CoverMeta"/>
      </w:pPr>
      <w:r>
        <w:rPr>
          <w:bCs/>
          <w:b/>
        </w:rPr>
        <w:t xml:space="preserve">Supervisor:</w:t>
      </w:r>
      <w:r>
        <w:t xml:space="preserve"> </w:t>
      </w:r>
      <w:r>
        <w:t xml:space="preserve">Dr. Nader Montazerin</w:t>
      </w:r>
    </w:p>
    <w:p>
      <w:pPr>
        <w:pStyle w:val="CoverMeta"/>
      </w:pPr>
      <w:r>
        <w:rPr>
          <w:bCs/>
          <w:b/>
        </w:rPr>
        <w:t xml:space="preserve">Date:</w:t>
      </w:r>
      <w:r>
        <w:t xml:space="preserve"> </w:t>
      </w:r>
      <w:r>
        <w:t xml:space="preserve">6 Aban 1405 (28 October 2026)</w:t>
      </w:r>
    </w:p>
    <w:p>
      <w:pPr>
        <w:pStyle w:val="CoverMeta"/>
      </w:pPr>
      <w:r>
        <w:rPr>
          <w:bCs/>
          <w:b/>
        </w:rPr>
        <w:t xml:space="preserve">Companion files:</w:t>
      </w:r>
      <w:r>
        <w:t xml:space="preserve"> </w:t>
      </w:r>
      <w:r>
        <w:rPr>
          <w:rStyle w:val="VerbatimChar"/>
        </w:rPr>
        <w:t xml:space="preserve">m701jac/analysis/</w:t>
      </w:r>
      <w:r>
        <w:t xml:space="preserve"> </w:t>
      </w:r>
      <w:r>
        <w:t xml:space="preserve">(code, results, figures) ·</w:t>
      </w:r>
      <w:r>
        <w:t xml:space="preserve"> </w:t>
      </w:r>
      <w:r>
        <w:rPr>
          <w:rStyle w:val="VerbatimChar"/>
        </w:rPr>
        <w:t xml:space="preserve">m701jac/docs/ASSUMPTIONS_AUDIT.md</w:t>
      </w:r>
      <w:r>
        <w:t xml:space="preserve"> </w:t>
      </w:r>
      <w:r>
        <w:t xml:space="preserve">·</w:t>
      </w:r>
      <w:r>
        <w:t xml:space="preserve"> </w:t>
      </w:r>
      <w:r>
        <w:rPr>
          <w:rStyle w:val="VerbatimChar"/>
        </w:rPr>
        <w:t xml:space="preserve">m701jac/docs/DOSSIER_REVIEW.md</w:t>
      </w:r>
    </w:p>
    <w:p>
      <w:pPr>
        <w:pStyle w:val="CoverNote"/>
      </w:pPr>
      <w:r>
        <w:t xml:space="preserve">Prepared with the assistance of Claude (Anthropic). Every number in this report is either taken from a cited Mitsubishi document, a physical standard value, or derived from those. Anything that is not published is carried as a stated range, never as a single guessed value.</w:t>
      </w:r>
    </w:p>
    <w:p>
      <w:r>
        <w:br w:type="page"/>
      </w:r>
    </w:p>
    <w:p>
      <w:pPr>
        <w:pStyle w:val="TOCHeading"/>
      </w:pPr>
      <w:r>
        <w:t>Table of Contents</w:t>
      </w:r>
    </w:p>
    <w:p>
      <w:pPr>
        <w:pStyle w:val="TOC1"/>
        <w:tabs>
          <w:tab w:val="right" w:leader="dot" w:pos="9350"/>
        </w:tabs>
        <w:spacing w:before="60" w:after="0" w:line="250" w:lineRule="auto"/>
        <w:ind w:left="0"/>
      </w:pPr>
      <w:r>
        <w:fldChar w:fldCharType="begin" w:dirty="true"/>
      </w:r>
      <w:r>
        <w:instrText xml:space="preserve"> TOC \o "1-2" \h \z \u </w:instrText>
      </w:r>
      <w:r>
        <w:fldChar w:fldCharType="separate"/>
      </w:r>
      <w:r>
        <w:rPr>
          <w:sz w:val="21"/>
          <w:b/>
          <w:color w:val="1F3864"/>
        </w:rPr>
        <w:t xml:space="preserve">How to read this report</w:t>
      </w:r>
      <w:r>
        <w:tab/>
      </w:r>
      <w:r>
        <w:rPr>
          <w:sz w:val="21"/>
          <w:b/>
          <w:color w:val="1F3864"/>
        </w:rPr>
        <w:t xml:space="preserve">3</w:t>
      </w:r>
    </w:p>
    <w:p>
      <w:pPr>
        <w:pStyle w:val="TOC1"/>
        <w:tabs>
          <w:tab w:val="right" w:leader="dot" w:pos="9350"/>
        </w:tabs>
        <w:spacing w:before="60" w:after="0" w:line="250" w:lineRule="auto"/>
        <w:ind w:left="0"/>
      </w:pPr>
      <w:r>
        <w:rPr>
          <w:sz w:val="21"/>
          <w:b/>
          <w:color w:val="1F3864"/>
        </w:rPr>
        <w:t xml:space="preserve">1   Why the M701JAC</w:t>
      </w:r>
      <w:r>
        <w:tab/>
      </w:r>
      <w:r>
        <w:rPr>
          <w:sz w:val="21"/>
          <w:b/>
          <w:color w:val="1F3864"/>
        </w:rPr>
        <w:t xml:space="preserve">3</w:t>
      </w:r>
    </w:p>
    <w:p>
      <w:pPr>
        <w:pStyle w:val="TOC1"/>
        <w:tabs>
          <w:tab w:val="right" w:leader="dot" w:pos="9350"/>
        </w:tabs>
        <w:spacing w:before="60" w:after="0" w:line="250" w:lineRule="auto"/>
        <w:ind w:left="0"/>
      </w:pPr>
      <w:r>
        <w:rPr>
          <w:sz w:val="21"/>
          <w:b/>
          <w:color w:val="1F3864"/>
        </w:rPr>
        <w:t xml:space="preserve">2   What Mitsubishi publishes about the machine</w:t>
      </w:r>
      <w:r>
        <w:tab/>
      </w:r>
      <w:r>
        <w:rPr>
          <w:sz w:val="21"/>
          <w:b/>
          <w:color w:val="1F3864"/>
        </w:rPr>
        <w:t xml:space="preserve">3</w:t>
      </w:r>
    </w:p>
    <w:p>
      <w:pPr>
        <w:pStyle w:val="TOC2"/>
        <w:tabs>
          <w:tab w:val="right" w:leader="dot" w:pos="9350"/>
        </w:tabs>
        <w:spacing w:before="0" w:after="0" w:line="250" w:lineRule="auto"/>
        <w:ind w:left="440"/>
      </w:pPr>
      <w:r>
        <w:rPr>
          <w:sz w:val="20"/>
          <w:color w:val="333333"/>
        </w:rPr>
        <w:t xml:space="preserve">2.1   The family history in one table</w:t>
      </w:r>
      <w:r>
        <w:tab/>
      </w:r>
      <w:r>
        <w:rPr>
          <w:sz w:val="20"/>
          <w:color w:val="333333"/>
        </w:rPr>
        <w:t xml:space="preserve">3</w:t>
      </w:r>
    </w:p>
    <w:p>
      <w:pPr>
        <w:pStyle w:val="TOC2"/>
        <w:tabs>
          <w:tab w:val="right" w:leader="dot" w:pos="9350"/>
        </w:tabs>
        <w:spacing w:before="0" w:after="0" w:line="250" w:lineRule="auto"/>
        <w:ind w:left="440"/>
      </w:pPr>
      <w:r>
        <w:rPr>
          <w:sz w:val="20"/>
          <w:color w:val="333333"/>
        </w:rPr>
        <w:t xml:space="preserve">2.2   The catalogue ratings</w:t>
      </w:r>
      <w:r>
        <w:tab/>
      </w:r>
      <w:r>
        <w:rPr>
          <w:sz w:val="20"/>
          <w:color w:val="333333"/>
        </w:rPr>
        <w:t xml:space="preserve">4</w:t>
      </w:r>
    </w:p>
    <w:p>
      <w:pPr>
        <w:pStyle w:val="TOC2"/>
        <w:tabs>
          <w:tab w:val="right" w:leader="dot" w:pos="9350"/>
        </w:tabs>
        <w:spacing w:before="0" w:after="0" w:line="250" w:lineRule="auto"/>
        <w:ind w:left="440"/>
      </w:pPr>
      <w:r>
        <w:rPr>
          <w:sz w:val="20"/>
          <w:color w:val="333333"/>
        </w:rPr>
        <w:t xml:space="preserve">2.3   What is published about the compressor</w:t>
      </w:r>
      <w:r>
        <w:tab/>
      </w:r>
      <w:r>
        <w:rPr>
          <w:sz w:val="20"/>
          <w:color w:val="333333"/>
        </w:rPr>
        <w:t xml:space="preserve">4</w:t>
      </w:r>
    </w:p>
    <w:p>
      <w:pPr>
        <w:pStyle w:val="TOC2"/>
        <w:tabs>
          <w:tab w:val="right" w:leader="dot" w:pos="9350"/>
        </w:tabs>
        <w:spacing w:before="0" w:after="0" w:line="250" w:lineRule="auto"/>
        <w:ind w:left="440"/>
      </w:pPr>
      <w:r>
        <w:rPr>
          <w:sz w:val="20"/>
          <w:color w:val="333333"/>
        </w:rPr>
        <w:t xml:space="preserve">2.4   What is not published</w:t>
      </w:r>
      <w:r>
        <w:tab/>
      </w:r>
      <w:r>
        <w:rPr>
          <w:sz w:val="20"/>
          <w:color w:val="333333"/>
        </w:rPr>
        <w:t xml:space="preserve">5</w:t>
      </w:r>
    </w:p>
    <w:p>
      <w:pPr>
        <w:pStyle w:val="TOC1"/>
        <w:tabs>
          <w:tab w:val="right" w:leader="dot" w:pos="9350"/>
        </w:tabs>
        <w:spacing w:before="60" w:after="0" w:line="250" w:lineRule="auto"/>
        <w:ind w:left="0"/>
      </w:pPr>
      <w:r>
        <w:rPr>
          <w:sz w:val="21"/>
          <w:b/>
          <w:color w:val="1F3864"/>
        </w:rPr>
        <w:t xml:space="preserve">3   Method: from a catalogue to compressor numbers</w:t>
      </w:r>
      <w:r>
        <w:tab/>
      </w:r>
      <w:r>
        <w:rPr>
          <w:sz w:val="21"/>
          <w:b/>
          <w:color w:val="1F3864"/>
        </w:rPr>
        <w:t xml:space="preserve">5</w:t>
      </w:r>
    </w:p>
    <w:p>
      <w:pPr>
        <w:pStyle w:val="TOC2"/>
        <w:tabs>
          <w:tab w:val="right" w:leader="dot" w:pos="9350"/>
        </w:tabs>
        <w:spacing w:before="0" w:after="0" w:line="250" w:lineRule="auto"/>
        <w:ind w:left="440"/>
      </w:pPr>
      <w:r>
        <w:rPr>
          <w:sz w:val="20"/>
          <w:color w:val="333333"/>
        </w:rPr>
        <w:t xml:space="preserve">3.1   The calculation chain</w:t>
      </w:r>
      <w:r>
        <w:tab/>
      </w:r>
      <w:r>
        <w:rPr>
          <w:sz w:val="20"/>
          <w:color w:val="333333"/>
        </w:rPr>
        <w:t xml:space="preserve">5</w:t>
      </w:r>
    </w:p>
    <w:p>
      <w:pPr>
        <w:pStyle w:val="TOC2"/>
        <w:tabs>
          <w:tab w:val="right" w:leader="dot" w:pos="9350"/>
        </w:tabs>
        <w:spacing w:before="0" w:after="0" w:line="250" w:lineRule="auto"/>
        <w:ind w:left="440"/>
      </w:pPr>
      <w:r>
        <w:rPr>
          <w:sz w:val="20"/>
          <w:color w:val="333333"/>
        </w:rPr>
        <w:t xml:space="preserve">3.2   Step 1 — air flow from the heat rate</w:t>
      </w:r>
      <w:r>
        <w:tab/>
      </w:r>
      <w:r>
        <w:rPr>
          <w:sz w:val="20"/>
          <w:color w:val="333333"/>
        </w:rPr>
        <w:t xml:space="preserve">5</w:t>
      </w:r>
    </w:p>
    <w:p>
      <w:pPr>
        <w:pStyle w:val="TOC2"/>
        <w:tabs>
          <w:tab w:val="right" w:leader="dot" w:pos="9350"/>
        </w:tabs>
        <w:spacing w:before="0" w:after="0" w:line="250" w:lineRule="auto"/>
        <w:ind w:left="440"/>
      </w:pPr>
      <w:r>
        <w:rPr>
          <w:sz w:val="20"/>
          <w:color w:val="333333"/>
        </w:rPr>
        <w:t xml:space="preserve">3.3   Step 2 — real-gas compression</w:t>
      </w:r>
      <w:r>
        <w:tab/>
      </w:r>
      <w:r>
        <w:rPr>
          <w:sz w:val="20"/>
          <w:color w:val="333333"/>
        </w:rPr>
        <w:t xml:space="preserve">6</w:t>
      </w:r>
    </w:p>
    <w:p>
      <w:pPr>
        <w:pStyle w:val="TOC2"/>
        <w:tabs>
          <w:tab w:val="right" w:leader="dot" w:pos="9350"/>
        </w:tabs>
        <w:spacing w:before="0" w:after="0" w:line="250" w:lineRule="auto"/>
        <w:ind w:left="440"/>
      </w:pPr>
      <w:r>
        <w:rPr>
          <w:sz w:val="20"/>
          <w:color w:val="333333"/>
        </w:rPr>
        <w:t xml:space="preserve">3.4   Step 3 — inlet annulus and the first rotor</w:t>
      </w:r>
      <w:r>
        <w:tab/>
      </w:r>
      <w:r>
        <w:rPr>
          <w:sz w:val="20"/>
          <w:color w:val="333333"/>
        </w:rPr>
        <w:t xml:space="preserve">6</w:t>
      </w:r>
    </w:p>
    <w:p>
      <w:pPr>
        <w:pStyle w:val="TOC2"/>
        <w:tabs>
          <w:tab w:val="right" w:leader="dot" w:pos="9350"/>
        </w:tabs>
        <w:spacing w:before="0" w:after="0" w:line="250" w:lineRule="auto"/>
        <w:ind w:left="440"/>
      </w:pPr>
      <w:r>
        <w:rPr>
          <w:sz w:val="20"/>
          <w:color w:val="333333"/>
        </w:rPr>
        <w:t xml:space="preserve">3.5   Step 4 — uncertainty as ranges, not guesses</w:t>
      </w:r>
      <w:r>
        <w:tab/>
      </w:r>
      <w:r>
        <w:rPr>
          <w:sz w:val="20"/>
          <w:color w:val="333333"/>
        </w:rPr>
        <w:t xml:space="preserve">6</w:t>
      </w:r>
    </w:p>
    <w:p>
      <w:pPr>
        <w:pStyle w:val="TOC1"/>
        <w:tabs>
          <w:tab w:val="right" w:leader="dot" w:pos="9350"/>
        </w:tabs>
        <w:spacing w:before="60" w:after="0" w:line="250" w:lineRule="auto"/>
        <w:ind w:left="0"/>
      </w:pPr>
      <w:r>
        <w:rPr>
          <w:sz w:val="21"/>
          <w:b/>
          <w:color w:val="1F3864"/>
        </w:rPr>
        <w:t xml:space="preserve">4   Result 1 — the catalogue is self-consistent</w:t>
      </w:r>
      <w:r>
        <w:tab/>
      </w:r>
      <w:r>
        <w:rPr>
          <w:sz w:val="21"/>
          <w:b/>
          <w:color w:val="1F3864"/>
        </w:rPr>
        <w:t xml:space="preserve">7</w:t>
      </w:r>
    </w:p>
    <w:p>
      <w:pPr>
        <w:pStyle w:val="TOC1"/>
        <w:tabs>
          <w:tab w:val="right" w:leader="dot" w:pos="9350"/>
        </w:tabs>
        <w:spacing w:before="60" w:after="0" w:line="250" w:lineRule="auto"/>
        <w:ind w:left="0"/>
      </w:pPr>
      <w:r>
        <w:rPr>
          <w:sz w:val="21"/>
          <w:b/>
          <w:color w:val="1F3864"/>
        </w:rPr>
        <w:t xml:space="preserve">5   Result 2 — compressor thermodynamics</w:t>
      </w:r>
      <w:r>
        <w:tab/>
      </w:r>
      <w:r>
        <w:rPr>
          <w:sz w:val="21"/>
          <w:b/>
          <w:color w:val="1F3864"/>
        </w:rPr>
        <w:t xml:space="preserve">7</w:t>
      </w:r>
    </w:p>
    <w:p>
      <w:pPr>
        <w:pStyle w:val="TOC1"/>
        <w:tabs>
          <w:tab w:val="right" w:leader="dot" w:pos="9350"/>
        </w:tabs>
        <w:spacing w:before="60" w:after="0" w:line="250" w:lineRule="auto"/>
        <w:ind w:left="0"/>
      </w:pPr>
      <w:r>
        <w:rPr>
          <w:sz w:val="21"/>
          <w:b/>
          <w:color w:val="1F3864"/>
        </w:rPr>
        <w:t xml:space="preserve">6   Result 3 — how efficient is the compressor?</w:t>
      </w:r>
      <w:r>
        <w:tab/>
      </w:r>
      <w:r>
        <w:rPr>
          <w:sz w:val="21"/>
          <w:b/>
          <w:color w:val="1F3864"/>
        </w:rPr>
        <w:t xml:space="preserve">8</w:t>
      </w:r>
    </w:p>
    <w:p>
      <w:pPr>
        <w:pStyle w:val="TOC1"/>
        <w:tabs>
          <w:tab w:val="right" w:leader="dot" w:pos="9350"/>
        </w:tabs>
        <w:spacing w:before="60" w:after="0" w:line="250" w:lineRule="auto"/>
        <w:ind w:left="0"/>
      </w:pPr>
      <w:r>
        <w:rPr>
          <w:sz w:val="21"/>
          <w:b/>
          <w:color w:val="1F3864"/>
        </w:rPr>
        <w:t xml:space="preserve">7   Result 4 — stage loading is not uniform</w:t>
      </w:r>
      <w:r>
        <w:tab/>
      </w:r>
      <w:r>
        <w:rPr>
          <w:sz w:val="21"/>
          <w:b/>
          <w:color w:val="1F3864"/>
        </w:rPr>
        <w:t xml:space="preserve">9</w:t>
      </w:r>
    </w:p>
    <w:p>
      <w:pPr>
        <w:pStyle w:val="TOC2"/>
        <w:tabs>
          <w:tab w:val="right" w:leader="dot" w:pos="9350"/>
        </w:tabs>
        <w:spacing w:before="0" w:after="0" w:line="250" w:lineRule="auto"/>
        <w:ind w:left="440"/>
      </w:pPr>
      <w:r>
        <w:rPr>
          <w:sz w:val="20"/>
          <w:color w:val="333333"/>
        </w:rPr>
        <w:t xml:space="preserve">7.1   Reason 1: equal work already gives unequal pressure ratios</w:t>
      </w:r>
      <w:r>
        <w:tab/>
      </w:r>
      <w:r>
        <w:rPr>
          <w:sz w:val="20"/>
          <w:color w:val="333333"/>
        </w:rPr>
        <w:t xml:space="preserve">10</w:t>
      </w:r>
    </w:p>
    <w:p>
      <w:pPr>
        <w:pStyle w:val="TOC2"/>
        <w:tabs>
          <w:tab w:val="right" w:leader="dot" w:pos="9350"/>
        </w:tabs>
        <w:spacing w:before="0" w:after="0" w:line="250" w:lineRule="auto"/>
        <w:ind w:left="440"/>
      </w:pPr>
      <w:r>
        <w:rPr>
          <w:sz w:val="20"/>
          <w:color w:val="333333"/>
        </w:rPr>
        <w:t xml:space="preserve">7.2   Reason 2: the stages do not do equal work</w:t>
      </w:r>
      <w:r>
        <w:tab/>
      </w:r>
      <w:r>
        <w:rPr>
          <w:sz w:val="20"/>
          <w:color w:val="333333"/>
        </w:rPr>
        <w:t xml:space="preserve">10</w:t>
      </w:r>
    </w:p>
    <w:p>
      <w:pPr>
        <w:pStyle w:val="TOC2"/>
        <w:tabs>
          <w:tab w:val="right" w:leader="dot" w:pos="9350"/>
        </w:tabs>
        <w:spacing w:before="0" w:after="0" w:line="250" w:lineRule="auto"/>
        <w:ind w:left="440"/>
      </w:pPr>
      <w:r>
        <w:rPr>
          <w:sz w:val="20"/>
          <w:color w:val="333333"/>
        </w:rPr>
        <w:t xml:space="preserve">7.3   The resulting stage distribution</w:t>
      </w:r>
      <w:r>
        <w:tab/>
      </w:r>
      <w:r>
        <w:rPr>
          <w:sz w:val="20"/>
          <w:color w:val="333333"/>
        </w:rPr>
        <w:t xml:space="preserve">10</w:t>
      </w:r>
    </w:p>
    <w:p>
      <w:pPr>
        <w:pStyle w:val="TOC1"/>
        <w:tabs>
          <w:tab w:val="right" w:leader="dot" w:pos="9350"/>
        </w:tabs>
        <w:spacing w:before="60" w:after="0" w:line="250" w:lineRule="auto"/>
        <w:ind w:left="0"/>
      </w:pPr>
      <w:r>
        <w:rPr>
          <w:sz w:val="21"/>
          <w:b/>
          <w:color w:val="1F3864"/>
        </w:rPr>
        <w:t xml:space="preserve">8   Result 5 — the first rotor: a transonic stage</w:t>
      </w:r>
      <w:r>
        <w:tab/>
      </w:r>
      <w:r>
        <w:rPr>
          <w:sz w:val="21"/>
          <w:b/>
          <w:color w:val="1F3864"/>
        </w:rPr>
        <w:t xml:space="preserve">11</w:t>
      </w:r>
    </w:p>
    <w:p>
      <w:pPr>
        <w:pStyle w:val="TOC1"/>
        <w:tabs>
          <w:tab w:val="right" w:leader="dot" w:pos="9350"/>
        </w:tabs>
        <w:spacing w:before="60" w:after="0" w:line="250" w:lineRule="auto"/>
        <w:ind w:left="0"/>
      </w:pPr>
      <w:r>
        <w:rPr>
          <w:sz w:val="21"/>
          <w:b/>
          <w:color w:val="1F3864"/>
        </w:rPr>
        <w:t xml:space="preserve">9   Result 6 — two ratings and a scaling puzzle</w:t>
      </w:r>
      <w:r>
        <w:tab/>
      </w:r>
      <w:r>
        <w:rPr>
          <w:sz w:val="21"/>
          <w:b/>
          <w:color w:val="1F3864"/>
        </w:rPr>
        <w:t xml:space="preserve">12</w:t>
      </w:r>
    </w:p>
    <w:p>
      <w:pPr>
        <w:pStyle w:val="TOC1"/>
        <w:tabs>
          <w:tab w:val="right" w:leader="dot" w:pos="9350"/>
        </w:tabs>
        <w:spacing w:before="60" w:after="0" w:line="250" w:lineRule="auto"/>
        <w:ind w:left="0"/>
      </w:pPr>
      <w:r>
        <w:rPr>
          <w:sz w:val="21"/>
          <w:b/>
          <w:color w:val="1F3864"/>
        </w:rPr>
        <w:t xml:space="preserve">10   What drives what: sensitivity</w:t>
      </w:r>
      <w:r>
        <w:tab/>
      </w:r>
      <w:r>
        <w:rPr>
          <w:sz w:val="21"/>
          <w:b/>
          <w:color w:val="1F3864"/>
        </w:rPr>
        <w:t xml:space="preserve">13</w:t>
      </w:r>
    </w:p>
    <w:p>
      <w:pPr>
        <w:pStyle w:val="TOC1"/>
        <w:tabs>
          <w:tab w:val="right" w:leader="dot" w:pos="9350"/>
        </w:tabs>
        <w:spacing w:before="60" w:after="0" w:line="250" w:lineRule="auto"/>
        <w:ind w:left="0"/>
      </w:pPr>
      <w:r>
        <w:rPr>
          <w:sz w:val="21"/>
          <w:b/>
          <w:color w:val="1F3864"/>
        </w:rPr>
        <w:t xml:space="preserve">11   How the AI was used, and where it went wrong</w:t>
      </w:r>
      <w:r>
        <w:tab/>
      </w:r>
      <w:r>
        <w:rPr>
          <w:sz w:val="21"/>
          <w:b/>
          <w:color w:val="1F3864"/>
        </w:rPr>
        <w:t xml:space="preserve">14</w:t>
      </w:r>
    </w:p>
    <w:p>
      <w:pPr>
        <w:pStyle w:val="TOC1"/>
        <w:tabs>
          <w:tab w:val="right" w:leader="dot" w:pos="9350"/>
        </w:tabs>
        <w:spacing w:before="60" w:after="0" w:line="250" w:lineRule="auto"/>
        <w:ind w:left="0"/>
      </w:pPr>
      <w:r>
        <w:rPr>
          <w:sz w:val="21"/>
          <w:b/>
          <w:color w:val="1F3864"/>
        </w:rPr>
        <w:t xml:space="preserve">12   Preparing for the 15 Aban report</w:t>
      </w:r>
      <w:r>
        <w:tab/>
      </w:r>
      <w:r>
        <w:rPr>
          <w:sz w:val="21"/>
          <w:b/>
          <w:color w:val="1F3864"/>
        </w:rPr>
        <w:t xml:space="preserve">14</w:t>
      </w:r>
    </w:p>
    <w:p>
      <w:pPr>
        <w:pStyle w:val="TOC1"/>
        <w:tabs>
          <w:tab w:val="right" w:leader="dot" w:pos="9350"/>
        </w:tabs>
        <w:spacing w:before="60" w:after="0" w:line="250" w:lineRule="auto"/>
        <w:ind w:left="0"/>
      </w:pPr>
      <w:r>
        <w:rPr>
          <w:sz w:val="21"/>
          <w:b/>
          <w:color w:val="1F3864"/>
        </w:rPr>
        <w:t xml:space="preserve">Sources</w:t>
      </w:r>
      <w:r>
        <w:tab/>
      </w:r>
      <w:r>
        <w:rPr>
          <w:sz w:val="21"/>
          <w:b/>
          <w:color w:val="1F3864"/>
        </w:rPr>
        <w:t xml:space="preserve">15</w:t>
      </w:r>
    </w:p>
    <w:p>
      <w:pPr>
        <w:pStyle w:val="TOC1"/>
        <w:tabs>
          <w:tab w:val="right" w:leader="dot" w:pos="9350"/>
        </w:tabs>
        <w:spacing w:before="60" w:after="0" w:line="250" w:lineRule="auto"/>
        <w:ind w:left="0"/>
      </w:pPr>
      <w:r>
        <w:rPr>
          <w:sz w:val="21"/>
          <w:b/>
          <w:color w:val="1F3864"/>
        </w:rPr>
        <w:t xml:space="preserve">Appendix A — Full stage table (448 MW rating)</w:t>
      </w:r>
      <w:r>
        <w:tab/>
      </w:r>
      <w:r>
        <w:rPr>
          <w:sz w:val="21"/>
          <w:b/>
          <w:color w:val="1F3864"/>
        </w:rPr>
        <w:t xml:space="preserve">16</w:t>
      </w:r>
    </w:p>
    <w:p>
      <w:pPr>
        <w:pStyle w:val="TOC1"/>
        <w:tabs>
          <w:tab w:val="right" w:leader="dot" w:pos="9350"/>
        </w:tabs>
        <w:spacing w:before="60" w:after="0" w:line="250" w:lineRule="auto"/>
        <w:ind w:left="0"/>
      </w:pPr>
      <w:r>
        <w:rPr>
          <w:sz w:val="21"/>
          <w:b/>
          <w:color w:val="1F3864"/>
        </w:rPr>
        <w:t xml:space="preserve">Appendix B — Results for the 574 MW rating</w:t>
      </w:r>
      <w:r>
        <w:tab/>
      </w:r>
      <w:r>
        <w:rPr>
          <w:sz w:val="21"/>
          <w:b/>
          <w:color w:val="1F3864"/>
        </w:rPr>
        <w:t xml:space="preserve">16</w:t>
      </w:r>
      <w:r>
        <w:fldChar w:fldCharType="end"/>
      </w:r>
    </w:p>
    <w:p>
      <w:r>
        <w:br w:type="page"/>
      </w:r>
    </w:p>
    <w:bookmarkStart w:id="20" w:name="how-to-read-this-report"/>
    <w:p>
      <w:pPr>
        <w:pStyle w:val="Heading1"/>
      </w:pPr>
      <w:r>
        <w:t xml:space="preserve">How to read this report</w:t>
      </w:r>
    </w:p>
    <w:p>
      <w:pPr>
        <w:pStyle w:val="FirstParagraph"/>
      </w:pPr>
      <w:r>
        <w:t xml:space="preserve">This report has two purposes. First, it records what has been done so far on the new machine, so that both of us know the reasoning behind every number before the 15 Aban report is written. Second, it is meant to</w:t>
      </w:r>
      <w:r>
        <w:t xml:space="preserve"> </w:t>
      </w:r>
      <w:r>
        <w:rPr>
          <w:iCs/>
          <w:i/>
        </w:rPr>
        <w:t xml:space="preserve">teach</w:t>
      </w:r>
      <w:r>
        <w:t xml:space="preserve">: each result comes with the physics that explains it, so that we can defend it in an oral discussion. Two kinds of side notes appear throughout:</w:t>
      </w:r>
    </w:p>
    <w:p>
      <w:pPr>
        <w:numPr>
          <w:ilvl w:val="0"/>
          <w:numId w:val="1001"/>
        </w:numPr>
        <w:pStyle w:val="Compact"/>
      </w:pPr>
      <w:r>
        <w:rPr>
          <w:bCs/>
          <w:b/>
        </w:rPr>
        <w:t xml:space="preserve">Learning note</w:t>
      </w:r>
      <w:r>
        <w:t xml:space="preserve"> </w:t>
      </w:r>
      <w:r>
        <w:t xml:space="preserve">— the turbomachinery idea behind a result (with the textbook section to read).</w:t>
      </w:r>
    </w:p>
    <w:p>
      <w:pPr>
        <w:numPr>
          <w:ilvl w:val="0"/>
          <w:numId w:val="1001"/>
        </w:numPr>
        <w:pStyle w:val="Compact"/>
      </w:pPr>
      <w:r>
        <w:rPr>
          <w:bCs/>
          <w:b/>
        </w:rPr>
        <w:t xml:space="preserve">Caution</w:t>
      </w:r>
      <w:r>
        <w:t xml:space="preserve"> </w:t>
      </w:r>
      <w:r>
        <w:t xml:space="preserve">— a place where a number is weaker than it looks, or where we found a mistake.</w:t>
      </w:r>
    </w:p>
    <w:p>
      <w:pPr>
        <w:pStyle w:val="FirstParagraph"/>
      </w:pPr>
      <w:r>
        <w:t xml:space="preserve">Every input carries a tag:</w:t>
      </w:r>
      <w:r>
        <w:t xml:space="preserve"> </w:t>
      </w:r>
      <w:r>
        <w:rPr>
          <w:bCs/>
          <w:b/>
        </w:rPr>
        <w:t xml:space="preserve">[CAT]</w:t>
      </w:r>
      <w:r>
        <w:t xml:space="preserve"> </w:t>
      </w:r>
      <w:r>
        <w:t xml:space="preserve">published in the Mitsubishi GTCC catalogue (D2),</w:t>
      </w:r>
      <w:r>
        <w:t xml:space="preserve"> </w:t>
      </w:r>
      <w:r>
        <w:rPr>
          <w:bCs/>
          <w:b/>
        </w:rPr>
        <w:t xml:space="preserve">[DOC]</w:t>
      </w:r>
      <w:r>
        <w:t xml:space="preserve"> </w:t>
      </w:r>
      <w:r>
        <w:t xml:space="preserve">stated in an MHI Technical Review (D3–D8),</w:t>
      </w:r>
      <w:r>
        <w:t xml:space="preserve"> </w:t>
      </w:r>
      <w:r>
        <w:rPr>
          <w:bCs/>
          <w:b/>
        </w:rPr>
        <w:t xml:space="preserve">[STD]</w:t>
      </w:r>
      <w:r>
        <w:t xml:space="preserve"> </w:t>
      </w:r>
      <w:r>
        <w:t xml:space="preserve">a physical or ISO standard value,</w:t>
      </w:r>
      <w:r>
        <w:t xml:space="preserve"> </w:t>
      </w:r>
      <w:r>
        <w:rPr>
          <w:bCs/>
          <w:b/>
        </w:rPr>
        <w:t xml:space="preserve">[RNG]</w:t>
      </w:r>
      <w:r>
        <w:t xml:space="preserve"> </w:t>
      </w:r>
      <w:r>
        <w:t xml:space="preserve">not published and therefore carried as a range. The document list is at the end of the report.</w:t>
      </w:r>
    </w:p>
    <w:bookmarkEnd w:id="20"/>
    <w:bookmarkStart w:id="21" w:name="why-the-m701jac"/>
    <w:p>
      <w:pPr>
        <w:pStyle w:val="Heading1"/>
      </w:pPr>
      <w:r>
        <w:rPr>
          <w:rStyle w:val="SectionNumber"/>
        </w:rPr>
        <w:t xml:space="preserve">1</w:t>
      </w:r>
      <w:r>
        <w:tab/>
      </w:r>
      <w:r>
        <w:t xml:space="preserve">Why the M701JAC</w:t>
      </w:r>
    </w:p>
    <w:p>
      <w:pPr>
        <w:pStyle w:val="FirstParagraph"/>
      </w:pPr>
      <w:r>
        <w:t xml:space="preserve">After the Phase 1 submission we moved from the MAPNA MGT-70(3) (a 1990s-design, V94.2-class machine with pressure ratio 12) to the</w:t>
      </w:r>
      <w:r>
        <w:t xml:space="preserve"> </w:t>
      </w:r>
      <w:r>
        <w:rPr>
          <w:bCs/>
          <w:b/>
        </w:rPr>
        <w:t xml:space="preserve">Mitsubishi Power M701JAC</w:t>
      </w:r>
      <w:r>
        <w:t xml:space="preserve">, the 50 Hz member of the J-series and one of the most efficient gas turbines in service. It is a better study object for three reasons:</w:t>
      </w:r>
    </w:p>
    <w:p>
      <w:pPr>
        <w:numPr>
          <w:ilvl w:val="0"/>
          <w:numId w:val="1002"/>
        </w:numPr>
        <w:pStyle w:val="Compact"/>
      </w:pPr>
      <w:r>
        <w:rPr>
          <w:bCs/>
          <w:b/>
        </w:rPr>
        <w:t xml:space="preserve">It is modern.</w:t>
      </w:r>
      <w:r>
        <w:t xml:space="preserve"> </w:t>
      </w:r>
      <w:r>
        <w:t xml:space="preserve">Its compressor reaches a pressure ratio of 25 in only 15 stages, with transonic front stages, a</w:t>
      </w:r>
      <w:r>
        <w:t xml:space="preserve"> </w:t>
      </w:r>
      <w:r>
        <w:t xml:space="preserve">“</w:t>
      </w:r>
      <w:r>
        <w:t xml:space="preserve">high-load</w:t>
      </w:r>
      <w:r>
        <w:t xml:space="preserve">”</w:t>
      </w:r>
      <w:r>
        <w:t xml:space="preserve"> </w:t>
      </w:r>
      <w:r>
        <w:t xml:space="preserve">design and four rows of variable vanes. It shows the current state of the art rather than the 1990s one.</w:t>
      </w:r>
    </w:p>
    <w:p>
      <w:pPr>
        <w:numPr>
          <w:ilvl w:val="0"/>
          <w:numId w:val="1002"/>
        </w:numPr>
        <w:pStyle w:val="Compact"/>
      </w:pPr>
      <w:r>
        <w:rPr>
          <w:bCs/>
          <w:b/>
        </w:rPr>
        <w:t xml:space="preserve">It is unusually well documented for a commercial machine.</w:t>
      </w:r>
      <w:r>
        <w:t xml:space="preserve"> </w:t>
      </w:r>
      <w:r>
        <w:t xml:space="preserve">MHI publishes a full ISO rating table, and its Technical Review papers describe the compressor’s design concept, verification tests and development history (D2–D8).</w:t>
      </w:r>
    </w:p>
    <w:p>
      <w:pPr>
        <w:numPr>
          <w:ilvl w:val="0"/>
          <w:numId w:val="1002"/>
        </w:numPr>
        <w:pStyle w:val="Compact"/>
      </w:pPr>
      <w:r>
        <w:rPr>
          <w:bCs/>
          <w:b/>
        </w:rPr>
        <w:t xml:space="preserve">It is in wide service.</w:t>
      </w:r>
      <w:r>
        <w:t xml:space="preserve"> </w:t>
      </w:r>
      <w:r>
        <w:t xml:space="preserve">Ten M701JAC units (6,700 MW) have operated in Thailand since 2021, with 140,000 operating hours [DOC D3]. The J-series fleet has more than 3 million operating hours [CAT D2].</w:t>
      </w:r>
    </w:p>
    <w:p>
      <w:pPr>
        <w:pStyle w:val="FirstParagraph"/>
      </w:pPr>
      <w:r>
        <w:t xml:space="preserve">The price of choosing a modern machine is that the information we most need, the blade geometry, is proprietary. The whole method in this report is built around that fact.</w:t>
      </w:r>
    </w:p>
    <w:bookmarkEnd w:id="21"/>
    <w:bookmarkStart w:id="26" w:name="Xd60d01dd0994425dc28831529f3acd7a61fd0f8"/>
    <w:p>
      <w:pPr>
        <w:pStyle w:val="Heading1"/>
      </w:pPr>
      <w:r>
        <w:rPr>
          <w:rStyle w:val="SectionNumber"/>
        </w:rPr>
        <w:t xml:space="preserve">2</w:t>
      </w:r>
      <w:r>
        <w:tab/>
      </w:r>
      <w:r>
        <w:t xml:space="preserve">What Mitsubishi publishes about the machine</w:t>
      </w:r>
    </w:p>
    <w:bookmarkStart w:id="22" w:name="the-family-history-in-one-table"/>
    <w:p>
      <w:pPr>
        <w:pStyle w:val="Heading2"/>
      </w:pPr>
      <w:r>
        <w:rPr>
          <w:rStyle w:val="SectionNumber"/>
        </w:rPr>
        <w:t xml:space="preserve">2.1</w:t>
      </w:r>
      <w:r>
        <w:tab/>
      </w:r>
      <w:r>
        <w:t xml:space="preserve">The family history in one table</w:t>
      </w:r>
    </w:p>
    <w:p>
      <w:pPr>
        <w:pStyle w:val="FirstParagraph"/>
      </w:pPr>
      <w:r>
        <w:t xml:space="preserve">The JAC is the latest step in a line of large-frame designs. Knowing the line explains many design choices, because each generation reused the previous compressor technology.</w:t>
      </w:r>
    </w:p>
    <w:p>
      <w:pPr>
        <w:pStyle w:val="TableCaption"/>
      </w:pPr>
      <w:r>
        <w:t xml:space="preserve">Table 1. Evolution of the Mitsubishi large-frame compressor.</w:t>
      </w:r>
    </w:p>
    <w:tbl>
      <w:tblPr>
        <w:tblStyle w:val="Table"/>
        <w:tblW w:type="pct" w:w="5000"/>
        <w:tblLook w:firstRow="1" w:lastRow="0" w:firstColumn="0" w:lastColumn="0" w:noHBand="0" w:noVBand="0" w:val="0020"/>
        <w:tblCaption w:val="Table 1. Evolution of the Mitsubishi large-frame compressor."/>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131"/>
        <w:gridCol w:w="1234"/>
        <w:gridCol w:w="1851"/>
        <w:gridCol w:w="617"/>
        <w:gridCol w:w="1234"/>
        <w:gridCol w:w="1851"/>
      </w:tblGrid>
      <w:tr>
        <w:trPr>
          <w:tblHeader w:val="true"/>
          <w:tblHeader w:val="true"/>
          <w:cantSplit/>
        </w:trPr>
        <w:tc>
          <w:tcPr>
            <w:shd w:val="clear" w:color="auto" w:fill="1F3864"/>
          </w:tcPr>
          <w:p>
            <w:pPr>
              <w:pStyle w:val="Compact"/>
              <w:spacing w:after="20" w:before="20"/>
              <w:jc w:val="left"/>
            </w:pPr>
            <w:r>
              <w:rPr>
                <w:b/>
                <w:color w:val="FFFFFF"/>
                <w:sz w:val="19"/>
              </w:rPr>
              <w:t xml:space="preserve">Model</w:t>
            </w:r>
          </w:p>
        </w:tc>
        <w:tc>
          <w:tcPr>
            <w:shd w:val="clear" w:color="auto" w:fill="1F3864"/>
          </w:tcPr>
          <w:p>
            <w:pPr>
              <w:pStyle w:val="Compact"/>
              <w:spacing w:after="20" w:before="20"/>
              <w:jc w:val="left"/>
            </w:pPr>
            <w:r>
              <w:rPr>
                <w:b/>
                <w:color w:val="FFFFFF"/>
                <w:sz w:val="19"/>
              </w:rPr>
              <w:t xml:space="preserve">Freq. / speed</w:t>
            </w:r>
          </w:p>
        </w:tc>
        <w:tc>
          <w:tcPr>
            <w:shd w:val="clear" w:color="auto" w:fill="1F3864"/>
          </w:tcPr>
          <w:p>
            <w:pPr>
              <w:pStyle w:val="Compact"/>
              <w:spacing w:after="20" w:before="20"/>
              <w:jc w:val="left"/>
            </w:pPr>
            <w:r>
              <w:rPr>
                <w:b/>
                <w:color w:val="FFFFFF"/>
                <w:sz w:val="19"/>
              </w:rPr>
              <w:t xml:space="preserve">Compressor</w:t>
            </w:r>
          </w:p>
        </w:tc>
        <w:tc>
          <w:tcPr>
            <w:shd w:val="clear" w:color="auto" w:fill="1F3864"/>
          </w:tcPr>
          <w:p>
            <w:pPr>
              <w:pStyle w:val="Compact"/>
              <w:spacing w:after="20" w:before="20"/>
              <w:jc w:val="left"/>
            </w:pPr>
            <w:r>
              <w:rPr>
                <w:b/>
                <w:color w:val="FFFFFF"/>
                <w:sz w:val="19"/>
              </w:rPr>
              <w:t xml:space="preserve">PR</w:t>
            </w:r>
          </w:p>
        </w:tc>
        <w:tc>
          <w:tcPr>
            <w:shd w:val="clear" w:color="auto" w:fill="1F3864"/>
          </w:tcPr>
          <w:p>
            <w:pPr>
              <w:pStyle w:val="Compact"/>
              <w:spacing w:after="20" w:before="20"/>
              <w:jc w:val="left"/>
            </w:pPr>
            <w:r>
              <w:rPr>
                <w:b/>
                <w:color w:val="FFFFFF"/>
                <w:sz w:val="19"/>
              </w:rPr>
              <w:t xml:space="preserve">GT output</w:t>
            </w:r>
          </w:p>
        </w:tc>
        <w:tc>
          <w:tcPr>
            <w:shd w:val="clear" w:color="auto" w:fill="1F3864"/>
          </w:tcPr>
          <w:p>
            <w:pPr>
              <w:pStyle w:val="Compact"/>
              <w:spacing w:after="20" w:before="20"/>
              <w:jc w:val="left"/>
            </w:pPr>
            <w:r>
              <w:rPr>
                <w:b/>
                <w:color w:val="FFFFFF"/>
                <w:sz w:val="19"/>
              </w:rPr>
              <w:t xml:space="preserve">Source</w:t>
            </w:r>
          </w:p>
        </w:tc>
      </w:tr>
      <w:tr>
        <w:trPr>
          <w:cantSplit/>
        </w:trPr>
        <w:tc>
          <w:tcPr/>
          <w:p>
            <w:pPr>
              <w:pStyle w:val="Compact"/>
              <w:spacing w:after="20" w:before="20"/>
              <w:jc w:val="left"/>
            </w:pPr>
            <w:r>
              <w:rPr>
                <w:sz w:val="19"/>
              </w:rPr>
              <w:t xml:space="preserve">M501G</w:t>
            </w:r>
          </w:p>
        </w:tc>
        <w:tc>
          <w:tcPr/>
          <w:p>
            <w:pPr>
              <w:pStyle w:val="Compact"/>
              <w:spacing w:after="20" w:before="20"/>
              <w:jc w:val="left"/>
            </w:pPr>
            <w:r>
              <w:rPr>
                <w:sz w:val="19"/>
              </w:rPr>
              <w:t xml:space="preserve">60 Hz / 3600 rpm</w:t>
            </w:r>
          </w:p>
        </w:tc>
        <w:tc>
          <w:tcPr/>
          <w:p>
            <w:pPr>
              <w:pStyle w:val="Compact"/>
              <w:spacing w:after="20" w:before="20"/>
              <w:jc w:val="left"/>
            </w:pPr>
            <w:r>
              <w:rPr>
                <w:sz w:val="19"/>
              </w:rPr>
              <w:t xml:space="preserve">17 stages</w:t>
            </w:r>
          </w:p>
        </w:tc>
        <w:tc>
          <w:tcPr/>
          <w:p>
            <w:pPr>
              <w:pStyle w:val="Compact"/>
              <w:spacing w:after="20" w:before="20"/>
              <w:jc w:val="left"/>
            </w:pPr>
            <w:r>
              <w:rPr>
                <w:sz w:val="19"/>
              </w:rPr>
              <w:t xml:space="preserve">20</w:t>
            </w:r>
          </w:p>
        </w:tc>
        <w:tc>
          <w:tcPr/>
          <w:p>
            <w:pPr>
              <w:pStyle w:val="Compact"/>
              <w:spacing w:after="20" w:before="20"/>
              <w:jc w:val="left"/>
            </w:pPr>
            <w:r>
              <w:rPr>
                <w:sz w:val="19"/>
              </w:rPr>
              <w:t xml:space="preserve">267 MW</w:t>
            </w:r>
          </w:p>
        </w:tc>
        <w:tc>
          <w:tcPr/>
          <w:p>
            <w:pPr>
              <w:pStyle w:val="Compact"/>
              <w:spacing w:after="20" w:before="20"/>
              <w:jc w:val="left"/>
            </w:pPr>
            <w:r>
              <w:rPr>
                <w:sz w:val="19"/>
              </w:rPr>
              <w:t xml:space="preserve">[DOC D6]</w:t>
            </w:r>
          </w:p>
        </w:tc>
      </w:tr>
      <w:tr>
        <w:trPr>
          <w:cantSplit/>
        </w:trPr>
        <w:tc>
          <w:tcPr>
            <w:shd w:val="clear" w:color="auto" w:fill="F2F6FA"/>
          </w:tcPr>
          <w:p>
            <w:pPr>
              <w:pStyle w:val="Compact"/>
              <w:spacing w:after="20" w:before="20"/>
              <w:jc w:val="left"/>
            </w:pPr>
            <w:r>
              <w:rPr>
                <w:sz w:val="19"/>
              </w:rPr>
              <w:t xml:space="preserve">H-series</w:t>
            </w:r>
          </w:p>
        </w:tc>
        <w:tc>
          <w:tcPr>
            <w:shd w:val="clear" w:color="auto" w:fill="F2F6FA"/>
          </w:tcPr>
          <w:p>
            <w:pPr>
              <w:pStyle w:val="Compact"/>
              <w:spacing w:after="20" w:before="20"/>
              <w:jc w:val="left"/>
            </w:pPr>
            <w:r>
              <w:rPr>
                <w:sz w:val="19"/>
              </w:rPr>
              <w:t xml:space="preserve">—</w:t>
            </w:r>
          </w:p>
        </w:tc>
        <w:tc>
          <w:tcPr>
            <w:shd w:val="clear" w:color="auto" w:fill="F2F6FA"/>
          </w:tcPr>
          <w:p>
            <w:pPr>
              <w:pStyle w:val="Compact"/>
              <w:spacing w:after="20" w:before="20"/>
              <w:jc w:val="left"/>
            </w:pPr>
            <w:r>
              <w:rPr>
                <w:sz w:val="19"/>
              </w:rPr>
              <w:t xml:space="preserve">(compressor verified at T-Point, 2001)</w:t>
            </w:r>
          </w:p>
        </w:tc>
        <w:tc>
          <w:tcPr>
            <w:shd w:val="clear" w:color="auto" w:fill="F2F6FA"/>
          </w:tcPr>
          <w:p>
            <w:pPr>
              <w:pStyle w:val="Compact"/>
              <w:spacing w:after="20" w:before="20"/>
              <w:jc w:val="left"/>
            </w:pPr>
            <w:r>
              <w:rPr>
                <w:sz w:val="19"/>
              </w:rPr>
              <w:t xml:space="preserve">25</w:t>
            </w:r>
          </w:p>
        </w:tc>
        <w:tc>
          <w:tcPr>
            <w:shd w:val="clear" w:color="auto" w:fill="F2F6FA"/>
          </w:tcPr>
          <w:p>
            <w:pPr>
              <w:pStyle w:val="Compact"/>
              <w:spacing w:after="20" w:before="20"/>
              <w:jc w:val="left"/>
            </w:pPr>
            <w:r>
              <w:rPr>
                <w:sz w:val="19"/>
              </w:rPr>
              <w:t xml:space="preserve">—</w:t>
            </w:r>
          </w:p>
        </w:tc>
        <w:tc>
          <w:tcPr>
            <w:shd w:val="clear" w:color="auto" w:fill="F2F6FA"/>
          </w:tcPr>
          <w:p>
            <w:pPr>
              <w:pStyle w:val="Compact"/>
              <w:spacing w:after="20" w:before="20"/>
              <w:jc w:val="left"/>
            </w:pPr>
            <w:r>
              <w:rPr>
                <w:sz w:val="19"/>
              </w:rPr>
              <w:t xml:space="preserve">[DOC D4, D6]</w:t>
            </w:r>
          </w:p>
        </w:tc>
      </w:tr>
      <w:tr>
        <w:trPr>
          <w:cantSplit/>
        </w:trPr>
        <w:tc>
          <w:tcPr/>
          <w:p>
            <w:pPr>
              <w:pStyle w:val="Compact"/>
              <w:spacing w:after="20" w:before="20"/>
              <w:jc w:val="left"/>
            </w:pPr>
            <w:r>
              <w:rPr>
                <w:sz w:val="19"/>
              </w:rPr>
              <w:t xml:space="preserve">M501J</w:t>
            </w:r>
          </w:p>
        </w:tc>
        <w:tc>
          <w:tcPr/>
          <w:p>
            <w:pPr>
              <w:pStyle w:val="Compact"/>
              <w:spacing w:after="20" w:before="20"/>
              <w:jc w:val="left"/>
            </w:pPr>
            <w:r>
              <w:rPr>
                <w:sz w:val="19"/>
              </w:rPr>
              <w:t xml:space="preserve">60 Hz / 3600 rpm</w:t>
            </w:r>
          </w:p>
        </w:tc>
        <w:tc>
          <w:tcPr/>
          <w:p>
            <w:pPr>
              <w:pStyle w:val="Compact"/>
              <w:spacing w:after="20" w:before="20"/>
              <w:jc w:val="left"/>
            </w:pPr>
            <w:r>
              <w:rPr>
                <w:sz w:val="19"/>
              </w:rPr>
              <w:t xml:space="preserve">15 stages, based on the H-series compressor</w:t>
            </w:r>
          </w:p>
        </w:tc>
        <w:tc>
          <w:tcPr/>
          <w:p>
            <w:pPr>
              <w:pStyle w:val="Compact"/>
              <w:spacing w:after="20" w:before="20"/>
              <w:jc w:val="left"/>
            </w:pPr>
            <w:r>
              <w:rPr>
                <w:sz w:val="19"/>
              </w:rPr>
              <w:t xml:space="preserve">23</w:t>
            </w:r>
          </w:p>
        </w:tc>
        <w:tc>
          <w:tcPr/>
          <w:p>
            <w:pPr>
              <w:pStyle w:val="Compact"/>
              <w:spacing w:after="20" w:before="20"/>
              <w:jc w:val="left"/>
            </w:pPr>
            <w:r>
              <w:rPr>
                <w:sz w:val="19"/>
              </w:rPr>
              <w:t xml:space="preserve">327–330 MW</w:t>
            </w:r>
          </w:p>
        </w:tc>
        <w:tc>
          <w:tcPr/>
          <w:p>
            <w:pPr>
              <w:pStyle w:val="Compact"/>
              <w:spacing w:after="20" w:before="20"/>
              <w:jc w:val="left"/>
            </w:pPr>
            <w:r>
              <w:rPr>
                <w:sz w:val="19"/>
              </w:rPr>
              <w:t xml:space="preserve">[DOC D5, D6, D4]</w:t>
            </w:r>
          </w:p>
        </w:tc>
      </w:tr>
      <w:tr>
        <w:trPr>
          <w:cantSplit/>
        </w:trPr>
        <w:tc>
          <w:tcPr>
            <w:shd w:val="clear" w:color="auto" w:fill="F2F6FA"/>
          </w:tcPr>
          <w:p>
            <w:pPr>
              <w:pStyle w:val="Compact"/>
              <w:spacing w:after="20" w:before="20"/>
              <w:jc w:val="left"/>
            </w:pPr>
            <w:r>
              <w:rPr>
                <w:sz w:val="19"/>
              </w:rPr>
              <w:t xml:space="preserve">M701J</w:t>
            </w:r>
          </w:p>
        </w:tc>
        <w:tc>
          <w:tcPr>
            <w:shd w:val="clear" w:color="auto" w:fill="F2F6FA"/>
          </w:tcPr>
          <w:p>
            <w:pPr>
              <w:pStyle w:val="Compact"/>
              <w:spacing w:after="20" w:before="20"/>
              <w:jc w:val="left"/>
            </w:pPr>
            <w:r>
              <w:rPr>
                <w:sz w:val="19"/>
              </w:rPr>
              <w:t xml:space="preserve">50 Hz / 3000 rpm</w:t>
            </w:r>
          </w:p>
        </w:tc>
        <w:tc>
          <w:tcPr>
            <w:shd w:val="clear" w:color="auto" w:fill="F2F6FA"/>
          </w:tcPr>
          <w:p>
            <w:pPr>
              <w:pStyle w:val="Compact"/>
              <w:spacing w:after="20" w:before="20"/>
              <w:jc w:val="left"/>
            </w:pPr>
            <w:r>
              <w:rPr>
                <w:sz w:val="19"/>
              </w:rPr>
              <w:t xml:space="preserve">15 stages; 1.2× geometric scale of the M501J</w:t>
            </w:r>
          </w:p>
        </w:tc>
        <w:tc>
          <w:tcPr>
            <w:shd w:val="clear" w:color="auto" w:fill="F2F6FA"/>
          </w:tcPr>
          <w:p>
            <w:pPr>
              <w:pStyle w:val="Compact"/>
              <w:spacing w:after="20" w:before="20"/>
              <w:jc w:val="left"/>
            </w:pPr>
            <w:r>
              <w:rPr>
                <w:sz w:val="19"/>
              </w:rPr>
              <w:t xml:space="preserve">23</w:t>
            </w:r>
          </w:p>
        </w:tc>
        <w:tc>
          <w:tcPr>
            <w:shd w:val="clear" w:color="auto" w:fill="F2F6FA"/>
          </w:tcPr>
          <w:p>
            <w:pPr>
              <w:pStyle w:val="Compact"/>
              <w:spacing w:after="20" w:before="20"/>
              <w:jc w:val="left"/>
            </w:pPr>
            <w:r>
              <w:rPr>
                <w:sz w:val="19"/>
              </w:rPr>
              <w:t xml:space="preserve">GTCC 680 MW</w:t>
            </w:r>
          </w:p>
        </w:tc>
        <w:tc>
          <w:tcPr>
            <w:shd w:val="clear" w:color="auto" w:fill="F2F6FA"/>
          </w:tcPr>
          <w:p>
            <w:pPr>
              <w:pStyle w:val="Compact"/>
              <w:spacing w:after="20" w:before="20"/>
              <w:jc w:val="left"/>
            </w:pPr>
            <w:r>
              <w:rPr>
                <w:sz w:val="19"/>
              </w:rPr>
              <w:t xml:space="preserve">[DOC D5]</w:t>
            </w:r>
          </w:p>
        </w:tc>
      </w:tr>
      <w:tr>
        <w:trPr>
          <w:cantSplit/>
        </w:trPr>
        <w:tc>
          <w:tcPr/>
          <w:p>
            <w:pPr>
              <w:pStyle w:val="Compact"/>
              <w:spacing w:after="20" w:before="20"/>
              <w:jc w:val="left"/>
            </w:pPr>
            <w:r>
              <w:rPr>
                <w:sz w:val="19"/>
              </w:rPr>
              <w:t xml:space="preserve">M501JAC</w:t>
            </w:r>
          </w:p>
        </w:tc>
        <w:tc>
          <w:tcPr/>
          <w:p>
            <w:pPr>
              <w:pStyle w:val="Compact"/>
              <w:spacing w:after="20" w:before="20"/>
              <w:jc w:val="left"/>
            </w:pPr>
            <w:r>
              <w:rPr>
                <w:sz w:val="19"/>
              </w:rPr>
              <w:t xml:space="preserve">60 Hz / 3600 rpm</w:t>
            </w:r>
          </w:p>
        </w:tc>
        <w:tc>
          <w:tcPr/>
          <w:p>
            <w:pPr>
              <w:pStyle w:val="Compact"/>
              <w:spacing w:after="20" w:before="20"/>
              <w:jc w:val="left"/>
            </w:pPr>
            <w:r>
              <w:rPr>
                <w:sz w:val="19"/>
              </w:rPr>
              <w:t xml:space="preserve">same flow-path shape as J; PR raised</w:t>
            </w:r>
          </w:p>
        </w:tc>
        <w:tc>
          <w:tcPr/>
          <w:p>
            <w:pPr>
              <w:pStyle w:val="Compact"/>
              <w:spacing w:after="20" w:before="20"/>
              <w:jc w:val="left"/>
            </w:pPr>
            <w:r>
              <w:rPr>
                <w:sz w:val="19"/>
              </w:rPr>
              <w:t xml:space="preserve">25 / &gt; 25</w:t>
            </w:r>
          </w:p>
        </w:tc>
        <w:tc>
          <w:tcPr/>
          <w:p>
            <w:pPr>
              <w:pStyle w:val="Compact"/>
              <w:spacing w:after="20" w:before="20"/>
              <w:jc w:val="left"/>
            </w:pPr>
            <w:r>
              <w:rPr>
                <w:sz w:val="19"/>
              </w:rPr>
              <w:t xml:space="preserve">425–453 MW</w:t>
            </w:r>
          </w:p>
        </w:tc>
        <w:tc>
          <w:tcPr/>
          <w:p>
            <w:pPr>
              <w:pStyle w:val="Compact"/>
              <w:spacing w:after="20" w:before="20"/>
              <w:jc w:val="left"/>
            </w:pPr>
            <w:r>
              <w:rPr>
                <w:sz w:val="19"/>
              </w:rPr>
              <w:t xml:space="preserve">[DOC D4], [CAT D2]</w:t>
            </w:r>
          </w:p>
        </w:tc>
      </w:tr>
      <w:tr>
        <w:trPr>
          <w:cantSplit/>
        </w:trPr>
        <w:tc>
          <w:tcPr>
            <w:shd w:val="clear" w:color="auto" w:fill="F2F6FA"/>
          </w:tcPr>
          <w:p>
            <w:pPr>
              <w:pStyle w:val="Compact"/>
              <w:spacing w:after="20" w:before="20"/>
              <w:jc w:val="left"/>
            </w:pPr>
            <w:r>
              <w:rPr>
                <w:bCs/>
                <w:b/>
                <w:sz w:val="19"/>
              </w:rPr>
              <w:t xml:space="preserve">M701JAC</w:t>
            </w:r>
          </w:p>
        </w:tc>
        <w:tc>
          <w:tcPr>
            <w:shd w:val="clear" w:color="auto" w:fill="F2F6FA"/>
          </w:tcPr>
          <w:p>
            <w:pPr>
              <w:pStyle w:val="Compact"/>
              <w:spacing w:after="20" w:before="20"/>
              <w:jc w:val="left"/>
            </w:pPr>
            <w:r>
              <w:rPr>
                <w:bCs/>
                <w:b/>
                <w:sz w:val="19"/>
              </w:rPr>
              <w:t xml:space="preserve">50 Hz / 3000 rpm</w:t>
            </w:r>
          </w:p>
        </w:tc>
        <w:tc>
          <w:tcPr>
            <w:shd w:val="clear" w:color="auto" w:fill="F2F6FA"/>
          </w:tcPr>
          <w:p>
            <w:pPr>
              <w:pStyle w:val="Compact"/>
              <w:spacing w:after="20" w:before="20"/>
              <w:jc w:val="left"/>
            </w:pPr>
            <w:r>
              <w:rPr>
                <w:bCs/>
                <w:b/>
                <w:sz w:val="19"/>
              </w:rPr>
              <w:t xml:space="preserve">15 stages, J-series compressor</w:t>
            </w:r>
          </w:p>
        </w:tc>
        <w:tc>
          <w:tcPr>
            <w:shd w:val="clear" w:color="auto" w:fill="F2F6FA"/>
          </w:tcPr>
          <w:p>
            <w:pPr>
              <w:pStyle w:val="Compact"/>
              <w:spacing w:after="20" w:before="20"/>
              <w:jc w:val="left"/>
            </w:pPr>
            <w:r>
              <w:rPr>
                <w:bCs/>
                <w:b/>
                <w:sz w:val="19"/>
              </w:rPr>
              <w:t xml:space="preserve">25 / &gt; 25</w:t>
            </w:r>
          </w:p>
        </w:tc>
        <w:tc>
          <w:tcPr>
            <w:shd w:val="clear" w:color="auto" w:fill="F2F6FA"/>
          </w:tcPr>
          <w:p>
            <w:pPr>
              <w:pStyle w:val="Compact"/>
              <w:spacing w:after="20" w:before="20"/>
              <w:jc w:val="left"/>
            </w:pPr>
            <w:r>
              <w:rPr>
                <w:bCs/>
                <w:b/>
                <w:sz w:val="19"/>
              </w:rPr>
              <w:t xml:space="preserve">448 / 574 MW</w:t>
            </w:r>
          </w:p>
        </w:tc>
        <w:tc>
          <w:tcPr>
            <w:shd w:val="clear" w:color="auto" w:fill="F2F6FA"/>
          </w:tcPr>
          <w:p>
            <w:pPr>
              <w:pStyle w:val="Compact"/>
              <w:spacing w:after="20" w:before="20"/>
              <w:jc w:val="left"/>
            </w:pPr>
            <w:r>
              <w:rPr>
                <w:sz w:val="19"/>
              </w:rPr>
              <w:t xml:space="preserve">[CAT D2]</w:t>
            </w:r>
          </w:p>
        </w:tc>
      </w:tr>
    </w:tbl>
    <w:p>
      <w:pPr>
        <w:pStyle w:val="BlockText"/>
      </w:pPr>
      <w:r>
        <w:rPr>
          <w:bCs/>
          <w:b/>
        </w:rPr>
        <w:t xml:space="preserve">Learning note — the 1.2× scaling rule.</w:t>
      </w:r>
      <w:r>
        <w:t xml:space="preserve"> </w:t>
      </w:r>
      <w:r>
        <w:t xml:space="preserve">The 50 Hz M701J was made by multiplying every dimension of the 60 Hz M501J by 3600/3000 = 1.2 [DOC D5]. Because the blade speed</w:t>
      </w:r>
      <w:r>
        <w:t xml:space="preserve"> </w:t>
      </w:r>
      <m:oMath>
        <m:r>
          <m:t>U</m:t>
        </m:r>
        <m:r>
          <m:rPr>
            <m:sty m:val="p"/>
          </m:rPr>
          <m:t>=</m:t>
        </m:r>
        <m:r>
          <m:t>ω</m:t>
        </m:r>
        <m:r>
          <m:t>r</m:t>
        </m:r>
      </m:oMath>
      <w:r>
        <w:t xml:space="preserve"> </w:t>
      </w:r>
      <w:r>
        <w:t xml:space="preserve">is then unchanged, all velocity triangles, Mach numbers, stresses and temperatures are unchanged too; only the flow area (and therefore mass flow and power) grows by</w:t>
      </w:r>
      <w:r>
        <w:t xml:space="preserve"> </w:t>
      </w:r>
      <m:oMath>
        <m:sSup>
          <m:e>
            <m:r>
              <m:t>1.2</m:t>
            </m:r>
          </m:e>
          <m:sup>
            <m:r>
              <m:t>2</m:t>
            </m:r>
          </m:sup>
        </m:sSup>
        <m:r>
          <m:rPr>
            <m:sty m:val="p"/>
          </m:rPr>
          <m:t>=</m:t>
        </m:r>
        <m:r>
          <m:t>1.44</m:t>
        </m:r>
      </m:oMath>
      <w:r>
        <w:t xml:space="preserve">. This is turbomachinery similarity in its purest form (Dixon &amp; Hall, Ch. 2). We will see in Section 9 that the</w:t>
      </w:r>
      <w:r>
        <w:t xml:space="preserve"> </w:t>
      </w:r>
      <w:r>
        <w:rPr>
          <w:iCs/>
          <w:i/>
        </w:rPr>
        <w:t xml:space="preserve">current</w:t>
      </w:r>
      <w:r>
        <w:t xml:space="preserve"> </w:t>
      </w:r>
      <w:r>
        <w:t xml:space="preserve">M701JAC ratings do not follow this rule exactly.</w:t>
      </w:r>
    </w:p>
    <w:bookmarkEnd w:id="22"/>
    <w:bookmarkStart w:id="23" w:name="the-catalogue-ratings"/>
    <w:p>
      <w:pPr>
        <w:pStyle w:val="Heading2"/>
      </w:pPr>
      <w:r>
        <w:rPr>
          <w:rStyle w:val="SectionNumber"/>
        </w:rPr>
        <w:t xml:space="preserve">2.2</w:t>
      </w:r>
      <w:r>
        <w:tab/>
      </w:r>
      <w:r>
        <w:t xml:space="preserve">The catalogue ratings</w:t>
      </w:r>
    </w:p>
    <w:p>
      <w:pPr>
        <w:pStyle w:val="FirstParagraph"/>
      </w:pPr>
      <w:r>
        <w:t xml:space="preserve">Mitsubishi lists two ISO ratings for the M701JAC [CAT D2]:</w:t>
      </w:r>
    </w:p>
    <w:p>
      <w:pPr>
        <w:pStyle w:val="TableCaption"/>
      </w:pPr>
      <w:r>
        <w:t xml:space="preserve">Table 2. M701JAC ISO ratings (101.3 kPa, 15 °C, 60 % RH, natural gas).</w:t>
      </w:r>
    </w:p>
    <w:tbl>
      <w:tblPr>
        <w:tblStyle w:val="Table"/>
        <w:tblW w:type="pct" w:w="5000"/>
        <w:tblLook w:firstRow="1" w:lastRow="0" w:firstColumn="0" w:lastColumn="0" w:noHBand="0" w:noVBand="0" w:val="0020"/>
        <w:tblCaption w:val="Table 2. M701JAC ISO ratings (101.3 kPa, 15 °C, 60 % RH, natural gas)."/>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4161"/>
        <w:gridCol w:w="1879"/>
        <w:gridCol w:w="1879"/>
      </w:tblGrid>
      <w:tr>
        <w:trPr>
          <w:tblHeader w:val="true"/>
          <w:tblHeader w:val="true"/>
          <w:cantSplit/>
        </w:trPr>
        <w:tc>
          <w:tcPr>
            <w:shd w:val="clear" w:color="auto" w:fill="1F3864"/>
          </w:tcPr>
          <w:p>
            <w:pPr>
              <w:pStyle w:val="Compact"/>
              <w:spacing w:after="20" w:before="20"/>
              <w:jc w:val="left"/>
            </w:pPr>
            <w:r>
              <w:rPr>
                <w:b/>
                <w:color w:val="FFFFFF"/>
                <w:sz w:val="19"/>
              </w:rPr>
              <w:t xml:space="preserve">Parameter</w:t>
            </w:r>
          </w:p>
        </w:tc>
        <w:tc>
          <w:tcPr>
            <w:shd w:val="clear" w:color="auto" w:fill="1F3864"/>
          </w:tcPr>
          <w:p>
            <w:pPr>
              <w:pStyle w:val="Compact"/>
              <w:spacing w:after="20" w:before="20"/>
              <w:jc w:val="center"/>
            </w:pPr>
            <w:r>
              <w:rPr>
                <w:b/>
                <w:color w:val="FFFFFF"/>
                <w:sz w:val="19"/>
              </w:rPr>
              <w:t xml:space="preserve">448 MW rating</w:t>
            </w:r>
          </w:p>
        </w:tc>
        <w:tc>
          <w:tcPr>
            <w:shd w:val="clear" w:color="auto" w:fill="1F3864"/>
          </w:tcPr>
          <w:p>
            <w:pPr>
              <w:pStyle w:val="Compact"/>
              <w:spacing w:after="20" w:before="20"/>
              <w:jc w:val="center"/>
            </w:pPr>
            <w:r>
              <w:rPr>
                <w:b/>
                <w:color w:val="FFFFFF"/>
                <w:sz w:val="19"/>
              </w:rPr>
              <w:t xml:space="preserve">574 MW rating</w:t>
            </w:r>
          </w:p>
        </w:tc>
      </w:tr>
      <w:tr>
        <w:trPr>
          <w:cantSplit/>
        </w:trPr>
        <w:tc>
          <w:tcPr/>
          <w:p>
            <w:pPr>
              <w:pStyle w:val="Compact"/>
              <w:spacing w:after="20" w:before="20"/>
              <w:jc w:val="left"/>
            </w:pPr>
            <w:r>
              <w:rPr>
                <w:sz w:val="19"/>
              </w:rPr>
              <w:t xml:space="preserve">ISO base output (generator terminals)</w:t>
            </w:r>
          </w:p>
        </w:tc>
        <w:tc>
          <w:tcPr/>
          <w:p>
            <w:pPr>
              <w:pStyle w:val="Compact"/>
              <w:spacing w:after="20" w:before="20"/>
              <w:jc w:val="center"/>
            </w:pPr>
            <w:r>
              <w:rPr>
                <w:sz w:val="19"/>
              </w:rPr>
              <w:t xml:space="preserve">448 MW</w:t>
            </w:r>
          </w:p>
        </w:tc>
        <w:tc>
          <w:tcPr/>
          <w:p>
            <w:pPr>
              <w:pStyle w:val="Compact"/>
              <w:spacing w:after="20" w:before="20"/>
              <w:jc w:val="center"/>
            </w:pPr>
            <w:r>
              <w:rPr>
                <w:sz w:val="19"/>
              </w:rPr>
              <w:t xml:space="preserve">574 MW</w:t>
            </w:r>
          </w:p>
        </w:tc>
      </w:tr>
      <w:tr>
        <w:trPr>
          <w:cantSplit/>
        </w:trPr>
        <w:tc>
          <w:tcPr>
            <w:shd w:val="clear" w:color="auto" w:fill="F2F6FA"/>
          </w:tcPr>
          <w:p>
            <w:pPr>
              <w:pStyle w:val="Compact"/>
              <w:spacing w:after="20" w:before="20"/>
              <w:jc w:val="left"/>
            </w:pPr>
            <w:r>
              <w:rPr>
                <w:sz w:val="19"/>
              </w:rPr>
              <w:t xml:space="preserve">Efficiency (LHV) / heat rate</w:t>
            </w:r>
          </w:p>
        </w:tc>
        <w:tc>
          <w:tcPr>
            <w:shd w:val="clear" w:color="auto" w:fill="F2F6FA"/>
          </w:tcPr>
          <w:p>
            <w:pPr>
              <w:pStyle w:val="Compact"/>
              <w:spacing w:after="20" w:before="20"/>
              <w:jc w:val="center"/>
            </w:pPr>
            <w:r>
              <w:rPr>
                <w:sz w:val="19"/>
              </w:rPr>
              <w:t xml:space="preserve">44.0 % / 8182 kJ/kWh</w:t>
            </w:r>
          </w:p>
        </w:tc>
        <w:tc>
          <w:tcPr>
            <w:shd w:val="clear" w:color="auto" w:fill="F2F6FA"/>
          </w:tcPr>
          <w:p>
            <w:pPr>
              <w:pStyle w:val="Compact"/>
              <w:spacing w:after="20" w:before="20"/>
              <w:jc w:val="center"/>
            </w:pPr>
            <w:r>
              <w:rPr>
                <w:sz w:val="19"/>
              </w:rPr>
              <w:t xml:space="preserve">43.4 % / 8295 kJ/kWh</w:t>
            </w:r>
          </w:p>
        </w:tc>
      </w:tr>
      <w:tr>
        <w:trPr>
          <w:cantSplit/>
        </w:trPr>
        <w:tc>
          <w:tcPr/>
          <w:p>
            <w:pPr>
              <w:pStyle w:val="Compact"/>
              <w:spacing w:after="20" w:before="20"/>
              <w:jc w:val="left"/>
            </w:pPr>
            <w:r>
              <w:rPr>
                <w:sz w:val="19"/>
              </w:rPr>
              <w:t xml:space="preserve">Compressor pressure ratio</w:t>
            </w:r>
          </w:p>
        </w:tc>
        <w:tc>
          <w:tcPr/>
          <w:p>
            <w:pPr>
              <w:pStyle w:val="Compact"/>
              <w:spacing w:after="20" w:before="20"/>
              <w:jc w:val="center"/>
            </w:pPr>
            <w:r>
              <w:rPr>
                <w:sz w:val="19"/>
              </w:rPr>
              <w:t xml:space="preserve">25</w:t>
            </w:r>
          </w:p>
        </w:tc>
        <w:tc>
          <w:tcPr/>
          <w:p>
            <w:pPr>
              <w:pStyle w:val="Compact"/>
              <w:spacing w:after="20" w:before="20"/>
              <w:jc w:val="center"/>
            </w:pPr>
            <w:r>
              <w:rPr>
                <w:sz w:val="19"/>
              </w:rPr>
              <w:t xml:space="preserve">&gt; 25</w:t>
            </w:r>
          </w:p>
        </w:tc>
      </w:tr>
      <w:tr>
        <w:trPr>
          <w:cantSplit/>
        </w:trPr>
        <w:tc>
          <w:tcPr>
            <w:shd w:val="clear" w:color="auto" w:fill="F2F6FA"/>
          </w:tcPr>
          <w:p>
            <w:pPr>
              <w:pStyle w:val="Compact"/>
              <w:spacing w:after="20" w:before="20"/>
              <w:jc w:val="left"/>
            </w:pPr>
            <w:r>
              <w:rPr>
                <w:sz w:val="19"/>
              </w:rPr>
              <w:t xml:space="preserve">Exhaust flow / temperature</w:t>
            </w:r>
          </w:p>
        </w:tc>
        <w:tc>
          <w:tcPr>
            <w:shd w:val="clear" w:color="auto" w:fill="F2F6FA"/>
          </w:tcPr>
          <w:p>
            <w:pPr>
              <w:pStyle w:val="Compact"/>
              <w:spacing w:after="20" w:before="20"/>
              <w:jc w:val="center"/>
            </w:pPr>
            <w:r>
              <w:rPr>
                <w:sz w:val="19"/>
              </w:rPr>
              <w:t xml:space="preserve">765 kg/s / 663 °C</w:t>
            </w:r>
          </w:p>
        </w:tc>
        <w:tc>
          <w:tcPr>
            <w:shd w:val="clear" w:color="auto" w:fill="F2F6FA"/>
          </w:tcPr>
          <w:p>
            <w:pPr>
              <w:pStyle w:val="Compact"/>
              <w:spacing w:after="20" w:before="20"/>
              <w:jc w:val="center"/>
            </w:pPr>
            <w:r>
              <w:rPr>
                <w:sz w:val="19"/>
              </w:rPr>
              <w:t xml:space="preserve">1024 kg/s / 646 °C</w:t>
            </w:r>
          </w:p>
        </w:tc>
      </w:tr>
      <w:tr>
        <w:trPr>
          <w:cantSplit/>
        </w:trPr>
        <w:tc>
          <w:tcPr/>
          <w:p>
            <w:pPr>
              <w:pStyle w:val="Compact"/>
              <w:spacing w:after="20" w:before="20"/>
              <w:jc w:val="left"/>
            </w:pPr>
            <w:r>
              <w:rPr>
                <w:sz w:val="19"/>
              </w:rPr>
              <w:t xml:space="preserve">Speed</w:t>
            </w:r>
          </w:p>
        </w:tc>
        <w:tc>
          <w:tcPr/>
          <w:p>
            <w:pPr>
              <w:pStyle w:val="Compact"/>
              <w:spacing w:after="20" w:before="20"/>
              <w:jc w:val="center"/>
            </w:pPr>
            <w:r>
              <w:rPr>
                <w:sz w:val="19"/>
              </w:rPr>
              <w:t xml:space="preserve">3000 rpm</w:t>
            </w:r>
          </w:p>
        </w:tc>
        <w:tc>
          <w:tcPr/>
          <w:p>
            <w:pPr>
              <w:pStyle w:val="Compact"/>
              <w:spacing w:after="20" w:before="20"/>
              <w:jc w:val="center"/>
            </w:pPr>
            <w:r>
              <w:rPr>
                <w:sz w:val="19"/>
              </w:rPr>
              <w:t xml:space="preserve">3000 rpm</w:t>
            </w:r>
          </w:p>
        </w:tc>
      </w:tr>
      <w:tr>
        <w:trPr>
          <w:cantSplit/>
        </w:trPr>
        <w:tc>
          <w:tcPr>
            <w:shd w:val="clear" w:color="auto" w:fill="F2F6FA"/>
          </w:tcPr>
          <w:p>
            <w:pPr>
              <w:pStyle w:val="Compact"/>
              <w:spacing w:after="20" w:before="20"/>
              <w:jc w:val="left"/>
            </w:pPr>
            <w:r>
              <w:rPr>
                <w:sz w:val="19"/>
              </w:rPr>
              <w:t xml:space="preserve">Combined cycle (1-on-1)</w:t>
            </w:r>
          </w:p>
        </w:tc>
        <w:tc>
          <w:tcPr>
            <w:shd w:val="clear" w:color="auto" w:fill="F2F6FA"/>
          </w:tcPr>
          <w:p>
            <w:pPr>
              <w:pStyle w:val="Compact"/>
              <w:spacing w:after="20" w:before="20"/>
              <w:jc w:val="center"/>
            </w:pPr>
            <w:r>
              <w:rPr>
                <w:sz w:val="19"/>
              </w:rPr>
              <w:t xml:space="preserve">650 MW, &gt; 64 %</w:t>
            </w:r>
          </w:p>
        </w:tc>
        <w:tc>
          <w:tcPr>
            <w:shd w:val="clear" w:color="auto" w:fill="F2F6FA"/>
          </w:tcPr>
          <w:p>
            <w:pPr>
              <w:pStyle w:val="Compact"/>
              <w:spacing w:after="20" w:before="20"/>
              <w:jc w:val="center"/>
            </w:pPr>
            <w:r>
              <w:rPr>
                <w:sz w:val="19"/>
              </w:rPr>
              <w:t xml:space="preserve">840 MW, &gt; 64 %</w:t>
            </w:r>
          </w:p>
        </w:tc>
      </w:tr>
    </w:tbl>
    <w:bookmarkEnd w:id="23"/>
    <w:bookmarkStart w:id="24" w:name="what-is-published-about-the-compressor"/>
    <w:p>
      <w:pPr>
        <w:pStyle w:val="Heading2"/>
      </w:pPr>
      <w:r>
        <w:rPr>
          <w:rStyle w:val="SectionNumber"/>
        </w:rPr>
        <w:t xml:space="preserve">2.3</w:t>
      </w:r>
      <w:r>
        <w:tab/>
      </w:r>
      <w:r>
        <w:t xml:space="preserve">What is published about the compressor</w:t>
      </w:r>
    </w:p>
    <w:p>
      <w:pPr>
        <w:numPr>
          <w:ilvl w:val="0"/>
          <w:numId w:val="1003"/>
        </w:numPr>
        <w:pStyle w:val="Compact"/>
      </w:pPr>
      <w:r>
        <w:t xml:space="preserve">Axial, 15 stages (J-series flow path), 3-D blading [CAT D2; DOC D5, D6].</w:t>
      </w:r>
    </w:p>
    <w:p>
      <w:pPr>
        <w:numPr>
          <w:ilvl w:val="0"/>
          <w:numId w:val="1003"/>
        </w:numPr>
        <w:pStyle w:val="Compact"/>
      </w:pPr>
      <w:r>
        <w:t xml:space="preserve">Variable inlet guide vanes plus variable stator vanes on the</w:t>
      </w:r>
      <w:r>
        <w:t xml:space="preserve"> </w:t>
      </w:r>
      <w:r>
        <w:rPr>
          <w:bCs/>
          <w:b/>
        </w:rPr>
        <w:t xml:space="preserve">first three stages</w:t>
      </w:r>
      <w:r>
        <w:t xml:space="preserve">; the four rows act together to modulate air flow, which keeps the exhaust temperature high at part load for the steam cycle [CAT D2; DOC D6].</w:t>
      </w:r>
    </w:p>
    <w:p>
      <w:pPr>
        <w:numPr>
          <w:ilvl w:val="0"/>
          <w:numId w:val="1003"/>
        </w:numPr>
        <w:pStyle w:val="Compact"/>
      </w:pPr>
      <w:r>
        <w:t xml:space="preserve">Advanced 3-D design to reduce</w:t>
      </w:r>
      <w:r>
        <w:t xml:space="preserve"> </w:t>
      </w:r>
      <w:r>
        <w:rPr>
          <w:bCs/>
          <w:b/>
        </w:rPr>
        <w:t xml:space="preserve">shock-wave loss in the initial stages</w:t>
      </w:r>
      <w:r>
        <w:t xml:space="preserve"> </w:t>
      </w:r>
      <w:r>
        <w:t xml:space="preserve">and</w:t>
      </w:r>
      <w:r>
        <w:t xml:space="preserve"> </w:t>
      </w:r>
      <w:r>
        <w:rPr>
          <w:bCs/>
          <w:b/>
        </w:rPr>
        <w:t xml:space="preserve">frictional loss in the intermediate and final stages</w:t>
      </w:r>
      <w:r>
        <w:t xml:space="preserve">, which tells us the front stages are</w:t>
      </w:r>
      <w:r>
        <w:t xml:space="preserve"> </w:t>
      </w:r>
      <w:r>
        <w:rPr>
          <w:bCs/>
          <w:b/>
        </w:rPr>
        <w:t xml:space="preserve">transonic</w:t>
      </w:r>
      <w:r>
        <w:t xml:space="preserve"> </w:t>
      </w:r>
      <w:r>
        <w:t xml:space="preserve">[DOC D6].</w:t>
      </w:r>
    </w:p>
    <w:p>
      <w:pPr>
        <w:numPr>
          <w:ilvl w:val="0"/>
          <w:numId w:val="1003"/>
        </w:numPr>
        <w:pStyle w:val="Compact"/>
      </w:pPr>
      <w:r>
        <w:t xml:space="preserve">Start-up bleeds from low-, middle- and high-pressure stages; rotating stall disappears at about</w:t>
      </w:r>
      <w:r>
        <w:t xml:space="preserve"> </w:t>
      </w:r>
      <w:r>
        <w:rPr>
          <w:bCs/>
          <w:b/>
        </w:rPr>
        <w:t xml:space="preserve">60 % speed</w:t>
      </w:r>
      <w:r>
        <w:t xml:space="preserve">; blade vibration stresses and natural frequencies were measured on the first engine [DOC D6].</w:t>
      </w:r>
    </w:p>
    <w:p>
      <w:pPr>
        <w:numPr>
          <w:ilvl w:val="0"/>
          <w:numId w:val="1003"/>
        </w:numPr>
        <w:pStyle w:val="Compact"/>
      </w:pPr>
      <w:r>
        <w:t xml:space="preserve">For the JAC, the pressure ratio was raised from 23 to 25 to limit the exhaust temperature rise caused by the higher turbine inlet temperature (1650 °C class). A high-PR compressor has a relatively smaller outlet area, raising concern about rotating stall at start-up; a PR-25 J-based compressor was verified at T-Point in May 2018 [DOC D4].</w:t>
      </w:r>
    </w:p>
    <w:p>
      <w:pPr>
        <w:numPr>
          <w:ilvl w:val="0"/>
          <w:numId w:val="1003"/>
        </w:numPr>
        <w:pStyle w:val="Compact"/>
      </w:pPr>
      <w:r>
        <w:t xml:space="preserve">MHI calls it a</w:t>
      </w:r>
      <w:r>
        <w:t xml:space="preserve"> </w:t>
      </w:r>
      <w:r>
        <w:t xml:space="preserve">“</w:t>
      </w:r>
      <w:r>
        <w:t xml:space="preserve">high-load, high-efficiency compressor</w:t>
      </w:r>
      <w:r>
        <w:t xml:space="preserve">”</w:t>
      </w:r>
      <w:r>
        <w:t xml:space="preserve"> </w:t>
      </w:r>
      <w:r>
        <w:t xml:space="preserve">[DOC D3]; the related research compressor is boundary-layer-controlled and was tested as an eight-stage front block with variable vanes, including surge tests [DOC D7, D8].</w:t>
      </w:r>
    </w:p>
    <w:p>
      <w:pPr>
        <w:numPr>
          <w:ilvl w:val="0"/>
          <w:numId w:val="1003"/>
        </w:numPr>
        <w:pStyle w:val="Compact"/>
      </w:pPr>
      <w:r>
        <w:t xml:space="preserve">Turbine cooling air: row-1 vanes use compressor discharge air; the other vane rows use intermediate-stage bleeds; an enhanced air-cooling system extracts air at the compressor outlet, cools it externally, re-pressurises it and returns it to the combustor [CAT D2; DOC D4].</w:t>
      </w:r>
    </w:p>
    <w:bookmarkEnd w:id="24"/>
    <w:bookmarkStart w:id="25" w:name="what-is-not-published"/>
    <w:p>
      <w:pPr>
        <w:pStyle w:val="Heading2"/>
      </w:pPr>
      <w:r>
        <w:rPr>
          <w:rStyle w:val="SectionNumber"/>
        </w:rPr>
        <w:t xml:space="preserve">2.4</w:t>
      </w:r>
      <w:r>
        <w:tab/>
      </w:r>
      <w:r>
        <w:t xml:space="preserve">What is not published</w:t>
      </w:r>
    </w:p>
    <w:p>
      <w:pPr>
        <w:pStyle w:val="FirstParagraph"/>
      </w:pPr>
      <w:r>
        <w:t xml:space="preserve">Annulus radii, blade counts, chords, stagger and metal angles, stage-by-stage pressures, the compressor map and IGV schedule, bleed flows, the compressor efficiency, blade materials and Campbell diagrams.</w:t>
      </w:r>
      <w:r>
        <w:t xml:space="preserve"> </w:t>
      </w:r>
      <w:r>
        <w:rPr>
          <w:bCs/>
          <w:b/>
        </w:rPr>
        <w:t xml:space="preserve">Every one of these is what a reverse engineering must reconstruct.</w:t>
      </w:r>
    </w:p>
    <w:bookmarkEnd w:id="25"/>
    <w:bookmarkEnd w:id="26"/>
    <w:bookmarkStart w:id="35" w:name="X16b775f3ea90a327ac210ded8b61b0c94783220"/>
    <w:p>
      <w:pPr>
        <w:pStyle w:val="Heading1"/>
      </w:pPr>
      <w:r>
        <w:rPr>
          <w:rStyle w:val="SectionNumber"/>
        </w:rPr>
        <w:t xml:space="preserve">3</w:t>
      </w:r>
      <w:r>
        <w:tab/>
      </w:r>
      <w:r>
        <w:t xml:space="preserve">Method: from a catalogue to compressor numbers</w:t>
      </w:r>
    </w:p>
    <w:bookmarkStart w:id="30" w:name="the-calculation-chain"/>
    <w:p>
      <w:pPr>
        <w:pStyle w:val="Heading2"/>
      </w:pPr>
      <w:r>
        <w:rPr>
          <w:rStyle w:val="SectionNumber"/>
        </w:rPr>
        <w:t xml:space="preserve">3.1</w:t>
      </w:r>
      <w:r>
        <w:tab/>
      </w:r>
      <w:r>
        <w:t xml:space="preserve">The calculation chain</w:t>
      </w:r>
    </w:p>
    <w:p>
      <w:pPr>
        <w:pStyle w:val="FirstParagraph"/>
      </w:pPr>
      <w:r>
        <w:t xml:space="preserve">Figure 1 shows how the published numbers are turned into compressor quantities. The key idea is that some results are</w:t>
      </w:r>
      <w:r>
        <w:t xml:space="preserve"> </w:t>
      </w:r>
      <w:r>
        <w:rPr>
          <w:iCs/>
          <w:i/>
        </w:rPr>
        <w:t xml:space="preserve">fixed by data</w:t>
      </w:r>
      <w:r>
        <w:t xml:space="preserve"> </w:t>
      </w:r>
      <w:r>
        <w:t xml:space="preserve">(they barely move whatever we assume), while others are</w:t>
      </w:r>
      <w:r>
        <w:t xml:space="preserve"> </w:t>
      </w:r>
      <w:r>
        <w:rPr>
          <w:iCs/>
          <w:i/>
        </w:rPr>
        <w:t xml:space="preserve">dominated by one unpublished input</w:t>
      </w:r>
      <w:r>
        <w:t xml:space="preserve">. Knowing which is which tells us where to spend effort.</w:t>
      </w:r>
    </w:p>
    <w:p>
      <w:pPr>
        <w:pStyle w:val="CaptionedFigure"/>
        <w:keepNext/>
      </w:pPr>
      <w:r>
        <w:drawing>
          <wp:inline>
            <wp:extent cx="5892800" cy="3404728"/>
            <wp:effectExtent b="0" l="0" r="0" t="0"/>
            <wp:docPr descr="Figure 1. Calculation chain. Blue: published data; grey: standard values; green: derived results; orange: unpublished inputs carried as ranges." title="" id="28" name="Picture"/>
            <a:graphic>
              <a:graphicData uri="http://schemas.openxmlformats.org/drawingml/2006/picture">
                <pic:pic>
                  <pic:nvPicPr>
                    <pic:cNvPr descr="fig_chain.png" id="29" name="Picture"/>
                    <pic:cNvPicPr>
                      <a:picLocks noChangeArrowheads="1" noChangeAspect="1"/>
                    </pic:cNvPicPr>
                  </pic:nvPicPr>
                  <pic:blipFill>
                    <a:blip r:embed="rId27"/>
                    <a:stretch>
                      <a:fillRect/>
                    </a:stretch>
                  </pic:blipFill>
                  <pic:spPr bwMode="auto">
                    <a:xfrm>
                      <a:off x="0" y="0"/>
                      <a:ext cx="5892800" cy="3404728"/>
                    </a:xfrm>
                    <a:prstGeom prst="rect">
                      <a:avLst/>
                    </a:prstGeom>
                    <a:noFill/>
                    <a:ln w="9525">
                      <a:noFill/>
                      <a:headEnd/>
                      <a:tailEnd/>
                    </a:ln>
                  </pic:spPr>
                </pic:pic>
              </a:graphicData>
            </a:graphic>
          </wp:inline>
        </w:drawing>
      </w:r>
    </w:p>
    <w:p>
      <w:pPr>
        <w:pStyle w:val="ImageCaption"/>
      </w:pPr>
      <w:r>
        <w:t xml:space="preserve">Figure 1. Calculation chain. Blue: published data; grey: standard values; green: derived results; orange: unpublished inputs carried as ranges.</w:t>
      </w:r>
    </w:p>
    <w:bookmarkEnd w:id="30"/>
    <w:bookmarkStart w:id="31" w:name="step-1-air-flow-from-the-heat-rate"/>
    <w:p>
      <w:pPr>
        <w:pStyle w:val="Heading2"/>
      </w:pPr>
      <w:r>
        <w:rPr>
          <w:rStyle w:val="SectionNumber"/>
        </w:rPr>
        <w:t xml:space="preserve">3.2</w:t>
      </w:r>
      <w:r>
        <w:tab/>
      </w:r>
      <w:r>
        <w:t xml:space="preserve">Step 1 — air flow from the heat rate</w:t>
      </w:r>
    </w:p>
    <w:p>
      <w:pPr>
        <w:pStyle w:val="FirstParagraph"/>
      </w:pPr>
      <w:r>
        <w:t xml:space="preserve">The heat rate gives the fuel heat input directly, and the fuel mass flow follows from the lower heating value:</w:t>
      </w:r>
    </w:p>
    <w:p>
      <w:pPr>
        <w:pStyle w:val="BodyText"/>
      </w:pPr>
      <m:oMathPara>
        <m:oMathParaPr>
          <m:jc m:val="center"/>
        </m:oMathParaPr>
        <m:oMath>
          <m:acc>
            <m:accPr>
              <m:chr m:val="̇"/>
            </m:accPr>
            <m:e>
              <m:r>
                <m:t>Q</m:t>
              </m:r>
            </m:e>
          </m:acc>
          <m:r>
            <m:rPr>
              <m:sty m:val="p"/>
            </m:rPr>
            <m:t>=</m:t>
          </m:r>
          <m:r>
            <m:t>P</m:t>
          </m:r>
          <m:r>
            <m:rPr>
              <m:sty m:val="p"/>
            </m:rPr>
            <m:t>⋅</m:t>
          </m:r>
          <m:r>
            <m:t>H</m:t>
          </m:r>
          <m:r>
            <m:t>R</m:t>
          </m:r>
          <m:r>
            <m:rPr>
              <m:sty m:val="p"/>
            </m:rPr>
            <m:t>,</m:t>
          </m:r>
          <m:r>
            <m:t>  </m:t>
          </m:r>
          <m:sSub>
            <m:e>
              <m:acc>
                <m:accPr>
                  <m:chr m:val="̇"/>
                </m:accPr>
                <m:e>
                  <m:r>
                    <m:t>m</m:t>
                  </m:r>
                </m:e>
              </m:acc>
            </m:e>
            <m:sub>
              <m:r>
                <m:t>f</m:t>
              </m:r>
            </m:sub>
          </m:sSub>
          <m:r>
            <m:rPr>
              <m:sty m:val="p"/>
            </m:rPr>
            <m:t>=</m:t>
          </m:r>
          <m:f>
            <m:fPr>
              <m:type m:val="bar"/>
            </m:fPr>
            <m:num>
              <m:acc>
                <m:accPr>
                  <m:chr m:val="̇"/>
                </m:accPr>
                <m:e>
                  <m:r>
                    <m:t>Q</m:t>
                  </m:r>
                </m:e>
              </m:acc>
            </m:num>
            <m:den>
              <m:r>
                <m:t>L</m:t>
              </m:r>
              <m:r>
                <m:t>H</m:t>
              </m:r>
              <m:r>
                <m:t>V</m:t>
              </m:r>
            </m:den>
          </m:f>
          <m:r>
            <m:rPr>
              <m:sty m:val="p"/>
            </m:rPr>
            <m:t>,</m:t>
          </m:r>
          <m:r>
            <m:t>  </m:t>
          </m:r>
          <m:sSub>
            <m:e>
              <m:acc>
                <m:accPr>
                  <m:chr m:val="̇"/>
                </m:accPr>
                <m:e>
                  <m:r>
                    <m:t>m</m:t>
                  </m:r>
                </m:e>
              </m:acc>
            </m:e>
            <m:sub>
              <m:r>
                <m:t>a</m:t>
              </m:r>
            </m:sub>
          </m:sSub>
          <m:r>
            <m:rPr>
              <m:sty m:val="p"/>
            </m:rPr>
            <m:t>=</m:t>
          </m:r>
          <m:sSub>
            <m:e>
              <m:acc>
                <m:accPr>
                  <m:chr m:val="̇"/>
                </m:accPr>
                <m:e>
                  <m:r>
                    <m:t>m</m:t>
                  </m:r>
                </m:e>
              </m:acc>
            </m:e>
            <m:sub>
              <m:r>
                <m:t>e</m:t>
              </m:r>
              <m:r>
                <m:t>x</m:t>
              </m:r>
              <m:r>
                <m:t>h</m:t>
              </m:r>
            </m:sub>
          </m:sSub>
          <m:r>
            <m:rPr>
              <m:sty m:val="p"/>
            </m:rPr>
            <m:t>−</m:t>
          </m:r>
          <m:sSub>
            <m:e>
              <m:acc>
                <m:accPr>
                  <m:chr m:val="̇"/>
                </m:accPr>
                <m:e>
                  <m:r>
                    <m:t>m</m:t>
                  </m:r>
                </m:e>
              </m:acc>
            </m:e>
            <m:sub>
              <m:r>
                <m:t>f</m:t>
              </m:r>
            </m:sub>
          </m:sSub>
        </m:oMath>
      </m:oMathPara>
    </w:p>
    <w:p>
      <w:pPr>
        <w:pStyle w:val="FirstParagraph"/>
      </w:pPr>
      <w:r>
        <w:t xml:space="preserve">For the 448 MW rating:</w:t>
      </w:r>
      <w:r>
        <w:t xml:space="preserve"> </w:t>
      </w:r>
      <m:oMath>
        <m:acc>
          <m:accPr>
            <m:chr m:val="̇"/>
          </m:accPr>
          <m:e>
            <m:r>
              <m:t>Q</m:t>
            </m:r>
          </m:e>
        </m:acc>
        <m:r>
          <m:rPr>
            <m:sty m:val="p"/>
          </m:rPr>
          <m:t>=</m:t>
        </m:r>
        <m:r>
          <m:t>448</m:t>
        </m:r>
        <m:r>
          <m:t> </m:t>
        </m:r>
        <m:r>
          <m:rPr>
            <m:nor/>
            <m:sty m:val="p"/>
          </m:rPr>
          <m:t>MW</m:t>
        </m:r>
        <m:r>
          <m:rPr>
            <m:sty m:val="p"/>
          </m:rPr>
          <m:t>×</m:t>
        </m:r>
        <m:r>
          <m:t>8182</m:t>
        </m:r>
        <m:r>
          <m:t> </m:t>
        </m:r>
        <m:r>
          <m:rPr>
            <m:nor/>
            <m:sty m:val="p"/>
          </m:rPr>
          <m:t>kJ/kWh</m:t>
        </m:r>
        <m:r>
          <m:rPr>
            <m:sty m:val="p"/>
          </m:rPr>
          <m:t>/</m:t>
        </m:r>
        <m:r>
          <m:t>3600</m:t>
        </m:r>
        <m:r>
          <m:rPr>
            <m:sty m:val="p"/>
          </m:rPr>
          <m:t>=</m:t>
        </m:r>
        <m:r>
          <m:t>1018</m:t>
        </m:r>
      </m:oMath>
      <w:r>
        <w:t xml:space="preserve"> </w:t>
      </w:r>
      <w:r>
        <w:t xml:space="preserve">MW. Pure methane (LHV = 50.03 MJ/kg at 15 °C, computed) gives</w:t>
      </w:r>
      <w:r>
        <w:t xml:space="preserve"> </w:t>
      </w:r>
      <m:oMath>
        <m:sSub>
          <m:e>
            <m:acc>
              <m:accPr>
                <m:chr m:val="̇"/>
              </m:accPr>
              <m:e>
                <m:r>
                  <m:t>m</m:t>
                </m:r>
              </m:e>
            </m:acc>
          </m:e>
          <m:sub>
            <m:r>
              <m:t>f</m:t>
            </m:r>
          </m:sub>
        </m:sSub>
        <m:r>
          <m:rPr>
            <m:sty m:val="p"/>
          </m:rPr>
          <m:t>=</m:t>
        </m:r>
        <m:r>
          <m:t>20.4</m:t>
        </m:r>
      </m:oMath>
      <w:r>
        <w:t xml:space="preserve"> </w:t>
      </w:r>
      <w:r>
        <w:t xml:space="preserve">kg/s and</w:t>
      </w:r>
      <w:r>
        <w:t xml:space="preserve"> </w:t>
      </w:r>
      <m:oMath>
        <m:sSub>
          <m:e>
            <m:acc>
              <m:accPr>
                <m:chr m:val="̇"/>
              </m:accPr>
              <m:e>
                <m:r>
                  <m:t>m</m:t>
                </m:r>
              </m:e>
            </m:acc>
          </m:e>
          <m:sub>
            <m:r>
              <m:t>a</m:t>
            </m:r>
          </m:sub>
        </m:sSub>
        <m:r>
          <m:rPr>
            <m:sty m:val="p"/>
          </m:rPr>
          <m:t>=</m:t>
        </m:r>
        <m:r>
          <m:t>744.6</m:t>
        </m:r>
      </m:oMath>
      <w:r>
        <w:t xml:space="preserve"> </w:t>
      </w:r>
      <w:r>
        <w:t xml:space="preserve">kg/s. The fuel composition is not stated, so the LHV is carried as 46–50 MJ/kg [RNG]; this moves the air flow by only ±0.1 %.</w:t>
      </w:r>
    </w:p>
    <w:p>
      <w:pPr>
        <w:pStyle w:val="BlockText"/>
      </w:pPr>
      <w:r>
        <w:rPr>
          <w:bCs/>
          <w:b/>
        </w:rPr>
        <w:t xml:space="preserve">Caution.</w:t>
      </w:r>
      <w:r>
        <w:t xml:space="preserve"> </w:t>
      </w:r>
      <w:r>
        <w:t xml:space="preserve">The dossier used</w:t>
      </w:r>
      <w:r>
        <w:t xml:space="preserve"> </w:t>
      </w:r>
      <w:r>
        <w:t xml:space="preserve">“</w:t>
      </w:r>
      <w:r>
        <w:t xml:space="preserve">about 2 % fuel</w:t>
      </w:r>
      <w:r>
        <w:t xml:space="preserve">”</w:t>
      </w:r>
      <w:r>
        <w:t xml:space="preserve">. The heat rate says 2.7–3.0 %. Small, but it is the kind of guessed number the supervisor asked us to remove.</w:t>
      </w:r>
    </w:p>
    <w:bookmarkEnd w:id="31"/>
    <w:bookmarkStart w:id="32" w:name="step-2-real-gas-compression"/>
    <w:p>
      <w:pPr>
        <w:pStyle w:val="Heading2"/>
      </w:pPr>
      <w:r>
        <w:rPr>
          <w:rStyle w:val="SectionNumber"/>
        </w:rPr>
        <w:t xml:space="preserve">3.3</w:t>
      </w:r>
      <w:r>
        <w:tab/>
      </w:r>
      <w:r>
        <w:t xml:space="preserve">Step 2 — real-gas compression</w:t>
      </w:r>
    </w:p>
    <w:p>
      <w:pPr>
        <w:pStyle w:val="FirstParagraph"/>
      </w:pPr>
      <w:r>
        <w:t xml:space="preserve">The compressor delivery temperature follows from the pressure ratio and the polytropic efficiency. For an ideal gas with</w:t>
      </w:r>
      <w:r>
        <w:t xml:space="preserve"> </w:t>
      </w:r>
      <w:r>
        <w:rPr>
          <w:iCs/>
          <w:i/>
        </w:rPr>
        <w:t xml:space="preserve">variable</w:t>
      </w:r>
      <w:r>
        <w:t xml:space="preserve"> </w:t>
      </w:r>
      <m:oMath>
        <m:sSub>
          <m:e>
            <m:r>
              <m:t>c</m:t>
            </m:r>
          </m:e>
          <m:sub>
            <m:r>
              <m:t>p</m:t>
            </m:r>
          </m:sub>
        </m:sSub>
        <m:d>
          <m:dPr>
            <m:begChr m:val="("/>
            <m:endChr m:val=")"/>
            <m:sepChr m:val=""/>
            <m:grow/>
          </m:dPr>
          <m:e>
            <m:r>
              <m:t>T</m:t>
            </m:r>
          </m:e>
        </m:d>
      </m:oMath>
      <w:r>
        <w:t xml:space="preserve"> </w:t>
      </w:r>
      <w:r>
        <w:t xml:space="preserve">the exact polytropic relation is</w:t>
      </w:r>
    </w:p>
    <w:p>
      <w:pPr>
        <w:pStyle w:val="BodyText"/>
      </w:pPr>
      <m:oMathPara>
        <m:oMathParaPr>
          <m:jc m:val="center"/>
        </m:oMathParaPr>
        <m:oMath>
          <m:nary>
            <m:naryPr>
              <m:chr m:val="∫"/>
              <m:limLoc m:val="subSup"/>
              <m:subHide m:val="off"/>
              <m:supHide m:val="off"/>
            </m:naryPr>
            <m:sub>
              <m:sSub>
                <m:e>
                  <m:r>
                    <m:t>T</m:t>
                  </m:r>
                </m:e>
                <m:sub>
                  <m:r>
                    <m:t>01</m:t>
                  </m:r>
                </m:sub>
              </m:sSub>
            </m:sub>
            <m:sup>
              <m:sSub>
                <m:e>
                  <m:r>
                    <m:t>T</m:t>
                  </m:r>
                </m:e>
                <m:sub>
                  <m:r>
                    <m:t>02</m:t>
                  </m:r>
                </m:sub>
              </m:sSub>
            </m:sup>
            <m:e>
              <m:f>
                <m:fPr>
                  <m:type m:val="bar"/>
                </m:fPr>
                <m:num>
                  <m:sSub>
                    <m:e>
                      <m:r>
                        <m:t>c</m:t>
                      </m:r>
                    </m:e>
                    <m:sub>
                      <m:r>
                        <m:t>p</m:t>
                      </m:r>
                    </m:sub>
                  </m:sSub>
                  <m:d>
                    <m:dPr>
                      <m:begChr m:val="("/>
                      <m:endChr m:val=")"/>
                      <m:sepChr m:val=""/>
                      <m:grow/>
                    </m:dPr>
                    <m:e>
                      <m:r>
                        <m:t>T</m:t>
                      </m:r>
                    </m:e>
                  </m:d>
                </m:num>
                <m:den>
                  <m:r>
                    <m:t>T</m:t>
                  </m:r>
                </m:den>
              </m:f>
            </m:e>
          </m:nary>
          <m:r>
            <m:t> </m:t>
          </m:r>
          <m:r>
            <m:t>d</m:t>
          </m:r>
          <m:r>
            <m:t>T</m:t>
          </m:r>
          <m:r>
            <m:rPr>
              <m:sty m:val="p"/>
            </m:rPr>
            <m:t>=</m:t>
          </m:r>
          <m:f>
            <m:fPr>
              <m:type m:val="bar"/>
            </m:fPr>
            <m:num>
              <m:r>
                <m:t>R</m:t>
              </m:r>
            </m:num>
            <m:den>
              <m:sSub>
                <m:e>
                  <m:r>
                    <m:t>η</m:t>
                  </m:r>
                </m:e>
                <m:sub>
                  <m:r>
                    <m:t>p</m:t>
                  </m:r>
                </m:sub>
              </m:sSub>
            </m:den>
          </m:f>
          <m:r>
            <m:rPr>
              <m:sty m:val="p"/>
            </m:rPr>
            <m:t>ln</m:t>
          </m:r>
          <m:sSub>
            <m:e>
              <m:r>
                <m:t>π</m:t>
              </m:r>
            </m:e>
            <m:sub>
              <m:r>
                <m:t>c</m:t>
              </m:r>
            </m:sub>
          </m:sSub>
        </m:oMath>
      </m:oMathPara>
    </w:p>
    <w:p>
      <w:pPr>
        <w:pStyle w:val="FirstParagraph"/>
      </w:pPr>
      <w:r>
        <w:t xml:space="preserve">which reduces to the familiar</w:t>
      </w:r>
      <w:r>
        <w:t xml:space="preserve"> </w:t>
      </w:r>
      <m:oMath>
        <m:sSub>
          <m:e>
            <m:r>
              <m:t>T</m:t>
            </m:r>
          </m:e>
          <m:sub>
            <m:r>
              <m:t>02</m:t>
            </m:r>
          </m:sub>
        </m:sSub>
        <m:r>
          <m:rPr>
            <m:sty m:val="p"/>
          </m:rPr>
          <m:t>/</m:t>
        </m:r>
        <m:sSub>
          <m:e>
            <m:r>
              <m:t>T</m:t>
            </m:r>
          </m:e>
          <m:sub>
            <m:r>
              <m:t>01</m:t>
            </m:r>
          </m:sub>
        </m:sSub>
        <m:r>
          <m:rPr>
            <m:sty m:val="p"/>
          </m:rPr>
          <m:t>=</m:t>
        </m:r>
        <m:sSubSup>
          <m:e>
            <m:r>
              <m:t>π</m:t>
            </m:r>
          </m:e>
          <m:sub>
            <m:r>
              <m:t>c</m:t>
            </m:r>
          </m:sub>
          <m:sup>
            <m:d>
              <m:dPr>
                <m:begChr m:val="("/>
                <m:endChr m:val=")"/>
                <m:sepChr m:val=""/>
                <m:grow/>
              </m:dPr>
              <m:e>
                <m:r>
                  <m:t>γ</m:t>
                </m:r>
                <m:r>
                  <m:rPr>
                    <m:sty m:val="p"/>
                  </m:rPr>
                  <m:t>−</m:t>
                </m:r>
                <m:r>
                  <m:t>1</m:t>
                </m:r>
              </m:e>
            </m:d>
            <m:r>
              <m:rPr>
                <m:sty m:val="p"/>
              </m:rPr>
              <m:t>/</m:t>
            </m:r>
            <m:d>
              <m:dPr>
                <m:begChr m:val="("/>
                <m:endChr m:val=")"/>
                <m:sepChr m:val=""/>
                <m:grow/>
              </m:dPr>
              <m:e>
                <m:r>
                  <m:t>γ</m:t>
                </m:r>
                <m:sSub>
                  <m:e>
                    <m:r>
                      <m:t>η</m:t>
                    </m:r>
                  </m:e>
                  <m:sub>
                    <m:r>
                      <m:t>p</m:t>
                    </m:r>
                  </m:sub>
                </m:sSub>
              </m:e>
            </m:d>
          </m:sup>
        </m:sSubSup>
      </m:oMath>
      <w:r>
        <w:t xml:space="preserve"> </w:t>
      </w:r>
      <w:r>
        <w:t xml:space="preserve">only if</w:t>
      </w:r>
      <w:r>
        <w:t xml:space="preserve"> </w:t>
      </w:r>
      <m:oMath>
        <m:sSub>
          <m:e>
            <m:r>
              <m:t>c</m:t>
            </m:r>
          </m:e>
          <m:sub>
            <m:r>
              <m:t>p</m:t>
            </m:r>
          </m:sub>
        </m:sSub>
      </m:oMath>
      <w:r>
        <w:t xml:space="preserve"> </w:t>
      </w:r>
      <w:r>
        <w:t xml:space="preserve">is constant. We solve it with Cantera (GRI-Mech 3.0 species data) for humid ISO air (60 % relative humidity, about 1 % water vapour by moles). The specific work is</w:t>
      </w:r>
      <w:r>
        <w:t xml:space="preserve"> </w:t>
      </w:r>
      <m:oMath>
        <m:r>
          <m:t>Δ</m:t>
        </m:r>
        <m:sSub>
          <m:e>
            <m:r>
              <m:t>h</m:t>
            </m:r>
          </m:e>
          <m:sub>
            <m:r>
              <m:t>0</m:t>
            </m:r>
          </m:sub>
        </m:sSub>
        <m:r>
          <m:rPr>
            <m:sty m:val="p"/>
          </m:rPr>
          <m:t>=</m:t>
        </m:r>
        <m:r>
          <m:t>h</m:t>
        </m:r>
        <m:d>
          <m:dPr>
            <m:begChr m:val="("/>
            <m:endChr m:val=")"/>
            <m:sepChr m:val=""/>
            <m:grow/>
          </m:dPr>
          <m:e>
            <m:sSub>
              <m:e>
                <m:r>
                  <m:t>T</m:t>
                </m:r>
              </m:e>
              <m:sub>
                <m:r>
                  <m:t>02</m:t>
                </m:r>
              </m:sub>
            </m:sSub>
          </m:e>
        </m:d>
        <m:r>
          <m:rPr>
            <m:sty m:val="p"/>
          </m:rPr>
          <m:t>−</m:t>
        </m:r>
        <m:r>
          <m:t>h</m:t>
        </m:r>
        <m:d>
          <m:dPr>
            <m:begChr m:val="("/>
            <m:endChr m:val=")"/>
            <m:sepChr m:val=""/>
            <m:grow/>
          </m:dPr>
          <m:e>
            <m:sSub>
              <m:e>
                <m:r>
                  <m:t>T</m:t>
                </m:r>
              </m:e>
              <m:sub>
                <m:r>
                  <m:t>01</m:t>
                </m:r>
              </m:sub>
            </m:sSub>
          </m:e>
        </m:d>
      </m:oMath>
      <w:r>
        <w:t xml:space="preserve"> </w:t>
      </w:r>
      <w:r>
        <w:t xml:space="preserve">and the shaft power is</w:t>
      </w:r>
      <w:r>
        <w:t xml:space="preserve"> </w:t>
      </w:r>
      <m:oMath>
        <m:sSub>
          <m:e>
            <m:acc>
              <m:accPr>
                <m:chr m:val="̇"/>
              </m:accPr>
              <m:e>
                <m:r>
                  <m:t>W</m:t>
                </m:r>
              </m:e>
            </m:acc>
          </m:e>
          <m:sub>
            <m:r>
              <m:t>c</m:t>
            </m:r>
          </m:sub>
        </m:sSub>
        <m:r>
          <m:rPr>
            <m:sty m:val="p"/>
          </m:rPr>
          <m:t>=</m:t>
        </m:r>
        <m:sSub>
          <m:e>
            <m:acc>
              <m:accPr>
                <m:chr m:val="̇"/>
              </m:accPr>
              <m:e>
                <m:r>
                  <m:t>m</m:t>
                </m:r>
              </m:e>
            </m:acc>
          </m:e>
          <m:sub>
            <m:r>
              <m:t>a</m:t>
            </m:r>
          </m:sub>
        </m:sSub>
        <m:r>
          <m:t> </m:t>
        </m:r>
        <m:r>
          <m:t>Δ</m:t>
        </m:r>
        <m:sSub>
          <m:e>
            <m:r>
              <m:t>h</m:t>
            </m:r>
          </m:e>
          <m:sub>
            <m:r>
              <m:t>0</m:t>
            </m:r>
          </m:sub>
        </m:sSub>
      </m:oMath>
      <w:r>
        <w:t xml:space="preserve">.</w:t>
      </w:r>
    </w:p>
    <w:p>
      <w:pPr>
        <w:pStyle w:val="BlockText"/>
      </w:pPr>
      <w:r>
        <w:rPr>
          <w:bCs/>
          <w:b/>
        </w:rPr>
        <w:t xml:space="preserve">Learning note — polytropic vs isentropic efficiency.</w:t>
      </w:r>
      <w:r>
        <w:t xml:space="preserve"> </w:t>
      </w:r>
      <w:r>
        <w:t xml:space="preserve">The isentropic efficiency compares the whole machine with one ideal process from 1 to 25 bar. The polytropic efficiency is the efficiency of each</w:t>
      </w:r>
      <w:r>
        <w:t xml:space="preserve"> </w:t>
      </w:r>
      <w:r>
        <w:rPr>
          <w:iCs/>
          <w:i/>
        </w:rPr>
        <w:t xml:space="preserve">small</w:t>
      </w:r>
      <w:r>
        <w:t xml:space="preserve"> </w:t>
      </w:r>
      <w:r>
        <w:t xml:space="preserve">compression step. Because a loss in an early stage heats the air and makes every later stage work harder (the</w:t>
      </w:r>
      <w:r>
        <w:t xml:space="preserve"> </w:t>
      </w:r>
      <w:r>
        <w:rPr>
          <w:iCs/>
          <w:i/>
        </w:rPr>
        <w:t xml:space="preserve">preheat</w:t>
      </w:r>
      <w:r>
        <w:t xml:space="preserve"> </w:t>
      </w:r>
      <w:r>
        <w:t xml:space="preserve">or reheat effect),</w:t>
      </w:r>
      <w:r>
        <w:t xml:space="preserve"> </w:t>
      </w:r>
      <m:oMath>
        <m:sSub>
          <m:e>
            <m:r>
              <m:t>η</m:t>
            </m:r>
          </m:e>
          <m:sub>
            <m:r>
              <m:t>c</m:t>
            </m:r>
          </m:sub>
        </m:sSub>
        <m:r>
          <m:rPr>
            <m:sty m:val="p"/>
          </m:rPr>
          <m:t>&lt;</m:t>
        </m:r>
        <m:sSub>
          <m:e>
            <m:r>
              <m:t>η</m:t>
            </m:r>
          </m:e>
          <m:sub>
            <m:r>
              <m:t>p</m:t>
            </m:r>
          </m:sub>
        </m:sSub>
      </m:oMath>
      <w:r>
        <w:t xml:space="preserve"> </w:t>
      </w:r>
      <w:r>
        <w:t xml:space="preserve">for a compressor, and the gap grows with pressure ratio. At PR 25 and</w:t>
      </w:r>
      <w:r>
        <w:t xml:space="preserve"> </w:t>
      </w:r>
      <m:oMath>
        <m:sSub>
          <m:e>
            <m:r>
              <m:t>η</m:t>
            </m:r>
          </m:e>
          <m:sub>
            <m:r>
              <m:t>p</m:t>
            </m:r>
          </m:sub>
        </m:sSub>
        <m:r>
          <m:rPr>
            <m:sty m:val="p"/>
          </m:rPr>
          <m:t>=</m:t>
        </m:r>
        <m:r>
          <m:t>0.885</m:t>
        </m:r>
      </m:oMath>
      <w:r>
        <w:t xml:space="preserve"> </w:t>
      </w:r>
      <w:r>
        <w:t xml:space="preserve">we get</w:t>
      </w:r>
      <w:r>
        <w:t xml:space="preserve"> </w:t>
      </w:r>
      <m:oMath>
        <m:sSub>
          <m:e>
            <m:r>
              <m:t>η</m:t>
            </m:r>
          </m:e>
          <m:sub>
            <m:r>
              <m:t>c</m:t>
            </m:r>
          </m:sub>
        </m:sSub>
        <m:r>
          <m:rPr>
            <m:sty m:val="p"/>
          </m:rPr>
          <m:t>≈</m:t>
        </m:r>
        <m:r>
          <m:t>0.83</m:t>
        </m:r>
      </m:oMath>
      <w:r>
        <w:t xml:space="preserve"> </w:t>
      </w:r>
      <w:r>
        <w:t xml:space="preserve">(Dixon &amp; Hall §2.6; Saravanamuttoo §2.2).</w:t>
      </w:r>
    </w:p>
    <w:bookmarkEnd w:id="32"/>
    <w:bookmarkStart w:id="33" w:name="step-3-inlet-annulus-and-the-first-rotor"/>
    <w:p>
      <w:pPr>
        <w:pStyle w:val="Heading2"/>
      </w:pPr>
      <w:r>
        <w:rPr>
          <w:rStyle w:val="SectionNumber"/>
        </w:rPr>
        <w:t xml:space="preserve">3.4</w:t>
      </w:r>
      <w:r>
        <w:tab/>
      </w:r>
      <w:r>
        <w:t xml:space="preserve">Step 3 — inlet annulus and the first rotor</w:t>
      </w:r>
    </w:p>
    <w:p>
      <w:pPr>
        <w:pStyle w:val="FirstParagraph"/>
      </w:pPr>
      <w:r>
        <w:t xml:space="preserve">For a given inlet axial Mach number</w:t>
      </w:r>
      <w:r>
        <w:t xml:space="preserve"> </w:t>
      </w:r>
      <m:oMath>
        <m:sSub>
          <m:e>
            <m:r>
              <m:t>M</m:t>
            </m:r>
          </m:e>
          <m:sub>
            <m:r>
              <m:t>x</m:t>
            </m:r>
          </m:sub>
        </m:sSub>
      </m:oMath>
      <w:r>
        <w:t xml:space="preserve"> </w:t>
      </w:r>
      <w:r>
        <w:t xml:space="preserve">the static state, density and axial velocity follow from the total state; the annulus area is then</w:t>
      </w:r>
      <w:r>
        <w:t xml:space="preserve"> </w:t>
      </w:r>
      <m:oMath>
        <m:r>
          <m:t>A</m:t>
        </m:r>
        <m:r>
          <m:rPr>
            <m:sty m:val="p"/>
          </m:rPr>
          <m:t>=</m:t>
        </m:r>
        <m:sSub>
          <m:e>
            <m:acc>
              <m:accPr>
                <m:chr m:val="̇"/>
              </m:accPr>
              <m:e>
                <m:r>
                  <m:t>m</m:t>
                </m:r>
              </m:e>
            </m:acc>
          </m:e>
          <m:sub>
            <m:r>
              <m:t>a</m:t>
            </m:r>
          </m:sub>
        </m:sSub>
        <m:r>
          <m:rPr>
            <m:sty m:val="p"/>
          </m:rPr>
          <m:t>/</m:t>
        </m:r>
        <m:d>
          <m:dPr>
            <m:begChr m:val="("/>
            <m:endChr m:val=")"/>
            <m:sepChr m:val=""/>
            <m:grow/>
          </m:dPr>
          <m:e>
            <m:sSub>
              <m:e>
                <m:r>
                  <m:t>ρ</m:t>
                </m:r>
              </m:e>
              <m:sub>
                <m:r>
                  <m:t>1</m:t>
                </m:r>
              </m:sub>
            </m:sSub>
            <m:sSub>
              <m:e>
                <m:r>
                  <m:t>c</m:t>
                </m:r>
              </m:e>
              <m:sub>
                <m:r>
                  <m:t>x</m:t>
                </m:r>
              </m:sub>
            </m:sSub>
          </m:e>
        </m:d>
      </m:oMath>
      <w:r>
        <w:t xml:space="preserve">. With a hub-to-tip ratio</w:t>
      </w:r>
      <w:r>
        <w:t xml:space="preserve"> </w:t>
      </w:r>
      <m:oMath>
        <m:r>
          <m:t>ν</m:t>
        </m:r>
        <m:r>
          <m:rPr>
            <m:sty m:val="p"/>
          </m:rPr>
          <m:t>=</m:t>
        </m:r>
        <m:sSub>
          <m:e>
            <m:r>
              <m:t>r</m:t>
            </m:r>
          </m:e>
          <m:sub>
            <m:r>
              <m:t>h</m:t>
            </m:r>
          </m:sub>
        </m:sSub>
        <m:r>
          <m:rPr>
            <m:sty m:val="p"/>
          </m:rPr>
          <m:t>/</m:t>
        </m:r>
        <m:sSub>
          <m:e>
            <m:r>
              <m:t>r</m:t>
            </m:r>
          </m:e>
          <m:sub>
            <m:r>
              <m:t>t</m:t>
            </m:r>
          </m:sub>
        </m:sSub>
      </m:oMath>
      <w:r>
        <w:t xml:space="preserve">:</w:t>
      </w:r>
    </w:p>
    <w:p>
      <w:pPr>
        <w:pStyle w:val="BodyText"/>
      </w:pPr>
      <m:oMathPara>
        <m:oMathParaPr>
          <m:jc m:val="center"/>
        </m:oMathParaPr>
        <m:oMath>
          <m:sSub>
            <m:e>
              <m:r>
                <m:t>r</m:t>
              </m:r>
            </m:e>
            <m:sub>
              <m:r>
                <m:t>t</m:t>
              </m:r>
            </m:sub>
          </m:sSub>
          <m:r>
            <m:rPr>
              <m:sty m:val="p"/>
            </m:rPr>
            <m:t>=</m:t>
          </m:r>
          <m:rad>
            <m:radPr>
              <m:degHide m:val="on"/>
            </m:radPr>
            <m:deg/>
            <m:e>
              <m:f>
                <m:fPr>
                  <m:type m:val="bar"/>
                </m:fPr>
                <m:num>
                  <m:r>
                    <m:t>A</m:t>
                  </m:r>
                </m:num>
                <m:den>
                  <m:r>
                    <m:t>π</m:t>
                  </m:r>
                  <m:d>
                    <m:dPr>
                      <m:begChr m:val="("/>
                      <m:endChr m:val=")"/>
                      <m:sepChr m:val=""/>
                      <m:grow/>
                    </m:dPr>
                    <m:e>
                      <m:r>
                        <m:t>1</m:t>
                      </m:r>
                      <m:r>
                        <m:rPr>
                          <m:sty m:val="p"/>
                        </m:rPr>
                        <m:t>−</m:t>
                      </m:r>
                      <m:sSup>
                        <m:e>
                          <m:r>
                            <m:t>ν</m:t>
                          </m:r>
                        </m:e>
                        <m:sup>
                          <m:r>
                            <m:t>2</m:t>
                          </m:r>
                        </m:sup>
                      </m:sSup>
                    </m:e>
                  </m:d>
                </m:den>
              </m:f>
            </m:e>
          </m:rad>
          <m:r>
            <m:rPr>
              <m:sty m:val="p"/>
            </m:rPr>
            <m:t>,</m:t>
          </m:r>
          <m:r>
            <m:t>  </m:t>
          </m:r>
          <m:sSub>
            <m:e>
              <m:r>
                <m:t>U</m:t>
              </m:r>
            </m:e>
            <m:sub>
              <m:r>
                <m:t>t</m:t>
              </m:r>
            </m:sub>
          </m:sSub>
          <m:r>
            <m:rPr>
              <m:sty m:val="p"/>
            </m:rPr>
            <m:t>=</m:t>
          </m:r>
          <m:r>
            <m:t>ω</m:t>
          </m:r>
          <m:sSub>
            <m:e>
              <m:r>
                <m:t>r</m:t>
              </m:r>
            </m:e>
            <m:sub>
              <m:r>
                <m:t>t</m:t>
              </m:r>
            </m:sub>
          </m:sSub>
          <m:r>
            <m:rPr>
              <m:sty m:val="p"/>
            </m:rPr>
            <m:t>,</m:t>
          </m:r>
          <m:r>
            <m:t>  </m:t>
          </m:r>
          <m:sSub>
            <m:e>
              <m:r>
                <m:t>M</m:t>
              </m:r>
            </m:e>
            <m:sub>
              <m:r>
                <m:t>1</m:t>
              </m:r>
              <m:r>
                <m:rPr>
                  <m:sty m:val="p"/>
                </m:rPr>
                <m:t>,</m:t>
              </m:r>
              <m:r>
                <m:t>r</m:t>
              </m:r>
              <m:r>
                <m:t>e</m:t>
              </m:r>
              <m:r>
                <m:t>l</m:t>
              </m:r>
              <m:r>
                <m:rPr>
                  <m:sty m:val="p"/>
                </m:rPr>
                <m:t>,</m:t>
              </m:r>
              <m:r>
                <m:t>t</m:t>
              </m:r>
              <m:r>
                <m:t>i</m:t>
              </m:r>
              <m:r>
                <m:t>p</m:t>
              </m:r>
            </m:sub>
          </m:sSub>
          <m:r>
            <m:rPr>
              <m:sty m:val="p"/>
            </m:rPr>
            <m:t>=</m:t>
          </m:r>
          <m:f>
            <m:fPr>
              <m:type m:val="bar"/>
            </m:fPr>
            <m:num>
              <m:rad>
                <m:radPr>
                  <m:degHide m:val="on"/>
                </m:radPr>
                <m:deg/>
                <m:e>
                  <m:sSubSup>
                    <m:e>
                      <m:r>
                        <m:t>c</m:t>
                      </m:r>
                    </m:e>
                    <m:sub>
                      <m:r>
                        <m:t>x</m:t>
                      </m:r>
                    </m:sub>
                    <m:sup>
                      <m:r>
                        <m:t>2</m:t>
                      </m:r>
                    </m:sup>
                  </m:sSubSup>
                  <m:r>
                    <m:rPr>
                      <m:sty m:val="p"/>
                    </m:rPr>
                    <m:t>+</m:t>
                  </m:r>
                  <m:sSubSup>
                    <m:e>
                      <m:r>
                        <m:t>U</m:t>
                      </m:r>
                    </m:e>
                    <m:sub>
                      <m:r>
                        <m:t>t</m:t>
                      </m:r>
                    </m:sub>
                    <m:sup>
                      <m:r>
                        <m:t>2</m:t>
                      </m:r>
                    </m:sup>
                  </m:sSubSup>
                </m:e>
              </m:rad>
            </m:num>
            <m:den>
              <m:sSub>
                <m:e>
                  <m:r>
                    <m:t>a</m:t>
                  </m:r>
                </m:e>
                <m:sub>
                  <m:r>
                    <m:t>1</m:t>
                  </m:r>
                </m:sub>
              </m:sSub>
            </m:den>
          </m:f>
        </m:oMath>
      </m:oMathPara>
    </w:p>
    <w:p>
      <w:pPr>
        <w:pStyle w:val="FirstParagraph"/>
      </w:pPr>
      <w:r>
        <w:t xml:space="preserve">(no pre-swirl, i.e. IGV open at full load). The root centrifugal stress of the first rotor blade is estimated from</w:t>
      </w:r>
    </w:p>
    <w:p>
      <w:pPr>
        <w:pStyle w:val="BodyText"/>
      </w:pPr>
      <m:oMathPara>
        <m:oMathParaPr>
          <m:jc m:val="center"/>
        </m:oMathParaPr>
        <m:oMath>
          <m:sSub>
            <m:e>
              <m:r>
                <m:t>σ</m:t>
              </m:r>
            </m:e>
            <m:sub>
              <m:r>
                <m:t>r</m:t>
              </m:r>
              <m:r>
                <m:t>o</m:t>
              </m:r>
              <m:r>
                <m:t>o</m:t>
              </m:r>
              <m:r>
                <m:t>t</m:t>
              </m:r>
            </m:sub>
          </m:sSub>
          <m:r>
            <m:rPr>
              <m:sty m:val="p"/>
            </m:rPr>
            <m:t>=</m:t>
          </m:r>
          <m:r>
            <m:t>K</m:t>
          </m:r>
          <m:r>
            <m:t> </m:t>
          </m:r>
          <m:sSub>
            <m:e>
              <m:r>
                <m:t>ρ</m:t>
              </m:r>
            </m:e>
            <m:sub>
              <m:r>
                <m:t>b</m:t>
              </m:r>
            </m:sub>
          </m:sSub>
          <m:r>
            <m:t> </m:t>
          </m:r>
          <m:sSup>
            <m:e>
              <m:r>
                <m:t>ω</m:t>
              </m:r>
            </m:e>
            <m:sup>
              <m:r>
                <m:t>2</m:t>
              </m:r>
            </m:sup>
          </m:sSup>
          <m:r>
            <m:t> </m:t>
          </m:r>
          <m:f>
            <m:fPr>
              <m:type m:val="bar"/>
            </m:fPr>
            <m:num>
              <m:r>
                <m:t>A</m:t>
              </m:r>
            </m:num>
            <m:den>
              <m:r>
                <m:t>2</m:t>
              </m:r>
              <m:r>
                <m:t>π</m:t>
              </m:r>
            </m:den>
          </m:f>
        </m:oMath>
      </m:oMathPara>
    </w:p>
    <w:p>
      <w:pPr>
        <w:pStyle w:val="FirstParagraph"/>
      </w:pPr>
      <w:r>
        <w:t xml:space="preserve">with a taper factor</w:t>
      </w:r>
      <w:r>
        <w:t xml:space="preserve"> </w:t>
      </w:r>
      <m:oMath>
        <m:r>
          <m:t>K</m:t>
        </m:r>
      </m:oMath>
      <w:r>
        <w:t xml:space="preserve"> </w:t>
      </w:r>
      <w:r>
        <w:t xml:space="preserve">= 0.55–0.70.</w:t>
      </w:r>
    </w:p>
    <w:bookmarkEnd w:id="33"/>
    <w:bookmarkStart w:id="34" w:name="step-4-uncertainty-as-ranges-not-guesses"/>
    <w:p>
      <w:pPr>
        <w:pStyle w:val="Heading2"/>
      </w:pPr>
      <w:r>
        <w:rPr>
          <w:rStyle w:val="SectionNumber"/>
        </w:rPr>
        <w:t xml:space="preserve">3.5</w:t>
      </w:r>
      <w:r>
        <w:tab/>
      </w:r>
      <w:r>
        <w:t xml:space="preserve">Step 4 — uncertainty as ranges, not guesses</w:t>
      </w:r>
    </w:p>
    <w:p>
      <w:pPr>
        <w:pStyle w:val="FirstParagraph"/>
      </w:pPr>
      <w:r>
        <w:t xml:space="preserve">Each unpublished input is given a range with a stated basis (Table 3). The analysis draws 4,000 random combinations (a Monte Carlo sample), evaluates everything for each, and reports the</w:t>
      </w:r>
      <w:r>
        <w:t xml:space="preserve"> </w:t>
      </w:r>
      <w:r>
        <w:rPr>
          <w:bCs/>
          <w:b/>
        </w:rPr>
        <w:t xml:space="preserve">median</w:t>
      </w:r>
      <w:r>
        <w:t xml:space="preserve"> </w:t>
      </w:r>
      <w:r>
        <w:t xml:space="preserve">and the</w:t>
      </w:r>
      <w:r>
        <w:t xml:space="preserve"> </w:t>
      </w:r>
      <w:r>
        <w:rPr>
          <w:bCs/>
          <w:b/>
        </w:rPr>
        <w:t xml:space="preserve">5–95 % band</w:t>
      </w:r>
      <w:r>
        <w:t xml:space="preserve">. It also reports a rank correlation between every input and every output, which shows directly</w:t>
      </w:r>
      <w:r>
        <w:t xml:space="preserve"> </w:t>
      </w:r>
      <w:r>
        <w:rPr>
          <w:iCs/>
          <w:i/>
        </w:rPr>
        <w:t xml:space="preserve">which assumption controls which result</w:t>
      </w:r>
      <w:r>
        <w:t xml:space="preserve">.</w:t>
      </w:r>
    </w:p>
    <w:p>
      <w:pPr>
        <w:pStyle w:val="TableCaption"/>
      </w:pPr>
      <w:r>
        <w:t xml:space="preserve">Table 3. Unpublished inputs and their ranges.</w:t>
      </w:r>
    </w:p>
    <w:tbl>
      <w:tblPr>
        <w:tblStyle w:val="Table"/>
        <w:tblW w:type="pct" w:w="5000"/>
        <w:tblLook w:firstRow="1" w:lastRow="0" w:firstColumn="0" w:lastColumn="0" w:noHBand="0" w:noVBand="0" w:val="0020"/>
        <w:tblCaption w:val="Table 3. Unpublished inputs and their ranges."/>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2611"/>
        <w:gridCol w:w="1179"/>
        <w:gridCol w:w="4128"/>
      </w:tblGrid>
      <w:tr>
        <w:trPr>
          <w:tblHeader w:val="true"/>
          <w:tblHeader w:val="true"/>
          <w:cantSplit/>
        </w:trPr>
        <w:tc>
          <w:tcPr>
            <w:shd w:val="clear" w:color="auto" w:fill="1F3864"/>
          </w:tcPr>
          <w:p>
            <w:pPr>
              <w:pStyle w:val="Compact"/>
              <w:spacing w:after="20" w:before="20"/>
              <w:jc w:val="left"/>
            </w:pPr>
            <w:r>
              <w:rPr>
                <w:b/>
                <w:color w:val="FFFFFF"/>
                <w:sz w:val="19"/>
              </w:rPr>
              <w:t xml:space="preserve">Input [RNG]</w:t>
            </w:r>
          </w:p>
        </w:tc>
        <w:tc>
          <w:tcPr>
            <w:shd w:val="clear" w:color="auto" w:fill="1F3864"/>
          </w:tcPr>
          <w:p>
            <w:pPr>
              <w:pStyle w:val="Compact"/>
              <w:spacing w:after="20" w:before="20"/>
              <w:jc w:val="left"/>
            </w:pPr>
            <w:r>
              <w:rPr>
                <w:b/>
                <w:color w:val="FFFFFF"/>
                <w:sz w:val="19"/>
              </w:rPr>
              <w:t xml:space="preserve">Range</w:t>
            </w:r>
          </w:p>
        </w:tc>
        <w:tc>
          <w:tcPr>
            <w:shd w:val="clear" w:color="auto" w:fill="1F3864"/>
          </w:tcPr>
          <w:p>
            <w:pPr>
              <w:pStyle w:val="Compact"/>
              <w:spacing w:after="20" w:before="20"/>
              <w:jc w:val="left"/>
            </w:pPr>
            <w:r>
              <w:rPr>
                <w:b/>
                <w:color w:val="FFFFFF"/>
                <w:sz w:val="19"/>
              </w:rPr>
              <w:t xml:space="preserve">Basis</w:t>
            </w:r>
          </w:p>
        </w:tc>
      </w:tr>
      <w:tr>
        <w:trPr>
          <w:cantSplit/>
        </w:trPr>
        <w:tc>
          <w:tcPr/>
          <w:p>
            <w:pPr>
              <w:pStyle w:val="Compact"/>
              <w:spacing w:after="20" w:before="20"/>
              <w:jc w:val="left"/>
            </w:pPr>
            <w:r>
              <w:rPr>
                <w:sz w:val="19"/>
              </w:rPr>
              <w:t xml:space="preserve">Compressor polytropic efficiency</w:t>
            </w:r>
            <w:r>
              <w:rPr>
                <w:sz w:val="19"/>
              </w:rPr>
              <w:t xml:space="preserve"> </w:t>
            </w:r>
            <m:oMath>
              <m:sSub>
                <m:e>
                  <m:r>
                    <m:t>η</m:t>
                  </m:r>
                </m:e>
                <m:sub>
                  <m:r>
                    <m:t>p</m:t>
                  </m:r>
                </m:sub>
              </m:sSub>
            </m:oMath>
          </w:p>
        </w:tc>
        <w:tc>
          <w:tcPr/>
          <w:p>
            <w:pPr>
              <w:pStyle w:val="Compact"/>
              <w:spacing w:after="20" w:before="20"/>
              <w:jc w:val="left"/>
            </w:pPr>
            <w:r>
              <w:rPr>
                <w:sz w:val="19"/>
              </w:rPr>
              <w:t xml:space="preserve">0.86–0.91</w:t>
            </w:r>
          </w:p>
        </w:tc>
        <w:tc>
          <w:tcPr/>
          <w:p>
            <w:pPr>
              <w:pStyle w:val="Compact"/>
              <w:spacing w:after="20" w:before="20"/>
              <w:jc w:val="left"/>
            </w:pPr>
            <w:r>
              <w:rPr>
                <w:sz w:val="19"/>
              </w:rPr>
              <w:t xml:space="preserve">whole-machine value incl. transonic front stages, bleeds, clearances; lowered after the supervisor’s comment</w:t>
            </w:r>
          </w:p>
        </w:tc>
      </w:tr>
      <w:tr>
        <w:trPr>
          <w:cantSplit/>
        </w:trPr>
        <w:tc>
          <w:tcPr>
            <w:shd w:val="clear" w:color="auto" w:fill="F2F6FA"/>
          </w:tcPr>
          <w:p>
            <w:pPr>
              <w:pStyle w:val="Compact"/>
              <w:spacing w:after="20" w:before="20"/>
              <w:jc w:val="left"/>
            </w:pPr>
            <w:r>
              <w:rPr>
                <w:sz w:val="19"/>
              </w:rPr>
              <w:t xml:space="preserve">Fuel LHV</w:t>
            </w:r>
          </w:p>
        </w:tc>
        <w:tc>
          <w:tcPr>
            <w:shd w:val="clear" w:color="auto" w:fill="F2F6FA"/>
          </w:tcPr>
          <w:p>
            <w:pPr>
              <w:pStyle w:val="Compact"/>
              <w:spacing w:after="20" w:before="20"/>
              <w:jc w:val="left"/>
            </w:pPr>
            <w:r>
              <w:rPr>
                <w:sz w:val="19"/>
              </w:rPr>
              <w:t xml:space="preserve">46–50 MJ/kg</w:t>
            </w:r>
          </w:p>
        </w:tc>
        <w:tc>
          <w:tcPr>
            <w:shd w:val="clear" w:color="auto" w:fill="F2F6FA"/>
          </w:tcPr>
          <w:p>
            <w:pPr>
              <w:pStyle w:val="Compact"/>
              <w:spacing w:after="20" w:before="20"/>
              <w:jc w:val="left"/>
            </w:pPr>
            <w:r>
              <w:rPr>
                <w:sz w:val="19"/>
              </w:rPr>
              <w:t xml:space="preserve">natural gas, composition not stated</w:t>
            </w:r>
          </w:p>
        </w:tc>
      </w:tr>
      <w:tr>
        <w:trPr>
          <w:cantSplit/>
        </w:trPr>
        <w:tc>
          <w:tcPr/>
          <w:p>
            <w:pPr>
              <w:pStyle w:val="Compact"/>
              <w:spacing w:after="20" w:before="20"/>
              <w:jc w:val="left"/>
            </w:pPr>
            <w:r>
              <w:rPr>
                <w:sz w:val="19"/>
              </w:rPr>
              <w:t xml:space="preserve">Inlet axial Mach</w:t>
            </w:r>
            <w:r>
              <w:rPr>
                <w:sz w:val="19"/>
              </w:rPr>
              <w:t xml:space="preserve"> </w:t>
            </w:r>
            <m:oMath>
              <m:sSub>
                <m:e>
                  <m:r>
                    <m:t>M</m:t>
                  </m:r>
                </m:e>
                <m:sub>
                  <m:r>
                    <m:t>x</m:t>
                  </m:r>
                </m:sub>
              </m:sSub>
            </m:oMath>
          </w:p>
        </w:tc>
        <w:tc>
          <w:tcPr/>
          <w:p>
            <w:pPr>
              <w:pStyle w:val="Compact"/>
              <w:spacing w:after="20" w:before="20"/>
              <w:jc w:val="left"/>
            </w:pPr>
            <w:r>
              <w:rPr>
                <w:sz w:val="19"/>
              </w:rPr>
              <w:t xml:space="preserve">0.45–0.60</w:t>
            </w:r>
          </w:p>
        </w:tc>
        <w:tc>
          <w:tcPr/>
          <w:p>
            <w:pPr>
              <w:pStyle w:val="Compact"/>
              <w:spacing w:after="20" w:before="20"/>
              <w:jc w:val="left"/>
            </w:pPr>
            <w:r>
              <w:rPr>
                <w:sz w:val="19"/>
              </w:rPr>
              <w:t xml:space="preserve">large industrial compressors</w:t>
            </w:r>
          </w:p>
        </w:tc>
      </w:tr>
      <w:tr>
        <w:trPr>
          <w:cantSplit/>
        </w:trPr>
        <w:tc>
          <w:tcPr>
            <w:shd w:val="clear" w:color="auto" w:fill="F2F6FA"/>
          </w:tcPr>
          <w:p>
            <w:pPr>
              <w:pStyle w:val="Compact"/>
              <w:spacing w:after="20" w:before="20"/>
              <w:jc w:val="left"/>
            </w:pPr>
            <w:r>
              <w:rPr>
                <w:sz w:val="19"/>
              </w:rPr>
              <w:t xml:space="preserve">Inlet hub-to-tip ratio</w:t>
            </w:r>
            <w:r>
              <w:rPr>
                <w:sz w:val="19"/>
              </w:rPr>
              <w:t xml:space="preserve"> </w:t>
            </w:r>
            <m:oMath>
              <m:r>
                <m:t>ν</m:t>
              </m:r>
            </m:oMath>
          </w:p>
        </w:tc>
        <w:tc>
          <w:tcPr>
            <w:shd w:val="clear" w:color="auto" w:fill="F2F6FA"/>
          </w:tcPr>
          <w:p>
            <w:pPr>
              <w:pStyle w:val="Compact"/>
              <w:spacing w:after="20" w:before="20"/>
              <w:jc w:val="left"/>
            </w:pPr>
            <w:r>
              <w:rPr>
                <w:sz w:val="19"/>
              </w:rPr>
              <w:t xml:space="preserve">0.40–0.55</w:t>
            </w:r>
          </w:p>
        </w:tc>
        <w:tc>
          <w:tcPr>
            <w:shd w:val="clear" w:color="auto" w:fill="F2F6FA"/>
          </w:tcPr>
          <w:p>
            <w:pPr>
              <w:pStyle w:val="Compact"/>
              <w:spacing w:after="20" w:before="20"/>
              <w:jc w:val="left"/>
            </w:pPr>
            <w:r>
              <w:rPr>
                <w:sz w:val="19"/>
              </w:rPr>
              <w:t xml:space="preserve">heavy-duty first stages</w:t>
            </w:r>
          </w:p>
        </w:tc>
      </w:tr>
      <w:tr>
        <w:trPr>
          <w:cantSplit/>
        </w:trPr>
        <w:tc>
          <w:tcPr/>
          <w:p>
            <w:pPr>
              <w:pStyle w:val="Compact"/>
              <w:spacing w:after="20" w:before="20"/>
              <w:jc w:val="left"/>
            </w:pPr>
            <w:r>
              <w:rPr>
                <w:sz w:val="19"/>
              </w:rPr>
              <w:t xml:space="preserve">Exit axial Mach</w:t>
            </w:r>
          </w:p>
        </w:tc>
        <w:tc>
          <w:tcPr/>
          <w:p>
            <w:pPr>
              <w:pStyle w:val="Compact"/>
              <w:spacing w:after="20" w:before="20"/>
              <w:jc w:val="left"/>
            </w:pPr>
            <w:r>
              <w:rPr>
                <w:sz w:val="19"/>
              </w:rPr>
              <w:t xml:space="preserve">0.25–0.35</w:t>
            </w:r>
          </w:p>
        </w:tc>
        <w:tc>
          <w:tcPr/>
          <w:p>
            <w:pPr>
              <w:pStyle w:val="Compact"/>
              <w:spacing w:after="20" w:before="20"/>
              <w:jc w:val="left"/>
            </w:pPr>
            <w:r>
              <w:rPr>
                <w:sz w:val="19"/>
              </w:rPr>
              <w:t xml:space="preserve">compressor exit ahead of the diffuser</w:t>
            </w:r>
          </w:p>
        </w:tc>
      </w:tr>
      <w:tr>
        <w:trPr>
          <w:cantSplit/>
        </w:trPr>
        <w:tc>
          <w:tcPr>
            <w:shd w:val="clear" w:color="auto" w:fill="F2F6FA"/>
          </w:tcPr>
          <w:p>
            <w:pPr>
              <w:pStyle w:val="Compact"/>
              <w:spacing w:after="20" w:before="20"/>
              <w:jc w:val="left"/>
            </w:pPr>
            <w:r>
              <w:rPr>
                <w:sz w:val="19"/>
              </w:rPr>
              <w:t xml:space="preserve">Blade taper factor</w:t>
            </w:r>
            <w:r>
              <w:rPr>
                <w:sz w:val="19"/>
              </w:rPr>
              <w:t xml:space="preserve"> </w:t>
            </w:r>
            <m:oMath>
              <m:r>
                <m:t>K</m:t>
              </m:r>
            </m:oMath>
          </w:p>
        </w:tc>
        <w:tc>
          <w:tcPr>
            <w:shd w:val="clear" w:color="auto" w:fill="F2F6FA"/>
          </w:tcPr>
          <w:p>
            <w:pPr>
              <w:pStyle w:val="Compact"/>
              <w:spacing w:after="20" w:before="20"/>
              <w:jc w:val="left"/>
            </w:pPr>
            <w:r>
              <w:rPr>
                <w:sz w:val="19"/>
              </w:rPr>
              <w:t xml:space="preserve">0.55–0.70</w:t>
            </w:r>
          </w:p>
        </w:tc>
        <w:tc>
          <w:tcPr>
            <w:shd w:val="clear" w:color="auto" w:fill="F2F6FA"/>
          </w:tcPr>
          <w:p>
            <w:pPr>
              <w:pStyle w:val="Compact"/>
              <w:spacing w:after="20" w:before="20"/>
              <w:jc w:val="left"/>
            </w:pPr>
            <w:r>
              <w:rPr>
                <w:sz w:val="19"/>
              </w:rPr>
              <w:t xml:space="preserve">tapered blades (1.0 = constant section)</w:t>
            </w:r>
          </w:p>
        </w:tc>
      </w:tr>
      <w:tr>
        <w:trPr>
          <w:cantSplit/>
        </w:trPr>
        <w:tc>
          <w:tcPr/>
          <w:p>
            <w:pPr>
              <w:pStyle w:val="Compact"/>
              <w:spacing w:after="20" w:before="20"/>
              <w:jc w:val="left"/>
            </w:pPr>
            <w:r>
              <w:rPr>
                <w:sz w:val="19"/>
              </w:rPr>
              <w:t xml:space="preserve">Stage-work shape (Section 7)</w:t>
            </w:r>
          </w:p>
        </w:tc>
        <w:tc>
          <w:tcPr/>
          <w:p>
            <w:pPr>
              <w:pStyle w:val="Compact"/>
              <w:spacing w:after="20" w:before="20"/>
              <w:jc w:val="left"/>
            </w:pPr>
            <w:r>
              <w:rPr>
                <w:sz w:val="19"/>
              </w:rPr>
              <w:t xml:space="preserve">stage 1: 0.75–0.95 × mean; last stage: 0.70–0.90 × mean</w:t>
            </w:r>
          </w:p>
        </w:tc>
        <w:tc>
          <w:tcPr/>
          <w:p>
            <w:pPr>
              <w:pStyle w:val="Compact"/>
              <w:spacing w:after="20" w:before="20"/>
              <w:jc w:val="left"/>
            </w:pPr>
            <w:r>
              <w:rPr>
                <w:sz w:val="19"/>
              </w:rPr>
              <w:t xml:space="preserve">physical reasons in Section 7</w:t>
            </w:r>
          </w:p>
        </w:tc>
      </w:tr>
    </w:tbl>
    <w:bookmarkEnd w:id="34"/>
    <w:bookmarkEnd w:id="35"/>
    <w:bookmarkStart w:id="36" w:name="X02975e71a78d5f2472316a694d89b17c661dbf6"/>
    <w:p>
      <w:pPr>
        <w:pStyle w:val="Heading1"/>
      </w:pPr>
      <w:r>
        <w:rPr>
          <w:rStyle w:val="SectionNumber"/>
        </w:rPr>
        <w:t xml:space="preserve">4</w:t>
      </w:r>
      <w:r>
        <w:tab/>
      </w:r>
      <w:r>
        <w:t xml:space="preserve">Result 1 — the catalogue is self-consistent</w:t>
      </w:r>
    </w:p>
    <w:p>
      <w:pPr>
        <w:pStyle w:val="FirstParagraph"/>
      </w:pPr>
      <w:r>
        <w:t xml:space="preserve">Before using published numbers to derive anything, we checked that they agree with each other. The energy entering the gas turbine as fuel must leave as electricity, as exhaust heat, or as small losses:</w:t>
      </w:r>
    </w:p>
    <w:p>
      <w:pPr>
        <w:pStyle w:val="BodyText"/>
      </w:pPr>
      <m:oMathPara>
        <m:oMathParaPr>
          <m:jc m:val="center"/>
        </m:oMathParaPr>
        <m:oMath>
          <m:acc>
            <m:accPr>
              <m:chr m:val="̇"/>
            </m:accPr>
            <m:e>
              <m:r>
                <m:t>Q</m:t>
              </m:r>
            </m:e>
          </m:acc>
          <m:r>
            <m:rPr>
              <m:sty m:val="p"/>
            </m:rPr>
            <m:t>−</m:t>
          </m:r>
          <m:r>
            <m:t>P</m:t>
          </m:r>
          <m:r>
            <m:rPr>
              <m:sty m:val="p"/>
            </m:rPr>
            <m:t>−</m:t>
          </m:r>
          <m:sSub>
            <m:e>
              <m:acc>
                <m:accPr>
                  <m:chr m:val="̇"/>
                </m:accPr>
                <m:e>
                  <m:r>
                    <m:t>m</m:t>
                  </m:r>
                </m:e>
              </m:acc>
            </m:e>
            <m:sub>
              <m:r>
                <m:t>e</m:t>
              </m:r>
              <m:r>
                <m:t>x</m:t>
              </m:r>
              <m:r>
                <m:t>h</m:t>
              </m:r>
            </m:sub>
          </m:sSub>
          <m:d>
            <m:dPr>
              <m:begChr m:val="["/>
              <m:endChr m:val="]"/>
              <m:sepChr m:val=""/>
              <m:grow/>
            </m:dPr>
            <m:e>
              <m:sSub>
                <m:e>
                  <m:r>
                    <m:t>h</m:t>
                  </m:r>
                </m:e>
                <m:sub>
                  <m:r>
                    <m:t>e</m:t>
                  </m:r>
                  <m:r>
                    <m:t>x</m:t>
                  </m:r>
                  <m:r>
                    <m:t>h</m:t>
                  </m:r>
                </m:sub>
              </m:sSub>
              <m:d>
                <m:dPr>
                  <m:begChr m:val="("/>
                  <m:endChr m:val=")"/>
                  <m:sepChr m:val=""/>
                  <m:grow/>
                </m:dPr>
                <m:e>
                  <m:sSub>
                    <m:e>
                      <m:r>
                        <m:t>T</m:t>
                      </m:r>
                    </m:e>
                    <m:sub>
                      <m:r>
                        <m:t>e</m:t>
                      </m:r>
                      <m:r>
                        <m:t>x</m:t>
                      </m:r>
                      <m:r>
                        <m:t>h</m:t>
                      </m:r>
                    </m:sub>
                  </m:sSub>
                </m:e>
              </m:d>
              <m:r>
                <m:rPr>
                  <m:sty m:val="p"/>
                </m:rPr>
                <m:t>−</m:t>
              </m:r>
              <m:sSub>
                <m:e>
                  <m:r>
                    <m:t>h</m:t>
                  </m:r>
                </m:e>
                <m:sub>
                  <m:r>
                    <m:t>e</m:t>
                  </m:r>
                  <m:r>
                    <m:t>x</m:t>
                  </m:r>
                  <m:r>
                    <m:t>h</m:t>
                  </m:r>
                </m:sub>
              </m:sSub>
              <m:d>
                <m:dPr>
                  <m:begChr m:val="("/>
                  <m:endChr m:val=")"/>
                  <m:sepChr m:val=""/>
                  <m:grow/>
                </m:dPr>
                <m:e>
                  <m:sSub>
                    <m:e>
                      <m:r>
                        <m:t>T</m:t>
                      </m:r>
                    </m:e>
                    <m:sub>
                      <m:r>
                        <m:t>r</m:t>
                      </m:r>
                      <m:r>
                        <m:t>e</m:t>
                      </m:r>
                      <m:r>
                        <m:t>f</m:t>
                      </m:r>
                    </m:sub>
                  </m:sSub>
                </m:e>
              </m:d>
            </m:e>
          </m:d>
          <m:r>
            <m:rPr>
              <m:sty m:val="p"/>
            </m:rPr>
            <m:t>=</m:t>
          </m:r>
          <m:r>
            <m:rPr>
              <m:nor/>
              <m:sty m:val="p"/>
            </m:rPr>
            <m:t>residual</m:t>
          </m:r>
          <m:r>
            <m:rPr>
              <m:sty m:val="p"/>
            </m:rPr>
            <m:t>,</m:t>
          </m:r>
          <m:r>
            <m:t>  </m:t>
          </m:r>
          <m:sSub>
            <m:e>
              <m:r>
                <m:t>T</m:t>
              </m:r>
            </m:e>
            <m:sub>
              <m:r>
                <m:t>r</m:t>
              </m:r>
              <m:r>
                <m:t>e</m:t>
              </m:r>
              <m:r>
                <m:t>f</m:t>
              </m:r>
            </m:sub>
          </m:sSub>
          <m:r>
            <m:rPr>
              <m:sty m:val="p"/>
            </m:rPr>
            <m:t>=</m:t>
          </m:r>
          <m:r>
            <m:t>288.15</m:t>
          </m:r>
          <m:r>
            <m:t> </m:t>
          </m:r>
          <m:r>
            <m:rPr>
              <m:nor/>
              <m:sty m:val="p"/>
            </m:rPr>
            <m:t>K</m:t>
          </m:r>
        </m:oMath>
      </m:oMathPara>
    </w:p>
    <w:p>
      <w:pPr>
        <w:pStyle w:val="TableCaption"/>
      </w:pPr>
      <w:r>
        <w:t xml:space="preserve">Table 4. Overall energy balance (methane fuel, real-gas exhaust properties).</w:t>
      </w:r>
    </w:p>
    <w:tbl>
      <w:tblPr>
        <w:tblStyle w:val="Table"/>
        <w:tblW w:type="auto" w:w="0"/>
        <w:tblLook w:firstRow="1" w:lastRow="0" w:firstColumn="0" w:lastColumn="0" w:noHBand="0" w:noVBand="0" w:val="0020"/>
        <w:tblCaption w:val="Table 4. Overall energy balance (methane fuel, real-gas exhaust properties)."/>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980"/>
        <w:gridCol w:w="1980"/>
        <w:gridCol w:w="1980"/>
        <w:gridCol w:w="1980"/>
      </w:tblGrid>
      <w:tr>
        <w:trPr>
          <w:tblHeader w:val="true"/>
          <w:tblHeader w:val="true"/>
          <w:cantSplit/>
        </w:trPr>
        <w:tc>
          <w:tcPr>
            <w:shd w:val="clear" w:color="auto" w:fill="1F3864"/>
          </w:tcPr>
          <w:p>
            <w:pPr>
              <w:pStyle w:val="Compact"/>
              <w:spacing w:after="20" w:before="20"/>
              <w:jc w:val="left"/>
            </w:pPr>
            <w:r>
              <w:rPr>
                <w:b/>
                <w:color w:val="FFFFFF"/>
                <w:sz w:val="19"/>
              </w:rPr>
              <w:t xml:space="preserve">Rating</w:t>
            </w:r>
          </w:p>
        </w:tc>
        <w:tc>
          <w:tcPr>
            <w:shd w:val="clear" w:color="auto" w:fill="1F3864"/>
          </w:tcPr>
          <w:p>
            <w:pPr>
              <w:pStyle w:val="Compact"/>
              <w:spacing w:after="20" w:before="20"/>
              <w:jc w:val="center"/>
            </w:pPr>
            <w:r>
              <w:rPr>
                <w:b/>
                <w:color w:val="FFFFFF"/>
                <w:sz w:val="19"/>
              </w:rPr>
              <w:t xml:space="preserve">Heat input</w:t>
            </w:r>
          </w:p>
        </w:tc>
        <w:tc>
          <w:tcPr>
            <w:shd w:val="clear" w:color="auto" w:fill="1F3864"/>
          </w:tcPr>
          <w:p>
            <w:pPr>
              <w:pStyle w:val="Compact"/>
              <w:spacing w:after="20" w:before="20"/>
              <w:jc w:val="center"/>
            </w:pPr>
            <w:r>
              <w:rPr>
                <w:b/>
                <w:color w:val="FFFFFF"/>
                <w:sz w:val="19"/>
              </w:rPr>
              <w:t xml:space="preserve">Exhaust heat</w:t>
            </w:r>
          </w:p>
        </w:tc>
        <w:tc>
          <w:tcPr>
            <w:shd w:val="clear" w:color="auto" w:fill="1F3864"/>
          </w:tcPr>
          <w:p>
            <w:pPr>
              <w:pStyle w:val="Compact"/>
              <w:spacing w:after="20" w:before="20"/>
              <w:jc w:val="center"/>
            </w:pPr>
            <w:r>
              <w:rPr>
                <w:b/>
                <w:color w:val="FFFFFF"/>
                <w:sz w:val="19"/>
              </w:rPr>
              <w:t xml:space="preserve">Residual</w:t>
            </w:r>
          </w:p>
        </w:tc>
      </w:tr>
      <w:tr>
        <w:trPr>
          <w:cantSplit/>
        </w:trPr>
        <w:tc>
          <w:tcPr/>
          <w:p>
            <w:pPr>
              <w:pStyle w:val="Compact"/>
              <w:spacing w:after="20" w:before="20"/>
              <w:jc w:val="left"/>
            </w:pPr>
            <w:r>
              <w:rPr>
                <w:sz w:val="19"/>
              </w:rPr>
              <w:t xml:space="preserve">448 MW</w:t>
            </w:r>
          </w:p>
        </w:tc>
        <w:tc>
          <w:tcPr/>
          <w:p>
            <w:pPr>
              <w:pStyle w:val="Compact"/>
              <w:spacing w:after="20" w:before="20"/>
              <w:jc w:val="center"/>
            </w:pPr>
            <w:r>
              <w:rPr>
                <w:sz w:val="19"/>
              </w:rPr>
              <w:t xml:space="preserve">1018 MW</w:t>
            </w:r>
          </w:p>
        </w:tc>
        <w:tc>
          <w:tcPr/>
          <w:p>
            <w:pPr>
              <w:pStyle w:val="Compact"/>
              <w:spacing w:after="20" w:before="20"/>
              <w:jc w:val="center"/>
            </w:pPr>
            <w:r>
              <w:rPr>
                <w:sz w:val="19"/>
              </w:rPr>
              <w:t xml:space="preserve">559 MW</w:t>
            </w:r>
          </w:p>
        </w:tc>
        <w:tc>
          <w:tcPr/>
          <w:p>
            <w:pPr>
              <w:pStyle w:val="Compact"/>
              <w:spacing w:after="20" w:before="20"/>
              <w:jc w:val="center"/>
            </w:pPr>
            <w:r>
              <w:rPr>
                <w:sz w:val="19"/>
              </w:rPr>
              <w:t xml:space="preserve">+10.8 MW (+1.1 %)</w:t>
            </w:r>
          </w:p>
        </w:tc>
      </w:tr>
      <w:tr>
        <w:trPr>
          <w:cantSplit/>
        </w:trPr>
        <w:tc>
          <w:tcPr>
            <w:shd w:val="clear" w:color="auto" w:fill="F2F6FA"/>
          </w:tcPr>
          <w:p>
            <w:pPr>
              <w:pStyle w:val="Compact"/>
              <w:spacing w:after="20" w:before="20"/>
              <w:jc w:val="left"/>
            </w:pPr>
            <w:r>
              <w:rPr>
                <w:sz w:val="19"/>
              </w:rPr>
              <w:t xml:space="preserve">574 MW</w:t>
            </w:r>
          </w:p>
        </w:tc>
        <w:tc>
          <w:tcPr>
            <w:shd w:val="clear" w:color="auto" w:fill="F2F6FA"/>
          </w:tcPr>
          <w:p>
            <w:pPr>
              <w:pStyle w:val="Compact"/>
              <w:spacing w:after="20" w:before="20"/>
              <w:jc w:val="center"/>
            </w:pPr>
            <w:r>
              <w:rPr>
                <w:sz w:val="19"/>
              </w:rPr>
              <w:t xml:space="preserve">1323 MW</w:t>
            </w:r>
          </w:p>
        </w:tc>
        <w:tc>
          <w:tcPr>
            <w:shd w:val="clear" w:color="auto" w:fill="F2F6FA"/>
          </w:tcPr>
          <w:p>
            <w:pPr>
              <w:pStyle w:val="Compact"/>
              <w:spacing w:after="20" w:before="20"/>
              <w:jc w:val="center"/>
            </w:pPr>
            <w:r>
              <w:rPr>
                <w:sz w:val="19"/>
              </w:rPr>
              <w:t xml:space="preserve">726 MW</w:t>
            </w:r>
          </w:p>
        </w:tc>
        <w:tc>
          <w:tcPr>
            <w:shd w:val="clear" w:color="auto" w:fill="F2F6FA"/>
          </w:tcPr>
          <w:p>
            <w:pPr>
              <w:pStyle w:val="Compact"/>
              <w:spacing w:after="20" w:before="20"/>
              <w:jc w:val="center"/>
            </w:pPr>
            <w:r>
              <w:rPr>
                <w:sz w:val="19"/>
              </w:rPr>
              <w:t xml:space="preserve">+22.2 MW (+1.7 %)</w:t>
            </w:r>
          </w:p>
        </w:tc>
      </w:tr>
    </w:tbl>
    <w:p>
      <w:pPr>
        <w:pStyle w:val="BodyText"/>
      </w:pPr>
      <w:r>
        <w:t xml:space="preserve">A residual of about 1 % is exactly what should remain: generator and mechanical losses (≈ 1–1.5 % of output), casing heat loss, and the heat removed by the external cooler of the enhanced air-cooling system.</w:t>
      </w:r>
      <w:r>
        <w:t xml:space="preserve"> </w:t>
      </w:r>
      <w:r>
        <w:rPr>
          <w:bCs/>
          <w:b/>
        </w:rPr>
        <w:t xml:space="preserve">The catalogue numbers can be trusted</w:t>
      </w:r>
      <w:r>
        <w:t xml:space="preserve">, and the inlet air flow (743.8 kg/s, band 743.0–744.6) is effectively fixed by data.</w:t>
      </w:r>
    </w:p>
    <w:bookmarkEnd w:id="36"/>
    <w:bookmarkStart w:id="40" w:name="result-2-compressor-thermodynamics"/>
    <w:p>
      <w:pPr>
        <w:pStyle w:val="Heading1"/>
      </w:pPr>
      <w:r>
        <w:rPr>
          <w:rStyle w:val="SectionNumber"/>
        </w:rPr>
        <w:t xml:space="preserve">5</w:t>
      </w:r>
      <w:r>
        <w:tab/>
      </w:r>
      <w:r>
        <w:t xml:space="preserve">Result 2 — compressor thermodynamics</w:t>
      </w:r>
    </w:p>
    <w:p>
      <w:pPr>
        <w:pStyle w:val="TableCaption"/>
      </w:pPr>
      <w:r>
        <w:t xml:space="preserve">Table 5. Thermodynamic results (median and 5–95 % band).</w:t>
      </w:r>
    </w:p>
    <w:tbl>
      <w:tblPr>
        <w:tblStyle w:val="Table"/>
        <w:tblW w:type="pct" w:w="5000"/>
        <w:tblLook w:firstRow="1" w:lastRow="0" w:firstColumn="0" w:lastColumn="0" w:noHBand="0" w:noVBand="0" w:val="0020"/>
        <w:tblCaption w:val="Table 5. Thermodynamic results (median and 5–95 % band)."/>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3960"/>
        <w:gridCol w:w="1056"/>
        <w:gridCol w:w="1056"/>
        <w:gridCol w:w="1848"/>
      </w:tblGrid>
      <w:tr>
        <w:trPr>
          <w:tblHeader w:val="true"/>
          <w:tblHeader w:val="true"/>
          <w:cantSplit/>
        </w:trPr>
        <w:tc>
          <w:tcPr>
            <w:shd w:val="clear" w:color="auto" w:fill="1F3864"/>
          </w:tcPr>
          <w:p>
            <w:pPr>
              <w:pStyle w:val="Compact"/>
              <w:spacing w:after="20" w:before="20"/>
              <w:jc w:val="left"/>
            </w:pPr>
            <w:r>
              <w:rPr>
                <w:b/>
                <w:color w:val="FFFFFF"/>
                <w:sz w:val="19"/>
              </w:rPr>
              <w:t xml:space="preserve">Quantity (448 MW rating)</w:t>
            </w:r>
          </w:p>
        </w:tc>
        <w:tc>
          <w:tcPr>
            <w:shd w:val="clear" w:color="auto" w:fill="1F3864"/>
          </w:tcPr>
          <w:p>
            <w:pPr>
              <w:pStyle w:val="Compact"/>
              <w:spacing w:after="20" w:before="20"/>
              <w:jc w:val="center"/>
            </w:pPr>
            <w:r>
              <w:rPr>
                <w:b/>
                <w:color w:val="FFFFFF"/>
                <w:sz w:val="19"/>
              </w:rPr>
              <w:t xml:space="preserve">Median</w:t>
            </w:r>
          </w:p>
        </w:tc>
        <w:tc>
          <w:tcPr>
            <w:shd w:val="clear" w:color="auto" w:fill="1F3864"/>
          </w:tcPr>
          <w:p>
            <w:pPr>
              <w:pStyle w:val="Compact"/>
              <w:spacing w:after="20" w:before="20"/>
              <w:jc w:val="center"/>
            </w:pPr>
            <w:r>
              <w:rPr>
                <w:b/>
                <w:color w:val="FFFFFF"/>
                <w:sz w:val="19"/>
              </w:rPr>
              <w:t xml:space="preserve">5–95 % band</w:t>
            </w:r>
          </w:p>
        </w:tc>
        <w:tc>
          <w:tcPr>
            <w:shd w:val="clear" w:color="auto" w:fill="1F3864"/>
          </w:tcPr>
          <w:p>
            <w:pPr>
              <w:pStyle w:val="Compact"/>
              <w:spacing w:after="20" w:before="20"/>
              <w:jc w:val="left"/>
            </w:pPr>
            <w:r>
              <w:rPr>
                <w:b/>
                <w:color w:val="FFFFFF"/>
                <w:sz w:val="19"/>
              </w:rPr>
              <w:t xml:space="preserve">Controlled by</w:t>
            </w:r>
          </w:p>
        </w:tc>
      </w:tr>
      <w:tr>
        <w:trPr>
          <w:cantSplit/>
        </w:trPr>
        <w:tc>
          <w:tcPr/>
          <w:p>
            <w:pPr>
              <w:pStyle w:val="Compact"/>
              <w:spacing w:after="20" w:before="20"/>
              <w:jc w:val="left"/>
            </w:pPr>
            <w:r>
              <w:rPr>
                <w:sz w:val="19"/>
              </w:rPr>
              <w:t xml:space="preserve">Inlet air flow</w:t>
            </w:r>
          </w:p>
        </w:tc>
        <w:tc>
          <w:tcPr/>
          <w:p>
            <w:pPr>
              <w:pStyle w:val="Compact"/>
              <w:spacing w:after="20" w:before="20"/>
              <w:jc w:val="center"/>
            </w:pPr>
            <w:r>
              <w:rPr>
                <w:sz w:val="19"/>
              </w:rPr>
              <w:t xml:space="preserve">743.8 kg/s</w:t>
            </w:r>
          </w:p>
        </w:tc>
        <w:tc>
          <w:tcPr/>
          <w:p>
            <w:pPr>
              <w:pStyle w:val="Compact"/>
              <w:spacing w:after="20" w:before="20"/>
              <w:jc w:val="center"/>
            </w:pPr>
            <w:r>
              <w:rPr>
                <w:sz w:val="19"/>
              </w:rPr>
              <w:t xml:space="preserve">743.0–744.6</w:t>
            </w:r>
          </w:p>
        </w:tc>
        <w:tc>
          <w:tcPr/>
          <w:p>
            <w:pPr>
              <w:pStyle w:val="Compact"/>
              <w:spacing w:after="20" w:before="20"/>
              <w:jc w:val="left"/>
            </w:pPr>
            <w:r>
              <w:rPr>
                <w:sz w:val="19"/>
              </w:rPr>
              <w:t xml:space="preserve">data (LHV only)</w:t>
            </w:r>
          </w:p>
        </w:tc>
      </w:tr>
      <w:tr>
        <w:trPr>
          <w:cantSplit/>
        </w:trPr>
        <w:tc>
          <w:tcPr>
            <w:shd w:val="clear" w:color="auto" w:fill="F2F6FA"/>
          </w:tcPr>
          <w:p>
            <w:pPr>
              <w:pStyle w:val="Compact"/>
              <w:spacing w:after="20" w:before="20"/>
              <w:jc w:val="left"/>
            </w:pPr>
            <w:r>
              <w:rPr>
                <w:sz w:val="19"/>
              </w:rPr>
              <w:t xml:space="preserve">Delivery total temperature</w:t>
            </w:r>
            <w:r>
              <w:rPr>
                <w:sz w:val="19"/>
              </w:rPr>
              <w:t xml:space="preserve"> </w:t>
            </w:r>
            <m:oMath>
              <m:sSub>
                <m:e>
                  <m:r>
                    <m:t>T</m:t>
                  </m:r>
                </m:e>
                <m:sub>
                  <m:r>
                    <m:t>02</m:t>
                  </m:r>
                </m:sub>
              </m:sSub>
            </m:oMath>
          </w:p>
        </w:tc>
        <w:tc>
          <w:tcPr>
            <w:shd w:val="clear" w:color="auto" w:fill="F2F6FA"/>
          </w:tcPr>
          <w:p>
            <w:pPr>
              <w:pStyle w:val="Compact"/>
              <w:spacing w:after="20" w:before="20"/>
              <w:jc w:val="center"/>
            </w:pPr>
            <w:r>
              <w:rPr>
                <w:sz w:val="19"/>
              </w:rPr>
              <w:t xml:space="preserve">789 K (516 °C)</w:t>
            </w:r>
          </w:p>
        </w:tc>
        <w:tc>
          <w:tcPr>
            <w:shd w:val="clear" w:color="auto" w:fill="F2F6FA"/>
          </w:tcPr>
          <w:p>
            <w:pPr>
              <w:pStyle w:val="Compact"/>
              <w:spacing w:after="20" w:before="20"/>
              <w:jc w:val="center"/>
            </w:pPr>
            <w:r>
              <w:rPr>
                <w:sz w:val="19"/>
              </w:rPr>
              <w:t xml:space="preserve">771–809 K</w:t>
            </w:r>
          </w:p>
        </w:tc>
        <w:tc>
          <w:tcPr>
            <w:shd w:val="clear" w:color="auto" w:fill="F2F6FA"/>
          </w:tcPr>
          <w:p>
            <w:pPr>
              <w:pStyle w:val="Compact"/>
              <w:spacing w:after="20" w:before="20"/>
              <w:jc w:val="left"/>
            </w:pPr>
            <m:oMath>
              <m:sSub>
                <m:e>
                  <m:r>
                    <m:t>η</m:t>
                  </m:r>
                </m:e>
                <m:sub>
                  <m:r>
                    <m:t>p</m:t>
                  </m:r>
                </m:sub>
              </m:sSub>
            </m:oMath>
          </w:p>
        </w:tc>
      </w:tr>
      <w:tr>
        <w:trPr>
          <w:cantSplit/>
        </w:trPr>
        <w:tc>
          <w:tcPr/>
          <w:p>
            <w:pPr>
              <w:pStyle w:val="Compact"/>
              <w:spacing w:after="20" w:before="20"/>
              <w:jc w:val="left"/>
            </w:pPr>
            <w:r>
              <w:rPr>
                <w:sz w:val="19"/>
              </w:rPr>
              <w:t xml:space="preserve">Isentropic efficiency</w:t>
            </w:r>
            <w:r>
              <w:rPr>
                <w:sz w:val="19"/>
              </w:rPr>
              <w:t xml:space="preserve"> </w:t>
            </w:r>
            <m:oMath>
              <m:sSub>
                <m:e>
                  <m:r>
                    <m:t>η</m:t>
                  </m:r>
                </m:e>
                <m:sub>
                  <m:r>
                    <m:t>c</m:t>
                  </m:r>
                </m:sub>
              </m:sSub>
            </m:oMath>
          </w:p>
        </w:tc>
        <w:tc>
          <w:tcPr/>
          <w:p>
            <w:pPr>
              <w:pStyle w:val="Compact"/>
              <w:spacing w:after="20" w:before="20"/>
              <w:jc w:val="center"/>
            </w:pPr>
            <w:r>
              <w:rPr>
                <w:sz w:val="19"/>
              </w:rPr>
              <w:t xml:space="preserve">0.828</w:t>
            </w:r>
          </w:p>
        </w:tc>
        <w:tc>
          <w:tcPr/>
          <w:p>
            <w:pPr>
              <w:pStyle w:val="Compact"/>
              <w:spacing w:after="20" w:before="20"/>
              <w:jc w:val="center"/>
            </w:pPr>
            <w:r>
              <w:rPr>
                <w:sz w:val="19"/>
              </w:rPr>
              <w:t xml:space="preserve">0.795–0.862</w:t>
            </w:r>
          </w:p>
        </w:tc>
        <w:tc>
          <w:tcPr/>
          <w:p>
            <w:pPr>
              <w:pStyle w:val="Compact"/>
              <w:spacing w:after="20" w:before="20"/>
              <w:jc w:val="left"/>
            </w:pPr>
            <m:oMath>
              <m:sSub>
                <m:e>
                  <m:r>
                    <m:t>η</m:t>
                  </m:r>
                </m:e>
                <m:sub>
                  <m:r>
                    <m:t>p</m:t>
                  </m:r>
                </m:sub>
              </m:sSub>
            </m:oMath>
          </w:p>
        </w:tc>
      </w:tr>
      <w:tr>
        <w:trPr>
          <w:cantSplit/>
        </w:trPr>
        <w:tc>
          <w:tcPr>
            <w:shd w:val="clear" w:color="auto" w:fill="F2F6FA"/>
          </w:tcPr>
          <w:p>
            <w:pPr>
              <w:pStyle w:val="Compact"/>
              <w:spacing w:after="20" w:before="20"/>
              <w:jc w:val="left"/>
            </w:pPr>
            <w:r>
              <w:rPr>
                <w:sz w:val="19"/>
              </w:rPr>
              <w:t xml:space="preserve">Specific work</w:t>
            </w:r>
            <w:r>
              <w:rPr>
                <w:sz w:val="19"/>
              </w:rPr>
              <w:t xml:space="preserve"> </w:t>
            </w:r>
            <m:oMath>
              <m:r>
                <m:t>Δ</m:t>
              </m:r>
              <m:sSub>
                <m:e>
                  <m:r>
                    <m:t>h</m:t>
                  </m:r>
                </m:e>
                <m:sub>
                  <m:r>
                    <m:t>0</m:t>
                  </m:r>
                </m:sub>
              </m:sSub>
            </m:oMath>
          </w:p>
        </w:tc>
        <w:tc>
          <w:tcPr>
            <w:shd w:val="clear" w:color="auto" w:fill="F2F6FA"/>
          </w:tcPr>
          <w:p>
            <w:pPr>
              <w:pStyle w:val="Compact"/>
              <w:spacing w:after="20" w:before="20"/>
              <w:jc w:val="center"/>
            </w:pPr>
            <w:r>
              <w:rPr>
                <w:sz w:val="19"/>
              </w:rPr>
              <w:t xml:space="preserve">525 kJ/kg</w:t>
            </w:r>
          </w:p>
        </w:tc>
        <w:tc>
          <w:tcPr>
            <w:shd w:val="clear" w:color="auto" w:fill="F2F6FA"/>
          </w:tcPr>
          <w:p>
            <w:pPr>
              <w:pStyle w:val="Compact"/>
              <w:spacing w:after="20" w:before="20"/>
              <w:jc w:val="center"/>
            </w:pPr>
            <w:r>
              <w:rPr>
                <w:sz w:val="19"/>
              </w:rPr>
              <w:t xml:space="preserve">505–547 kJ/kg</w:t>
            </w:r>
          </w:p>
        </w:tc>
        <w:tc>
          <w:tcPr>
            <w:shd w:val="clear" w:color="auto" w:fill="F2F6FA"/>
          </w:tcPr>
          <w:p>
            <w:pPr>
              <w:pStyle w:val="Compact"/>
              <w:spacing w:after="20" w:before="20"/>
              <w:jc w:val="left"/>
            </w:pPr>
            <m:oMath>
              <m:sSub>
                <m:e>
                  <m:r>
                    <m:t>η</m:t>
                  </m:r>
                </m:e>
                <m:sub>
                  <m:r>
                    <m:t>p</m:t>
                  </m:r>
                </m:sub>
              </m:sSub>
            </m:oMath>
          </w:p>
        </w:tc>
      </w:tr>
      <w:tr>
        <w:trPr>
          <w:cantSplit/>
        </w:trPr>
        <w:tc>
          <w:tcPr/>
          <w:p>
            <w:pPr>
              <w:pStyle w:val="Compact"/>
              <w:spacing w:after="20" w:before="20"/>
              <w:jc w:val="left"/>
            </w:pPr>
            <w:r>
              <w:rPr>
                <w:sz w:val="19"/>
              </w:rPr>
              <w:t xml:space="preserve">Shaft power (full delivery flow)</w:t>
            </w:r>
          </w:p>
        </w:tc>
        <w:tc>
          <w:tcPr/>
          <w:p>
            <w:pPr>
              <w:pStyle w:val="Compact"/>
              <w:spacing w:after="20" w:before="20"/>
              <w:jc w:val="center"/>
            </w:pPr>
            <w:r>
              <w:rPr>
                <w:sz w:val="19"/>
              </w:rPr>
              <w:t xml:space="preserve">390 MW</w:t>
            </w:r>
          </w:p>
        </w:tc>
        <w:tc>
          <w:tcPr/>
          <w:p>
            <w:pPr>
              <w:pStyle w:val="Compact"/>
              <w:spacing w:after="20" w:before="20"/>
              <w:jc w:val="center"/>
            </w:pPr>
            <w:r>
              <w:rPr>
                <w:sz w:val="19"/>
              </w:rPr>
              <w:t xml:space="preserve">375–407 MW</w:t>
            </w:r>
          </w:p>
        </w:tc>
        <w:tc>
          <w:tcPr/>
          <w:p>
            <w:pPr>
              <w:pStyle w:val="Compact"/>
              <w:spacing w:after="20" w:before="20"/>
              <w:jc w:val="left"/>
            </w:pPr>
            <m:oMath>
              <m:sSub>
                <m:e>
                  <m:r>
                    <m:t>η</m:t>
                  </m:r>
                </m:e>
                <m:sub>
                  <m:r>
                    <m:t>p</m:t>
                  </m:r>
                </m:sub>
              </m:sSub>
            </m:oMath>
          </w:p>
        </w:tc>
      </w:tr>
      <w:tr>
        <w:trPr>
          <w:cantSplit/>
        </w:trPr>
        <w:tc>
          <w:tcPr>
            <w:shd w:val="clear" w:color="auto" w:fill="F2F6FA"/>
          </w:tcPr>
          <w:p>
            <w:pPr>
              <w:pStyle w:val="Compact"/>
              <w:spacing w:after="20" w:before="20"/>
              <w:jc w:val="left"/>
            </w:pPr>
            <w:r>
              <w:rPr>
                <w:sz w:val="19"/>
              </w:rPr>
              <w:t xml:space="preserve">Mean stage</w:t>
            </w:r>
            <w:r>
              <w:rPr>
                <w:sz w:val="19"/>
              </w:rPr>
              <w:t xml:space="preserve"> </w:t>
            </w:r>
            <m:oMath>
              <m:r>
                <m:t>Δ</m:t>
              </m:r>
              <m:sSub>
                <m:e>
                  <m:r>
                    <m:t>T</m:t>
                  </m:r>
                </m:e>
                <m:sub>
                  <m:r>
                    <m:t>0</m:t>
                  </m:r>
                </m:sub>
              </m:sSub>
            </m:oMath>
          </w:p>
        </w:tc>
        <w:tc>
          <w:tcPr>
            <w:shd w:val="clear" w:color="auto" w:fill="F2F6FA"/>
          </w:tcPr>
          <w:p>
            <w:pPr>
              <w:pStyle w:val="Compact"/>
              <w:spacing w:after="20" w:before="20"/>
              <w:jc w:val="center"/>
            </w:pPr>
            <w:r>
              <w:rPr>
                <w:sz w:val="19"/>
              </w:rPr>
              <w:t xml:space="preserve">33.4 K</w:t>
            </w:r>
          </w:p>
        </w:tc>
        <w:tc>
          <w:tcPr>
            <w:shd w:val="clear" w:color="auto" w:fill="F2F6FA"/>
          </w:tcPr>
          <w:p>
            <w:pPr>
              <w:pStyle w:val="Compact"/>
              <w:spacing w:after="20" w:before="20"/>
              <w:jc w:val="center"/>
            </w:pPr>
            <w:r>
              <w:rPr>
                <w:sz w:val="19"/>
              </w:rPr>
              <w:t xml:space="preserve">32.2–34.7 K</w:t>
            </w:r>
          </w:p>
        </w:tc>
        <w:tc>
          <w:tcPr>
            <w:shd w:val="clear" w:color="auto" w:fill="F2F6FA"/>
          </w:tcPr>
          <w:p>
            <w:pPr>
              <w:pStyle w:val="Compact"/>
              <w:spacing w:after="20" w:before="20"/>
              <w:jc w:val="left"/>
            </w:pPr>
            <m:oMath>
              <m:sSub>
                <m:e>
                  <m:r>
                    <m:t>η</m:t>
                  </m:r>
                </m:e>
                <m:sub>
                  <m:r>
                    <m:t>p</m:t>
                  </m:r>
                </m:sub>
              </m:sSub>
            </m:oMath>
          </w:p>
        </w:tc>
      </w:tr>
    </w:tbl>
    <w:p>
      <w:pPr>
        <w:pStyle w:val="CaptionedFigure"/>
        <w:keepNext/>
      </w:pPr>
      <w:r>
        <w:drawing>
          <wp:inline>
            <wp:extent cx="4596384" cy="2646402"/>
            <wp:effectExtent b="0" l="0" r="0" t="0"/>
            <wp:docPr descr="Figure 2. Delivery temperature and compressor power versus the (unpublished) polytropic efficiency, for PR 25 with real-gas humid air. The shaded band is the range carried in the analysis." title="" id="38" name="Picture"/>
            <a:graphic>
              <a:graphicData uri="http://schemas.openxmlformats.org/drawingml/2006/picture">
                <pic:pic>
                  <pic:nvPicPr>
                    <pic:cNvPr descr="../../analysis/fig_A_eta_sweep.png" id="39" name="Picture"/>
                    <pic:cNvPicPr>
                      <a:picLocks noChangeArrowheads="1" noChangeAspect="1"/>
                    </pic:cNvPicPr>
                  </pic:nvPicPr>
                  <pic:blipFill>
                    <a:blip r:embed="rId37"/>
                    <a:stretch>
                      <a:fillRect/>
                    </a:stretch>
                  </pic:blipFill>
                  <pic:spPr bwMode="auto">
                    <a:xfrm>
                      <a:off x="0" y="0"/>
                      <a:ext cx="4596384" cy="2646402"/>
                    </a:xfrm>
                    <a:prstGeom prst="rect">
                      <a:avLst/>
                    </a:prstGeom>
                    <a:noFill/>
                    <a:ln w="9525">
                      <a:noFill/>
                      <a:headEnd/>
                      <a:tailEnd/>
                    </a:ln>
                  </pic:spPr>
                </pic:pic>
              </a:graphicData>
            </a:graphic>
          </wp:inline>
        </w:drawing>
      </w:r>
    </w:p>
    <w:p>
      <w:pPr>
        <w:pStyle w:val="ImageCaption"/>
      </w:pPr>
      <w:r>
        <w:t xml:space="preserve">Figure 2. Delivery temperature and compressor power versus the (unpublished) polytropic efficiency, for PR 25 with real-gas humid air. The shaded band is the range carried in the analysis.</w:t>
      </w:r>
    </w:p>
    <w:p>
      <w:pPr>
        <w:pStyle w:val="BodyText"/>
      </w:pPr>
      <w:r>
        <w:rPr>
          <w:bCs/>
          <w:b/>
        </w:rPr>
        <w:t xml:space="preserve">The compressor absorbs almost as much power as the machine delivers.</w:t>
      </w:r>
      <w:r>
        <w:t xml:space="preserve"> </w:t>
      </w:r>
      <w:r>
        <w:t xml:space="preserve">With about 390 MW for compression and about 455 MW at the shaft (448 MW at the terminals divided by an assumed generator efficiency of about 98.5 %), the turbine must produce roughly 845 MW, so about</w:t>
      </w:r>
      <w:r>
        <w:t xml:space="preserve"> </w:t>
      </w:r>
      <w:r>
        <w:rPr>
          <w:bCs/>
          <w:b/>
        </w:rPr>
        <w:t xml:space="preserve">46 % of the turbine’s work goes back into the compressor</w:t>
      </w:r>
      <w:r>
        <w:t xml:space="preserve">. This</w:t>
      </w:r>
      <w:r>
        <w:t xml:space="preserve"> </w:t>
      </w:r>
      <w:r>
        <w:rPr>
          <w:iCs/>
          <w:i/>
        </w:rPr>
        <w:t xml:space="preserve">back-work ratio</w:t>
      </w:r>
      <w:r>
        <w:t xml:space="preserve"> </w:t>
      </w:r>
      <w:r>
        <w:t xml:space="preserve">is why a one-point gain in compressor efficiency is so valuable, and why MHI invests so heavily in the compressor.</w:t>
      </w:r>
    </w:p>
    <w:p>
      <w:pPr>
        <w:pStyle w:val="BlockText"/>
      </w:pPr>
      <w:r>
        <w:rPr>
          <w:bCs/>
          <w:b/>
        </w:rPr>
        <w:t xml:space="preserve">Learning note — real gas vs. constant</w:t>
      </w:r>
      <w:r>
        <w:rPr>
          <w:bCs/>
          <w:b/>
        </w:rPr>
        <w:t xml:space="preserve"> </w:t>
      </w:r>
      <m:oMath>
        <m:sSub>
          <m:e>
            <m:r>
              <m:t>c</m:t>
            </m:r>
          </m:e>
          <m:sub>
            <m:r>
              <m:t>p</m:t>
            </m:r>
          </m:sub>
        </m:sSub>
      </m:oMath>
      <w:r>
        <w:rPr>
          <w:bCs/>
          <w:b/>
        </w:rPr>
        <w:t xml:space="preserve">.</w:t>
      </w:r>
      <w:r>
        <w:t xml:space="preserve"> </w:t>
      </w:r>
      <w:r>
        <w:t xml:space="preserve">Phase 1 and the dossier used</w:t>
      </w:r>
      <w:r>
        <w:t xml:space="preserve"> </w:t>
      </w:r>
      <m:oMath>
        <m:sSub>
          <m:e>
            <m:r>
              <m:t>c</m:t>
            </m:r>
          </m:e>
          <m:sub>
            <m:r>
              <m:t>p</m:t>
            </m:r>
          </m:sub>
        </m:sSub>
      </m:oMath>
      <w:r>
        <w:t xml:space="preserve"> </w:t>
      </w:r>
      <w:r>
        <w:t xml:space="preserve">= 1005 J/kg·K and</w:t>
      </w:r>
      <w:r>
        <w:t xml:space="preserve"> </w:t>
      </w:r>
      <m:oMath>
        <m:r>
          <m:t>γ</m:t>
        </m:r>
      </m:oMath>
      <w:r>
        <w:t xml:space="preserve"> </w:t>
      </w:r>
      <w:r>
        <w:t xml:space="preserve">= 1.4. Between 288 K and 790 K,</w:t>
      </w:r>
      <w:r>
        <w:t xml:space="preserve"> </w:t>
      </w:r>
      <m:oMath>
        <m:sSub>
          <m:e>
            <m:r>
              <m:t>c</m:t>
            </m:r>
          </m:e>
          <m:sub>
            <m:r>
              <m:t>p</m:t>
            </m:r>
          </m:sub>
        </m:sSub>
      </m:oMath>
      <w:r>
        <w:t xml:space="preserve"> </w:t>
      </w:r>
      <w:r>
        <w:t xml:space="preserve">of air rises by about 6 %, so a given amount of work produces a</w:t>
      </w:r>
      <w:r>
        <w:t xml:space="preserve"> </w:t>
      </w:r>
      <w:r>
        <w:rPr>
          <w:iCs/>
          <w:i/>
        </w:rPr>
        <w:t xml:space="preserve">smaller</w:t>
      </w:r>
      <w:r>
        <w:t xml:space="preserve"> </w:t>
      </w:r>
      <w:r>
        <w:t xml:space="preserve">temperature rise. At</w:t>
      </w:r>
      <w:r>
        <w:t xml:space="preserve"> </w:t>
      </w:r>
      <m:oMath>
        <m:sSub>
          <m:e>
            <m:r>
              <m:t>η</m:t>
            </m:r>
          </m:e>
          <m:sub>
            <m:r>
              <m:t>p</m:t>
            </m:r>
          </m:sub>
        </m:sSub>
      </m:oMath>
      <w:r>
        <w:t xml:space="preserve"> </w:t>
      </w:r>
      <w:r>
        <w:t xml:space="preserve">= 0.885 the constant-</w:t>
      </w:r>
      <m:oMath>
        <m:sSub>
          <m:e>
            <m:r>
              <m:t>c</m:t>
            </m:r>
          </m:e>
          <m:sub>
            <m:r>
              <m:t>p</m:t>
            </m:r>
          </m:sub>
        </m:sSub>
      </m:oMath>
      <w:r>
        <w:t xml:space="preserve"> </w:t>
      </w:r>
      <w:r>
        <w:t xml:space="preserve">model gives 815 K, the real-gas model 789 K:</w:t>
      </w:r>
      <w:r>
        <w:t xml:space="preserve"> </w:t>
      </w:r>
      <w:r>
        <w:rPr>
          <w:bCs/>
          <w:b/>
        </w:rPr>
        <w:t xml:space="preserve">26 K too high</w:t>
      </w:r>
      <w:r>
        <w:t xml:space="preserve">. The power hardly changes (529 vs 525 kJ/kg) because the larger</w:t>
      </w:r>
      <w:r>
        <w:t xml:space="preserve"> </w:t>
      </w:r>
      <m:oMath>
        <m:sSub>
          <m:e>
            <m:r>
              <m:t>c</m:t>
            </m:r>
          </m:e>
          <m:sub>
            <m:r>
              <m:t>p</m:t>
            </m:r>
          </m:sub>
        </m:sSub>
      </m:oMath>
      <w:r>
        <w:t xml:space="preserve"> </w:t>
      </w:r>
      <w:r>
        <w:t xml:space="preserve">compensates. Lesson: temperatures at high pressure ratio need variable properties; work estimates are more forgiving.</w:t>
      </w:r>
    </w:p>
    <w:bookmarkEnd w:id="40"/>
    <w:bookmarkStart w:id="44" w:name="result-3-how-efficient-is-the-compressor"/>
    <w:p>
      <w:pPr>
        <w:pStyle w:val="Heading1"/>
      </w:pPr>
      <w:r>
        <w:rPr>
          <w:rStyle w:val="SectionNumber"/>
        </w:rPr>
        <w:t xml:space="preserve">6</w:t>
      </w:r>
      <w:r>
        <w:tab/>
      </w:r>
      <w:r>
        <w:t xml:space="preserve">Result 3 — how efficient is the compressor?</w:t>
      </w:r>
    </w:p>
    <w:p>
      <w:pPr>
        <w:pStyle w:val="FirstParagraph"/>
      </w:pPr>
      <w:r>
        <w:t xml:space="preserve">The supervisor’s first comment was that our assumed efficiencies were too high. The compressor efficiency is not published, so we cannot simply look it up. But the catalogue does constrain it</w:t>
      </w:r>
      <w:r>
        <w:t xml:space="preserve"> </w:t>
      </w:r>
      <w:r>
        <w:rPr>
          <w:iCs/>
          <w:i/>
        </w:rPr>
        <w:t xml:space="preserve">indirectly</w:t>
      </w:r>
      <w:r>
        <w:t xml:space="preserve">, through the turbine.</w:t>
      </w:r>
    </w:p>
    <w:p>
      <w:pPr>
        <w:pStyle w:val="BodyText"/>
      </w:pPr>
      <w:r>
        <w:rPr>
          <w:bCs/>
          <w:b/>
        </w:rPr>
        <w:t xml:space="preserve">The idea.</w:t>
      </w:r>
      <w:r>
        <w:t xml:space="preserve"> </w:t>
      </w:r>
      <w:r>
        <w:t xml:space="preserve">For any assumed compressor efficiency, we know the delivery enthalpy (Section 5), the fuel heat input (Section 4), the turbine pressure ratio (from PR 25 minus combustor and exhaust losses) and the exhaust temperature (663 °C, catalogue). Mixing everything that enters the turbine gives its inlet state; the expansion must end exactly at the catalogue exhaust temperature. That fixes the turbine efficiency the data</w:t>
      </w:r>
      <w:r>
        <w:t xml:space="preserve"> </w:t>
      </w:r>
      <w:r>
        <w:rPr>
          <w:iCs/>
          <w:i/>
        </w:rPr>
        <w:t xml:space="preserve">imply</w:t>
      </w:r>
      <w:r>
        <w:t xml:space="preserve">. A more efficient compressor delivers cooler air, the turbine starts cooler, and to reach the same exhaust temperature over the same pressure ratio it must be</w:t>
      </w:r>
      <w:r>
        <w:t xml:space="preserve"> </w:t>
      </w:r>
      <w:r>
        <w:rPr>
          <w:iCs/>
          <w:i/>
        </w:rPr>
        <w:t xml:space="preserve">less</w:t>
      </w:r>
      <w:r>
        <w:t xml:space="preserve"> </w:t>
      </w:r>
      <w:r>
        <w:t xml:space="preserve">efficient. The two efficiencies are coupled by the data.</w:t>
      </w:r>
    </w:p>
    <w:p>
      <w:pPr>
        <w:pStyle w:val="TableCaption"/>
      </w:pPr>
      <w:r>
        <w:t xml:space="preserve">Table 6. Cycle cross-check (448 MW rating; ranges over turbine inlet temperature ±50 K, combustor loss 3–5 %, exhaust back-pressure 0–3 %, intermediate bleed 0–10 %).</w:t>
      </w:r>
    </w:p>
    <w:tbl>
      <w:tblPr>
        <w:tblStyle w:val="Table"/>
        <w:tblW w:type="pct" w:w="5000"/>
        <w:tblLook w:firstRow="1" w:lastRow="0" w:firstColumn="0" w:lastColumn="0" w:noHBand="0" w:noVBand="0" w:val="0020"/>
        <w:tblCaption w:val="Table 6. Cycle cross-check (448 MW rating; ranges over turbine inlet temperature ±50 K, combustor loss 3–5 %, exhaust back-pressure 0–3 %, intermediate bleed 0–10 %)."/>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4192"/>
        <w:gridCol w:w="931"/>
        <w:gridCol w:w="931"/>
        <w:gridCol w:w="931"/>
        <w:gridCol w:w="931"/>
      </w:tblGrid>
      <w:tr>
        <w:trPr>
          <w:tblHeader w:val="true"/>
          <w:tblHeader w:val="true"/>
          <w:cantSplit/>
        </w:trPr>
        <w:tc>
          <w:tcPr>
            <w:shd w:val="clear" w:color="auto" w:fill="1F3864"/>
          </w:tcPr>
          <w:p>
            <w:pPr>
              <w:pStyle w:val="Compact"/>
              <w:spacing w:after="20" w:before="20"/>
              <w:jc w:val="left"/>
            </w:pPr>
            <w:r>
              <w:rPr>
                <w:b/>
                <w:color w:val="FFFFFF"/>
                <w:sz w:val="19"/>
              </w:rPr>
              <w:t xml:space="preserve">Assumed compressor η_p</w:t>
            </w:r>
          </w:p>
        </w:tc>
        <w:tc>
          <w:tcPr>
            <w:shd w:val="clear" w:color="auto" w:fill="1F3864"/>
          </w:tcPr>
          <w:p>
            <w:pPr>
              <w:pStyle w:val="Compact"/>
              <w:spacing w:after="20" w:before="20"/>
              <w:jc w:val="center"/>
            </w:pPr>
            <w:r>
              <w:rPr>
                <w:b/>
                <w:color w:val="FFFFFF"/>
                <w:sz w:val="19"/>
              </w:rPr>
              <w:t xml:space="preserve">0.86</w:t>
            </w:r>
          </w:p>
        </w:tc>
        <w:tc>
          <w:tcPr>
            <w:shd w:val="clear" w:color="auto" w:fill="1F3864"/>
          </w:tcPr>
          <w:p>
            <w:pPr>
              <w:pStyle w:val="Compact"/>
              <w:spacing w:after="20" w:before="20"/>
              <w:jc w:val="center"/>
            </w:pPr>
            <w:r>
              <w:rPr>
                <w:b/>
                <w:color w:val="FFFFFF"/>
                <w:sz w:val="19"/>
              </w:rPr>
              <w:t xml:space="preserve">0.88</w:t>
            </w:r>
          </w:p>
        </w:tc>
        <w:tc>
          <w:tcPr>
            <w:shd w:val="clear" w:color="auto" w:fill="1F3864"/>
          </w:tcPr>
          <w:p>
            <w:pPr>
              <w:pStyle w:val="Compact"/>
              <w:spacing w:after="20" w:before="20"/>
              <w:jc w:val="center"/>
            </w:pPr>
            <w:r>
              <w:rPr>
                <w:b/>
                <w:color w:val="FFFFFF"/>
                <w:sz w:val="19"/>
              </w:rPr>
              <w:t xml:space="preserve">0.90</w:t>
            </w:r>
          </w:p>
        </w:tc>
        <w:tc>
          <w:tcPr>
            <w:shd w:val="clear" w:color="auto" w:fill="1F3864"/>
          </w:tcPr>
          <w:p>
            <w:pPr>
              <w:pStyle w:val="Compact"/>
              <w:spacing w:after="20" w:before="20"/>
              <w:jc w:val="center"/>
            </w:pPr>
            <w:r>
              <w:rPr>
                <w:b/>
                <w:color w:val="FFFFFF"/>
                <w:sz w:val="19"/>
              </w:rPr>
              <w:t xml:space="preserve">0.92</w:t>
            </w:r>
          </w:p>
        </w:tc>
      </w:tr>
      <w:tr>
        <w:trPr>
          <w:cantSplit/>
        </w:trPr>
        <w:tc>
          <w:tcPr/>
          <w:p>
            <w:pPr>
              <w:pStyle w:val="Compact"/>
              <w:spacing w:after="20" w:before="20"/>
              <w:jc w:val="left"/>
            </w:pPr>
            <w:r>
              <w:rPr>
                <w:sz w:val="19"/>
              </w:rPr>
              <w:t xml:space="preserve">Delivery temperature</w:t>
            </w:r>
          </w:p>
        </w:tc>
        <w:tc>
          <w:tcPr/>
          <w:p>
            <w:pPr>
              <w:pStyle w:val="Compact"/>
              <w:spacing w:after="20" w:before="20"/>
              <w:jc w:val="center"/>
            </w:pPr>
            <w:r>
              <w:rPr>
                <w:sz w:val="19"/>
              </w:rPr>
              <w:t xml:space="preserve">811 K</w:t>
            </w:r>
          </w:p>
        </w:tc>
        <w:tc>
          <w:tcPr/>
          <w:p>
            <w:pPr>
              <w:pStyle w:val="Compact"/>
              <w:spacing w:after="20" w:before="20"/>
              <w:jc w:val="center"/>
            </w:pPr>
            <w:r>
              <w:rPr>
                <w:sz w:val="19"/>
              </w:rPr>
              <w:t xml:space="preserve">794 K</w:t>
            </w:r>
          </w:p>
        </w:tc>
        <w:tc>
          <w:tcPr/>
          <w:p>
            <w:pPr>
              <w:pStyle w:val="Compact"/>
              <w:spacing w:after="20" w:before="20"/>
              <w:jc w:val="center"/>
            </w:pPr>
            <w:r>
              <w:rPr>
                <w:sz w:val="19"/>
              </w:rPr>
              <w:t xml:space="preserve">777 K</w:t>
            </w:r>
          </w:p>
        </w:tc>
        <w:tc>
          <w:tcPr/>
          <w:p>
            <w:pPr>
              <w:pStyle w:val="Compact"/>
              <w:spacing w:after="20" w:before="20"/>
              <w:jc w:val="center"/>
            </w:pPr>
            <w:r>
              <w:rPr>
                <w:sz w:val="19"/>
              </w:rPr>
              <w:t xml:space="preserve">761 K</w:t>
            </w:r>
          </w:p>
        </w:tc>
      </w:tr>
      <w:tr>
        <w:trPr>
          <w:cantSplit/>
        </w:trPr>
        <w:tc>
          <w:tcPr>
            <w:shd w:val="clear" w:color="auto" w:fill="F2F6FA"/>
          </w:tcPr>
          <w:p>
            <w:pPr>
              <w:pStyle w:val="Compact"/>
              <w:spacing w:after="20" w:before="20"/>
              <w:jc w:val="left"/>
            </w:pPr>
            <w:r>
              <w:rPr>
                <w:sz w:val="19"/>
              </w:rPr>
              <w:t xml:space="preserve">Implied turbine</w:t>
            </w:r>
            <w:r>
              <w:rPr>
                <w:sz w:val="19"/>
              </w:rPr>
              <w:t xml:space="preserve"> </w:t>
            </w:r>
            <m:oMath>
              <m:sSub>
                <m:e>
                  <m:r>
                    <m:t>η</m:t>
                  </m:r>
                </m:e>
                <m:sub>
                  <m:r>
                    <m:t>p</m:t>
                  </m:r>
                </m:sub>
              </m:sSub>
            </m:oMath>
            <w:r>
              <w:rPr>
                <w:sz w:val="19"/>
              </w:rPr>
              <w:t xml:space="preserve"> </w:t>
            </w:r>
            <w:r>
              <w:rPr>
                <w:sz w:val="19"/>
              </w:rPr>
              <w:t xml:space="preserve">(median, range)</w:t>
            </w:r>
          </w:p>
        </w:tc>
        <w:tc>
          <w:tcPr>
            <w:shd w:val="clear" w:color="auto" w:fill="F2F6FA"/>
          </w:tcPr>
          <w:p>
            <w:pPr>
              <w:pStyle w:val="Compact"/>
              <w:spacing w:after="20" w:before="20"/>
              <w:jc w:val="center"/>
            </w:pPr>
            <w:r>
              <w:rPr>
                <w:sz w:val="19"/>
              </w:rPr>
              <w:t xml:space="preserve">0.906 (0.89–0.92)</w:t>
            </w:r>
          </w:p>
        </w:tc>
        <w:tc>
          <w:tcPr>
            <w:shd w:val="clear" w:color="auto" w:fill="F2F6FA"/>
          </w:tcPr>
          <w:p>
            <w:pPr>
              <w:pStyle w:val="Compact"/>
              <w:spacing w:after="20" w:before="20"/>
              <w:jc w:val="center"/>
            </w:pPr>
            <w:r>
              <w:rPr>
                <w:sz w:val="19"/>
              </w:rPr>
              <w:t xml:space="preserve">0.895 (0.88–0.91)</w:t>
            </w:r>
          </w:p>
        </w:tc>
        <w:tc>
          <w:tcPr>
            <w:shd w:val="clear" w:color="auto" w:fill="F2F6FA"/>
          </w:tcPr>
          <w:p>
            <w:pPr>
              <w:pStyle w:val="Compact"/>
              <w:spacing w:after="20" w:before="20"/>
              <w:jc w:val="center"/>
            </w:pPr>
            <w:r>
              <w:rPr>
                <w:sz w:val="19"/>
              </w:rPr>
              <w:t xml:space="preserve">0.884 (0.87–0.90)</w:t>
            </w:r>
          </w:p>
        </w:tc>
        <w:tc>
          <w:tcPr>
            <w:shd w:val="clear" w:color="auto" w:fill="F2F6FA"/>
          </w:tcPr>
          <w:p>
            <w:pPr>
              <w:pStyle w:val="Compact"/>
              <w:spacing w:after="20" w:before="20"/>
              <w:jc w:val="center"/>
            </w:pPr>
            <w:r>
              <w:rPr>
                <w:sz w:val="19"/>
              </w:rPr>
              <w:t xml:space="preserve">0.874 (0.86–0.89)</w:t>
            </w:r>
          </w:p>
        </w:tc>
      </w:tr>
      <w:tr>
        <w:trPr>
          <w:cantSplit/>
        </w:trPr>
        <w:tc>
          <w:tcPr/>
          <w:p>
            <w:pPr>
              <w:pStyle w:val="Compact"/>
              <w:spacing w:after="20" w:before="20"/>
              <w:jc w:val="left"/>
            </w:pPr>
            <w:r>
              <w:rPr>
                <w:sz w:val="19"/>
              </w:rPr>
              <w:t xml:space="preserve">Air bypassing the combustor</w:t>
            </w:r>
          </w:p>
        </w:tc>
        <w:tc>
          <w:tcPr/>
          <w:p>
            <w:pPr>
              <w:pStyle w:val="Compact"/>
              <w:spacing w:after="20" w:before="20"/>
              <w:jc w:val="center"/>
            </w:pPr>
            <w:r>
              <w:rPr>
                <w:sz w:val="19"/>
              </w:rPr>
              <w:t xml:space="preserve">7–16 %</w:t>
            </w:r>
          </w:p>
        </w:tc>
        <w:tc>
          <w:tcPr/>
          <w:p>
            <w:pPr>
              <w:pStyle w:val="Compact"/>
              <w:spacing w:after="20" w:before="20"/>
              <w:jc w:val="center"/>
            </w:pPr>
            <w:r>
              <w:rPr>
                <w:sz w:val="19"/>
              </w:rPr>
              <w:t xml:space="preserve">8–17 %</w:t>
            </w:r>
          </w:p>
        </w:tc>
        <w:tc>
          <w:tcPr/>
          <w:p>
            <w:pPr>
              <w:pStyle w:val="Compact"/>
              <w:spacing w:after="20" w:before="20"/>
              <w:jc w:val="center"/>
            </w:pPr>
            <w:r>
              <w:rPr>
                <w:sz w:val="19"/>
              </w:rPr>
              <w:t xml:space="preserve">9–18 %</w:t>
            </w:r>
          </w:p>
        </w:tc>
        <w:tc>
          <w:tcPr/>
          <w:p>
            <w:pPr>
              <w:pStyle w:val="Compact"/>
              <w:spacing w:after="20" w:before="20"/>
              <w:jc w:val="center"/>
            </w:pPr>
            <w:r>
              <w:rPr>
                <w:sz w:val="19"/>
              </w:rPr>
              <w:t xml:space="preserve">11–19 %</w:t>
            </w:r>
          </w:p>
        </w:tc>
      </w:tr>
    </w:tbl>
    <w:p>
      <w:pPr>
        <w:pStyle w:val="CaptionedFigure"/>
        <w:keepNext/>
      </w:pPr>
      <w:r>
        <w:drawing>
          <wp:inline>
            <wp:extent cx="4596384" cy="2646402"/>
            <wp:effectExtent b="0" l="0" r="0" t="0"/>
            <wp:docPr descr="Figure 3. Turbine efficiency implied by the catalogue for each assumed compressor efficiency. The grey band marks plausible values for a modern cooled turbine." title="" id="42" name="Picture"/>
            <a:graphic>
              <a:graphicData uri="http://schemas.openxmlformats.org/drawingml/2006/picture">
                <pic:pic>
                  <pic:nvPicPr>
                    <pic:cNvPr descr="../../analysis/fig_F_cycle_check.png" id="43" name="Picture"/>
                    <pic:cNvPicPr>
                      <a:picLocks noChangeArrowheads="1" noChangeAspect="1"/>
                    </pic:cNvPicPr>
                  </pic:nvPicPr>
                  <pic:blipFill>
                    <a:blip r:embed="rId41"/>
                    <a:stretch>
                      <a:fillRect/>
                    </a:stretch>
                  </pic:blipFill>
                  <pic:spPr bwMode="auto">
                    <a:xfrm>
                      <a:off x="0" y="0"/>
                      <a:ext cx="4596384" cy="2646402"/>
                    </a:xfrm>
                    <a:prstGeom prst="rect">
                      <a:avLst/>
                    </a:prstGeom>
                    <a:noFill/>
                    <a:ln w="9525">
                      <a:noFill/>
                      <a:headEnd/>
                      <a:tailEnd/>
                    </a:ln>
                  </pic:spPr>
                </pic:pic>
              </a:graphicData>
            </a:graphic>
          </wp:inline>
        </w:drawing>
      </w:r>
    </w:p>
    <w:p>
      <w:pPr>
        <w:pStyle w:val="ImageCaption"/>
      </w:pPr>
      <w:r>
        <w:t xml:space="preserve">Figure 3. Turbine efficiency implied by the catalogue for each assumed compressor efficiency. The grey band marks plausible values for a modern cooled turbine.</w:t>
      </w:r>
    </w:p>
    <w:p>
      <w:pPr>
        <w:pStyle w:val="BodyText"/>
      </w:pPr>
      <w:r>
        <w:rPr>
          <w:bCs/>
          <w:b/>
        </w:rPr>
        <w:t xml:space="preserve">What this tells us.</w:t>
      </w:r>
      <w:r>
        <w:t xml:space="preserve"> </w:t>
      </w:r>
      <w:r>
        <w:t xml:space="preserve">Across our adopted range (0.86–0.91) the implied turbine efficiencies are realistic. A compressor below about 0.86 would need a turbine above 0.92, which is very unlikely for a cooled first stage. So the data support the lower range the supervisor asked for, without proving any single value. That is the honest answer, and a good point to discuss with him.</w:t>
      </w:r>
    </w:p>
    <w:p>
      <w:pPr>
        <w:pStyle w:val="BlockText"/>
      </w:pPr>
      <w:r>
        <w:rPr>
          <w:bCs/>
          <w:b/>
        </w:rPr>
        <w:t xml:space="preserve">Caution — the model is simplified.</w:t>
      </w:r>
      <w:r>
        <w:t xml:space="preserve"> </w:t>
      </w:r>
      <w:r>
        <w:t xml:space="preserve">All cooling air is treated as mixing before an</w:t>
      </w:r>
      <w:r>
        <w:t xml:space="preserve"> </w:t>
      </w:r>
      <w:r>
        <w:t xml:space="preserve">“</w:t>
      </w:r>
      <w:r>
        <w:t xml:space="preserve">equivalent uncooled</w:t>
      </w:r>
      <w:r>
        <w:t xml:space="preserve">”</w:t>
      </w:r>
      <w:r>
        <w:t xml:space="preserve"> </w:t>
      </w:r>
      <w:r>
        <w:t xml:space="preserve">turbine, and bleed is approximated as leaving at half the compression work. The bypass fraction (7–19 %) is lower than the 20–25 % often quoted for 1600 °C-class engines, which may mean MHI’s</w:t>
      </w:r>
      <w:r>
        <w:t xml:space="preserve"> </w:t>
      </w:r>
      <w:r>
        <w:t xml:space="preserve">“</w:t>
      </w:r>
      <w:r>
        <w:t xml:space="preserve">turbine inlet temperature</w:t>
      </w:r>
      <w:r>
        <w:t xml:space="preserve">”</w:t>
      </w:r>
      <w:r>
        <w:t xml:space="preserve"> </w:t>
      </w:r>
      <w:r>
        <w:t xml:space="preserve">is defined differently from our combustor-exit value. Treat Table 6 as a plausibility check, not a measurement.</w:t>
      </w:r>
    </w:p>
    <w:p>
      <w:pPr>
        <w:pStyle w:val="BlockText"/>
      </w:pPr>
      <w:r>
        <w:rPr>
          <w:bCs/>
          <w:b/>
        </w:rPr>
        <w:t xml:space="preserve">Caution — a mistake we caught.</w:t>
      </w:r>
      <w:r>
        <w:t xml:space="preserve"> </w:t>
      </w:r>
      <w:r>
        <w:t xml:space="preserve">The first version of the compression code integrated</w:t>
      </w:r>
      <w:r>
        <w:t xml:space="preserve"> </w:t>
      </w:r>
      <m:oMath>
        <m:r>
          <m:t>d</m:t>
        </m:r>
        <m:r>
          <m:t>h</m:t>
        </m:r>
        <m:r>
          <m:rPr>
            <m:sty m:val="p"/>
          </m:rPr>
          <m:t>=</m:t>
        </m:r>
        <m:r>
          <m:t>v</m:t>
        </m:r>
        <m:r>
          <m:t> </m:t>
        </m:r>
        <m:r>
          <m:t>d</m:t>
        </m:r>
        <m:r>
          <m:t>p</m:t>
        </m:r>
        <m:r>
          <m:rPr>
            <m:sty m:val="p"/>
          </m:rPr>
          <m:t>/</m:t>
        </m:r>
        <m:sSub>
          <m:e>
            <m:r>
              <m:t>η</m:t>
            </m:r>
          </m:e>
          <m:sub>
            <m:r>
              <m:t>p</m:t>
            </m:r>
          </m:sub>
        </m:sSub>
      </m:oMath>
      <w:r>
        <w:t xml:space="preserve"> </w:t>
      </w:r>
      <w:r>
        <w:t xml:space="preserve">with a simple explicit step. That overstated the delivery temperature by 10–15 K, and for a while made the turbine look implausibly efficient. Replacing it with the exact relation of Section 3.3 removed the error. Lesson: check numerical integration against a closed-form case before trusting it.</w:t>
      </w:r>
    </w:p>
    <w:bookmarkEnd w:id="44"/>
    <w:bookmarkStart w:id="51" w:name="result-4-stage-loading-is-not-uniform"/>
    <w:p>
      <w:pPr>
        <w:pStyle w:val="Heading1"/>
      </w:pPr>
      <w:r>
        <w:rPr>
          <w:rStyle w:val="SectionNumber"/>
        </w:rPr>
        <w:t xml:space="preserve">7</w:t>
      </w:r>
      <w:r>
        <w:tab/>
      </w:r>
      <w:r>
        <w:t xml:space="preserve">Result 4 — stage loading is not uniform</w:t>
      </w:r>
    </w:p>
    <w:p>
      <w:pPr>
        <w:pStyle w:val="FirstParagraph"/>
      </w:pPr>
      <w:r>
        <w:t xml:space="preserve">The supervisor’s second comment was that</w:t>
      </w:r>
      <w:r>
        <w:t xml:space="preserve"> </w:t>
      </w:r>
      <w:r>
        <w:rPr>
          <w:bCs/>
          <w:b/>
        </w:rPr>
        <w:t xml:space="preserve">equal pressure ratio in every stage is wrong</w:t>
      </w:r>
      <w:r>
        <w:t xml:space="preserve">. He is right, and for two separate reasons.</w:t>
      </w:r>
    </w:p>
    <w:bookmarkStart w:id="45" w:name="Xcf3883329f44ff51acb47fd571fd457f1d9f16f"/>
    <w:p>
      <w:pPr>
        <w:pStyle w:val="Heading2"/>
      </w:pPr>
      <w:r>
        <w:rPr>
          <w:rStyle w:val="SectionNumber"/>
        </w:rPr>
        <w:t xml:space="preserve">7.1</w:t>
      </w:r>
      <w:r>
        <w:tab/>
      </w:r>
      <w:r>
        <w:t xml:space="preserve">Reason 1: equal work already gives unequal pressure ratios</w:t>
      </w:r>
    </w:p>
    <w:p>
      <w:pPr>
        <w:pStyle w:val="FirstParagraph"/>
      </w:pPr>
      <w:r>
        <w:t xml:space="preserve">The pressure ratio a stage produces from a temperature rise</w:t>
      </w:r>
      <w:r>
        <w:t xml:space="preserve"> </w:t>
      </w:r>
      <m:oMath>
        <m:r>
          <m:t>Δ</m:t>
        </m:r>
        <m:sSub>
          <m:e>
            <m:r>
              <m:t>T</m:t>
            </m:r>
          </m:e>
          <m:sub>
            <m:r>
              <m:t>0</m:t>
            </m:r>
          </m:sub>
        </m:sSub>
      </m:oMath>
      <w:r>
        <w:t xml:space="preserve"> </w:t>
      </w:r>
      <w:r>
        <w:t xml:space="preserve">depends on the temperature at which it starts:</w:t>
      </w:r>
    </w:p>
    <w:p>
      <w:pPr>
        <w:pStyle w:val="BodyText"/>
      </w:pPr>
      <m:oMathPara>
        <m:oMathParaPr>
          <m:jc m:val="center"/>
        </m:oMathParaPr>
        <m:oMath>
          <m:sSub>
            <m:e>
              <m:r>
                <m:t>π</m:t>
              </m:r>
            </m:e>
            <m:sub>
              <m:r>
                <m:t>s</m:t>
              </m:r>
              <m:r>
                <m:t>t</m:t>
              </m:r>
            </m:sub>
          </m:sSub>
          <m:r>
            <m:rPr>
              <m:sty m:val="p"/>
            </m:rPr>
            <m:t>=</m:t>
          </m:r>
          <m:sSup>
            <m:e>
              <m:d>
                <m:dPr>
                  <m:begChr m:val="["/>
                  <m:endChr m:val="]"/>
                  <m:sepChr m:val=""/>
                  <m:grow/>
                </m:dPr>
                <m:e>
                  <m:r>
                    <m:t>1</m:t>
                  </m:r>
                  <m:r>
                    <m:rPr>
                      <m:sty m:val="p"/>
                    </m:rPr>
                    <m:t>+</m:t>
                  </m:r>
                  <m:f>
                    <m:fPr>
                      <m:type m:val="bar"/>
                    </m:fPr>
                    <m:num>
                      <m:sSub>
                        <m:e>
                          <m:r>
                            <m:t>η</m:t>
                          </m:r>
                        </m:e>
                        <m:sub>
                          <m:r>
                            <m:t>s</m:t>
                          </m:r>
                          <m:r>
                            <m:t>t</m:t>
                          </m:r>
                        </m:sub>
                      </m:sSub>
                      <m:r>
                        <m:t> </m:t>
                      </m:r>
                      <m:r>
                        <m:t>Δ</m:t>
                      </m:r>
                      <m:sSub>
                        <m:e>
                          <m:r>
                            <m:t>T</m:t>
                          </m:r>
                        </m:e>
                        <m:sub>
                          <m:r>
                            <m:t>0</m:t>
                          </m:r>
                        </m:sub>
                      </m:sSub>
                    </m:num>
                    <m:den>
                      <m:sSub>
                        <m:e>
                          <m:r>
                            <m:t>T</m:t>
                          </m:r>
                        </m:e>
                        <m:sub>
                          <m:r>
                            <m:t>0</m:t>
                          </m:r>
                          <m:r>
                            <m:rPr>
                              <m:sty m:val="p"/>
                            </m:rPr>
                            <m:t>,</m:t>
                          </m:r>
                          <m:r>
                            <m:t>i</m:t>
                          </m:r>
                          <m:r>
                            <m:t>n</m:t>
                          </m:r>
                        </m:sub>
                      </m:sSub>
                    </m:den>
                  </m:f>
                </m:e>
              </m:d>
            </m:e>
            <m:sup>
              <m:f>
                <m:fPr>
                  <m:type m:val="bar"/>
                </m:fPr>
                <m:num>
                  <m:r>
                    <m:t>γ</m:t>
                  </m:r>
                </m:num>
                <m:den>
                  <m:r>
                    <m:t>γ</m:t>
                  </m:r>
                  <m:r>
                    <m:rPr>
                      <m:sty m:val="p"/>
                    </m:rPr>
                    <m:t>−</m:t>
                  </m:r>
                  <m:r>
                    <m:t>1</m:t>
                  </m:r>
                </m:den>
              </m:f>
            </m:sup>
          </m:sSup>
        </m:oMath>
      </m:oMathPara>
    </w:p>
    <w:p>
      <w:pPr>
        <w:pStyle w:val="FirstParagraph"/>
      </w:pPr>
      <w:r>
        <w:t xml:space="preserve">In the M701JAC, stage 1 starts at 288 K and stage 15 at about 760 K. The same</w:t>
      </w:r>
      <w:r>
        <w:t xml:space="preserve"> </w:t>
      </w:r>
      <m:oMath>
        <m:r>
          <m:t>Δ</m:t>
        </m:r>
        <m:sSub>
          <m:e>
            <m:r>
              <m:t>T</m:t>
            </m:r>
          </m:e>
          <m:sub>
            <m:r>
              <m:t>0</m:t>
            </m:r>
          </m:sub>
        </m:sSub>
      </m:oMath>
      <w:r>
        <w:t xml:space="preserve"> </w:t>
      </w:r>
      <w:r>
        <w:t xml:space="preserve">therefore buys a much larger pressure ratio at the front. With</w:t>
      </w:r>
      <w:r>
        <w:t xml:space="preserve"> </w:t>
      </w:r>
      <w:r>
        <w:rPr>
          <w:iCs/>
          <w:i/>
        </w:rPr>
        <w:t xml:space="preserve">equal work</w:t>
      </w:r>
      <w:r>
        <w:t xml:space="preserve"> </w:t>
      </w:r>
      <w:r>
        <w:t xml:space="preserve">in all 15 stages,</w:t>
      </w:r>
      <w:r>
        <w:t xml:space="preserve"> </w:t>
      </w:r>
      <m:oMath>
        <m:sSub>
          <m:e>
            <m:r>
              <m:t>π</m:t>
            </m:r>
          </m:e>
          <m:sub>
            <m:r>
              <m:t>s</m:t>
            </m:r>
            <m:r>
              <m:t>t</m:t>
            </m:r>
          </m:sub>
        </m:sSub>
      </m:oMath>
      <w:r>
        <w:t xml:space="preserve"> </w:t>
      </w:r>
      <w:r>
        <w:t xml:space="preserve">falls from about 1.42 in stage 1 to about 1.15 in stage 15. Assuming 1.239 everywhere (=</w:t>
      </w:r>
      <w:r>
        <w:t xml:space="preserve"> </w:t>
      </w:r>
      <m:oMath>
        <m:sSup>
          <m:e>
            <m:r>
              <m:t>25</m:t>
            </m:r>
          </m:e>
          <m:sup>
            <m:r>
              <m:t>1</m:t>
            </m:r>
            <m:r>
              <m:rPr>
                <m:sty m:val="p"/>
              </m:rPr>
              <m:t>/</m:t>
            </m:r>
            <m:r>
              <m:t>15</m:t>
            </m:r>
          </m:sup>
        </m:sSup>
      </m:oMath>
      <w:r>
        <w:t xml:space="preserve">) contradicts even the simplest loading.</w:t>
      </w:r>
    </w:p>
    <w:bookmarkEnd w:id="45"/>
    <w:bookmarkStart w:id="46" w:name="reason-2-the-stages-do-not-do-equal-work"/>
    <w:p>
      <w:pPr>
        <w:pStyle w:val="Heading2"/>
      </w:pPr>
      <w:r>
        <w:rPr>
          <w:rStyle w:val="SectionNumber"/>
        </w:rPr>
        <w:t xml:space="preserve">7.2</w:t>
      </w:r>
      <w:r>
        <w:tab/>
      </w:r>
      <w:r>
        <w:t xml:space="preserve">Reason 2: the stages do not do equal work</w:t>
      </w:r>
    </w:p>
    <w:p>
      <w:pPr>
        <w:pStyle w:val="TableCaption"/>
      </w:pPr>
      <w:r>
        <w:t xml:space="preserve">Table 7. Why the stage work varies along the compressor.</w:t>
      </w:r>
    </w:p>
    <w:tbl>
      <w:tblPr>
        <w:tblStyle w:val="Table"/>
        <w:tblW w:type="pct" w:w="5000"/>
        <w:tblLook w:firstRow="1" w:lastRow="0" w:firstColumn="0" w:lastColumn="0" w:noHBand="0" w:noVBand="0" w:val="0020"/>
        <w:tblCaption w:val="Table 7. Why the stage work varies along the compressor."/>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049"/>
        <w:gridCol w:w="1526"/>
        <w:gridCol w:w="5343"/>
      </w:tblGrid>
      <w:tr>
        <w:trPr>
          <w:tblHeader w:val="true"/>
          <w:tblHeader w:val="true"/>
          <w:cantSplit/>
        </w:trPr>
        <w:tc>
          <w:tcPr>
            <w:shd w:val="clear" w:color="auto" w:fill="1F3864"/>
          </w:tcPr>
          <w:p>
            <w:pPr>
              <w:pStyle w:val="Compact"/>
              <w:spacing w:after="20" w:before="20"/>
              <w:jc w:val="left"/>
            </w:pPr>
            <w:r>
              <w:rPr>
                <w:b/>
                <w:color w:val="FFFFFF"/>
                <w:sz w:val="19"/>
              </w:rPr>
              <w:t xml:space="preserve">Where</w:t>
            </w:r>
          </w:p>
        </w:tc>
        <w:tc>
          <w:tcPr>
            <w:shd w:val="clear" w:color="auto" w:fill="1F3864"/>
          </w:tcPr>
          <w:p>
            <w:pPr>
              <w:pStyle w:val="Compact"/>
              <w:spacing w:after="20" w:before="20"/>
              <w:jc w:val="left"/>
            </w:pPr>
            <w:r>
              <w:rPr>
                <w:b/>
                <w:color w:val="FFFFFF"/>
                <w:sz w:val="19"/>
              </w:rPr>
              <w:t xml:space="preserve">Loading</w:t>
            </w:r>
          </w:p>
        </w:tc>
        <w:tc>
          <w:tcPr>
            <w:shd w:val="clear" w:color="auto" w:fill="1F3864"/>
          </w:tcPr>
          <w:p>
            <w:pPr>
              <w:pStyle w:val="Compact"/>
              <w:spacing w:after="20" w:before="20"/>
              <w:jc w:val="left"/>
            </w:pPr>
            <w:r>
              <w:rPr>
                <w:b/>
                <w:color w:val="FFFFFF"/>
                <w:sz w:val="19"/>
              </w:rPr>
              <w:t xml:space="preserve">Why</w:t>
            </w:r>
          </w:p>
        </w:tc>
      </w:tr>
      <w:tr>
        <w:trPr>
          <w:cantSplit/>
        </w:trPr>
        <w:tc>
          <w:tcPr/>
          <w:p>
            <w:pPr>
              <w:pStyle w:val="Compact"/>
              <w:spacing w:after="20" w:before="20"/>
              <w:jc w:val="left"/>
            </w:pPr>
            <w:r>
              <w:rPr>
                <w:sz w:val="19"/>
              </w:rPr>
              <w:t xml:space="preserve">Stage 1</w:t>
            </w:r>
          </w:p>
        </w:tc>
        <w:tc>
          <w:tcPr/>
          <w:p>
            <w:pPr>
              <w:pStyle w:val="Compact"/>
              <w:spacing w:after="20" w:before="20"/>
              <w:jc w:val="left"/>
            </w:pPr>
            <w:r>
              <w:rPr>
                <w:bCs/>
                <w:b/>
                <w:sz w:val="19"/>
              </w:rPr>
              <w:t xml:space="preserve">reduced</w:t>
            </w:r>
            <w:r>
              <w:rPr>
                <w:sz w:val="19"/>
              </w:rPr>
              <w:t xml:space="preserve"> </w:t>
            </w:r>
            <w:r>
              <w:rPr>
                <w:sz w:val="19"/>
              </w:rPr>
              <w:t xml:space="preserve">(0.75–0.95 × mean)</w:t>
            </w:r>
          </w:p>
        </w:tc>
        <w:tc>
          <w:tcPr/>
          <w:p>
            <w:pPr>
              <w:pStyle w:val="Compact"/>
              <w:spacing w:after="20" w:before="20"/>
              <w:jc w:val="left"/>
            </w:pPr>
            <w:r>
              <w:rPr>
                <w:sz w:val="19"/>
              </w:rPr>
              <w:t xml:space="preserve">Transonic tip (estimated</w:t>
            </w:r>
            <w:r>
              <w:rPr>
                <w:sz w:val="19"/>
              </w:rPr>
              <w:t xml:space="preserve"> </w:t>
            </w:r>
            <m:oMath>
              <m:sSub>
                <m:e>
                  <m:r>
                    <m:t>M</m:t>
                  </m:r>
                </m:e>
                <m:sub>
                  <m:r>
                    <m:t>r</m:t>
                  </m:r>
                  <m:r>
                    <m:t>e</m:t>
                  </m:r>
                  <m:r>
                    <m:t>l</m:t>
                  </m:r>
                </m:sub>
              </m:sSub>
              <m:r>
                <m:rPr>
                  <m:sty m:val="p"/>
                </m:rPr>
                <m:t>≈</m:t>
              </m:r>
              <m:r>
                <m:t>1.3</m:t>
              </m:r>
            </m:oMath>
            <w:r>
              <w:rPr>
                <w:sz w:val="19"/>
              </w:rPr>
              <w:t xml:space="preserve">; shock losses confirmed by D6); IGV wakes and inlet distortion; start-up rotating stall and surge margin (the reason for the variable IGV and three variable stator rows, D6, D8)</w:t>
            </w:r>
          </w:p>
        </w:tc>
      </w:tr>
      <w:tr>
        <w:trPr>
          <w:cantSplit/>
        </w:trPr>
        <w:tc>
          <w:tcPr>
            <w:shd w:val="clear" w:color="auto" w:fill="F2F6FA"/>
          </w:tcPr>
          <w:p>
            <w:pPr>
              <w:pStyle w:val="Compact"/>
              <w:spacing w:after="20" w:before="20"/>
              <w:jc w:val="left"/>
            </w:pPr>
            <w:r>
              <w:rPr>
                <w:sz w:val="19"/>
              </w:rPr>
              <w:t xml:space="preserve">Stages 2–13</w:t>
            </w:r>
          </w:p>
        </w:tc>
        <w:tc>
          <w:tcPr>
            <w:shd w:val="clear" w:color="auto" w:fill="F2F6FA"/>
          </w:tcPr>
          <w:p>
            <w:pPr>
              <w:pStyle w:val="Compact"/>
              <w:spacing w:after="20" w:before="20"/>
              <w:jc w:val="left"/>
            </w:pPr>
            <w:r>
              <w:rPr>
                <w:bCs/>
                <w:b/>
                <w:sz w:val="19"/>
              </w:rPr>
              <w:t xml:space="preserve">raised</w:t>
            </w:r>
            <w:r>
              <w:rPr>
                <w:sz w:val="19"/>
              </w:rPr>
              <w:t xml:space="preserve"> </w:t>
            </w:r>
            <w:r>
              <w:rPr>
                <w:sz w:val="19"/>
              </w:rPr>
              <w:t xml:space="preserve">(slight hump above the mean)</w:t>
            </w:r>
          </w:p>
        </w:tc>
        <w:tc>
          <w:tcPr>
            <w:shd w:val="clear" w:color="auto" w:fill="F2F6FA"/>
          </w:tcPr>
          <w:p>
            <w:pPr>
              <w:pStyle w:val="Compact"/>
              <w:spacing w:after="20" w:before="20"/>
              <w:jc w:val="left"/>
            </w:pPr>
            <w:r>
              <w:rPr>
                <w:sz w:val="19"/>
              </w:rPr>
              <w:t xml:space="preserve">Subsonic, well-matched flow; the work-done factor falls as end-wall boundary layers thicken, so the design loading is raised to keep delivering the required work</w:t>
            </w:r>
          </w:p>
        </w:tc>
      </w:tr>
      <w:tr>
        <w:trPr>
          <w:cantSplit/>
        </w:trPr>
        <w:tc>
          <w:tcPr/>
          <w:p>
            <w:pPr>
              <w:pStyle w:val="Compact"/>
              <w:spacing w:after="20" w:before="20"/>
              <w:jc w:val="left"/>
            </w:pPr>
            <w:r>
              <w:rPr>
                <w:sz w:val="19"/>
              </w:rPr>
              <w:t xml:space="preserve">Stages 14–15</w:t>
            </w:r>
          </w:p>
        </w:tc>
        <w:tc>
          <w:tcPr/>
          <w:p>
            <w:pPr>
              <w:pStyle w:val="Compact"/>
              <w:spacing w:after="20" w:before="20"/>
              <w:jc w:val="left"/>
            </w:pPr>
            <w:r>
              <w:rPr>
                <w:bCs/>
                <w:b/>
                <w:sz w:val="19"/>
              </w:rPr>
              <w:t xml:space="preserve">reduced</w:t>
            </w:r>
            <w:r>
              <w:rPr>
                <w:sz w:val="19"/>
              </w:rPr>
              <w:t xml:space="preserve"> </w:t>
            </w:r>
            <w:r>
              <w:rPr>
                <w:sz w:val="19"/>
              </w:rPr>
              <w:t xml:space="preserve">(0.70–0.90 × mean)</w:t>
            </w:r>
          </w:p>
        </w:tc>
        <w:tc>
          <w:tcPr/>
          <w:p>
            <w:pPr>
              <w:pStyle w:val="Compact"/>
              <w:spacing w:after="20" w:before="20"/>
              <w:jc w:val="left"/>
            </w:pPr>
            <w:r>
              <w:rPr>
                <w:sz w:val="19"/>
              </w:rPr>
              <w:t xml:space="preserve">Short blades, so tip clearance is large relative to blade height; thick end-wall boundary layers and blockage; the exit flow must be close to axial for the diffuser and combustor</w:t>
            </w:r>
          </w:p>
        </w:tc>
      </w:tr>
    </w:tbl>
    <w:p>
      <w:pPr>
        <w:pStyle w:val="BlockText"/>
      </w:pPr>
      <w:r>
        <w:rPr>
          <w:bCs/>
          <w:b/>
        </w:rPr>
        <w:t xml:space="preserve">Learning note — the work-done factor.</w:t>
      </w:r>
      <w:r>
        <w:t xml:space="preserve"> </w:t>
      </w:r>
      <w:r>
        <w:t xml:space="preserve">In a multistage compressor the axial velocity is not uniform across the span: the end-wall boundary layers grow stage after stage, and the blades near the walls do less useful work than the mean-line triangles suggest. Howell’s</w:t>
      </w:r>
      <w:r>
        <w:t xml:space="preserve"> </w:t>
      </w:r>
      <w:r>
        <w:rPr>
          <w:iCs/>
          <w:i/>
        </w:rPr>
        <w:t xml:space="preserve">work-done factor</w:t>
      </w:r>
      <w:r>
        <w:t xml:space="preserve"> </w:t>
      </w:r>
      <m:oMath>
        <m:r>
          <m:t>λ</m:t>
        </m:r>
      </m:oMath>
      <w:r>
        <w:t xml:space="preserve"> </w:t>
      </w:r>
      <w:r>
        <w:t xml:space="preserve">captures this,</w:t>
      </w:r>
      <w:r>
        <w:t xml:space="preserve"> </w:t>
      </w:r>
      <m:oMath>
        <m:r>
          <m:t>Δ</m:t>
        </m:r>
        <m:sSub>
          <m:e>
            <m:r>
              <m:t>h</m:t>
            </m:r>
          </m:e>
          <m:sub>
            <m:r>
              <m:t>0</m:t>
            </m:r>
          </m:sub>
        </m:sSub>
        <m:r>
          <m:rPr>
            <m:sty m:val="p"/>
          </m:rPr>
          <m:t>=</m:t>
        </m:r>
        <m:r>
          <m:t>λ</m:t>
        </m:r>
        <m:r>
          <m:t> </m:t>
        </m:r>
        <m:r>
          <m:t>U</m:t>
        </m:r>
        <m:r>
          <m:t> </m:t>
        </m:r>
        <m:r>
          <m:t>Δ</m:t>
        </m:r>
        <m:sSub>
          <m:e>
            <m:r>
              <m:t>c</m:t>
            </m:r>
          </m:e>
          <m:sub>
            <m:r>
              <m:t>θ</m:t>
            </m:r>
          </m:sub>
        </m:sSub>
      </m:oMath>
      <w:r>
        <w:t xml:space="preserve">, falling from about 0.98 in the first stages to about 0.85 in later stages (Saravanamuttoo §5.4; Dixon &amp; Hall §5.11). Designers compensate by loading the rear-middle stages a little more.</w:t>
      </w:r>
    </w:p>
    <w:bookmarkEnd w:id="46"/>
    <w:bookmarkStart w:id="50" w:name="the-resulting-stage-distribution"/>
    <w:p>
      <w:pPr>
        <w:pStyle w:val="Heading2"/>
      </w:pPr>
      <w:r>
        <w:rPr>
          <w:rStyle w:val="SectionNumber"/>
        </w:rPr>
        <w:t xml:space="preserve">7.3</w:t>
      </w:r>
      <w:r>
        <w:tab/>
      </w:r>
      <w:r>
        <w:t xml:space="preserve">The resulting stage distribution</w:t>
      </w:r>
    </w:p>
    <w:p>
      <w:pPr>
        <w:pStyle w:val="FirstParagraph"/>
      </w:pPr>
      <w:r>
        <w:t xml:space="preserve">The model reproduces PR 25 exactly. Stage-1 efficiency is 1–4 points lower (shock loss) and the last stage 1–3 points lower; the middle-stage efficiency is solved so that the overall pressure ratio is met.</w:t>
      </w:r>
    </w:p>
    <w:p>
      <w:pPr>
        <w:pStyle w:val="TableCaption"/>
      </w:pPr>
      <w:r>
        <w:t xml:space="preserve">Table 8. Stage-by-stage distribution, 448 MW rating (selected stages; full table in Appendix A).</w:t>
      </w:r>
    </w:p>
    <w:tbl>
      <w:tblPr>
        <w:tblStyle w:val="Table"/>
        <w:tblW w:type="pct" w:w="5000"/>
        <w:tblLook w:firstRow="1" w:lastRow="0" w:firstColumn="0" w:lastColumn="0" w:noHBand="0" w:noVBand="0" w:val="0020"/>
        <w:tblCaption w:val="Table 8. Stage-by-stage distribution, 448 MW rating (selected stages; full table in Appendix A)."/>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776"/>
        <w:gridCol w:w="931"/>
        <w:gridCol w:w="931"/>
        <w:gridCol w:w="2795"/>
        <w:gridCol w:w="1397"/>
        <w:gridCol w:w="1087"/>
      </w:tblGrid>
      <w:tr>
        <w:trPr>
          <w:tblHeader w:val="true"/>
          <w:tblHeader w:val="true"/>
          <w:cantSplit/>
        </w:trPr>
        <w:tc>
          <w:tcPr>
            <w:shd w:val="clear" w:color="auto" w:fill="1F3864"/>
          </w:tcPr>
          <w:p>
            <w:pPr>
              <w:pStyle w:val="Compact"/>
              <w:spacing w:after="20" w:before="20"/>
              <w:jc w:val="center"/>
            </w:pPr>
            <w:r>
              <w:rPr>
                <w:b/>
                <w:color w:val="FFFFFF"/>
                <w:sz w:val="19"/>
              </w:rPr>
              <w:t xml:space="preserve">Stage</w:t>
            </w:r>
          </w:p>
        </w:tc>
        <w:tc>
          <w:tcPr>
            <w:shd w:val="clear" w:color="auto" w:fill="1F3864"/>
          </w:tcPr>
          <w:p>
            <w:pPr>
              <w:pStyle w:val="Compact"/>
              <w:spacing w:after="20" w:before="20"/>
              <w:jc w:val="center"/>
            </w:pPr>
            <w:r>
              <w:rPr>
                <w:b/>
                <w:color w:val="FFFFFF"/>
                <w:sz w:val="19"/>
              </w:rPr>
              <w:t xml:space="preserve">Equal PR (old)</w:t>
            </w:r>
          </w:p>
        </w:tc>
        <w:tc>
          <w:tcPr>
            <w:shd w:val="clear" w:color="auto" w:fill="1F3864"/>
          </w:tcPr>
          <w:p>
            <w:pPr>
              <w:pStyle w:val="Compact"/>
              <w:spacing w:after="20" w:before="20"/>
              <w:jc w:val="center"/>
            </w:pPr>
            <w:r>
              <w:rPr>
                <w:b/>
                <w:color w:val="FFFFFF"/>
                <w:sz w:val="19"/>
              </w:rPr>
              <w:t xml:space="preserve">Equal work</w:t>
            </w:r>
          </w:p>
        </w:tc>
        <w:tc>
          <w:tcPr>
            <w:shd w:val="clear" w:color="auto" w:fill="1F3864"/>
          </w:tcPr>
          <w:p>
            <w:pPr>
              <w:pStyle w:val="Compact"/>
              <w:spacing w:after="20" w:before="20"/>
              <w:jc w:val="center"/>
            </w:pPr>
            <w:r>
              <w:rPr>
                <w:b/>
                <w:color w:val="FFFFFF"/>
                <w:sz w:val="19"/>
              </w:rPr>
              <w:t xml:space="preserve">Non-uniform work: stage PR</w:t>
            </w:r>
          </w:p>
        </w:tc>
        <w:tc>
          <w:tcPr>
            <w:shd w:val="clear" w:color="auto" w:fill="1F3864"/>
          </w:tcPr>
          <w:p>
            <w:pPr>
              <w:pStyle w:val="Compact"/>
              <w:spacing w:after="20" w:before="20"/>
              <w:jc w:val="center"/>
            </w:pPr>
            <w:r>
              <w:rPr>
                <w:b/>
                <w:color w:val="FFFFFF"/>
                <w:sz w:val="19"/>
              </w:rPr>
              <w:t xml:space="preserve">ΔT₀ [K]</w:t>
            </w:r>
          </w:p>
        </w:tc>
        <w:tc>
          <w:tcPr>
            <w:shd w:val="clear" w:color="auto" w:fill="1F3864"/>
          </w:tcPr>
          <w:p>
            <w:pPr>
              <w:pStyle w:val="Compact"/>
              <w:spacing w:after="20" w:before="20"/>
              <w:jc w:val="center"/>
            </w:pPr>
            <w:r>
              <w:rPr>
                <w:b/>
                <w:color w:val="FFFFFF"/>
                <w:sz w:val="19"/>
              </w:rPr>
              <w:t xml:space="preserve">Exit p₀ [bar]</w:t>
            </w:r>
          </w:p>
        </w:tc>
      </w:tr>
      <w:tr>
        <w:trPr>
          <w:cantSplit/>
        </w:trPr>
        <w:tc>
          <w:tcPr/>
          <w:p>
            <w:pPr>
              <w:pStyle w:val="Compact"/>
              <w:spacing w:after="20" w:before="20"/>
              <w:jc w:val="center"/>
            </w:pPr>
            <w:r>
              <w:rPr>
                <w:sz w:val="19"/>
              </w:rPr>
              <w:t xml:space="preserve">1</w:t>
            </w:r>
          </w:p>
        </w:tc>
        <w:tc>
          <w:tcPr/>
          <w:p>
            <w:pPr>
              <w:pStyle w:val="Compact"/>
              <w:spacing w:after="20" w:before="20"/>
              <w:jc w:val="center"/>
            </w:pPr>
            <w:r>
              <w:rPr>
                <w:sz w:val="19"/>
              </w:rPr>
              <w:t xml:space="preserve">1.239</w:t>
            </w:r>
          </w:p>
        </w:tc>
        <w:tc>
          <w:tcPr/>
          <w:p>
            <w:pPr>
              <w:pStyle w:val="Compact"/>
              <w:spacing w:after="20" w:before="20"/>
              <w:jc w:val="center"/>
            </w:pPr>
            <w:r>
              <w:rPr>
                <w:sz w:val="19"/>
              </w:rPr>
              <w:t xml:space="preserve">1.422</w:t>
            </w:r>
          </w:p>
        </w:tc>
        <w:tc>
          <w:tcPr/>
          <w:p>
            <w:pPr>
              <w:pStyle w:val="Compact"/>
              <w:spacing w:after="20" w:before="20"/>
              <w:jc w:val="center"/>
            </w:pPr>
            <w:r>
              <w:rPr>
                <w:sz w:val="19"/>
              </w:rPr>
              <w:t xml:space="preserve">1.35 (1.31–1.38)</w:t>
            </w:r>
          </w:p>
        </w:tc>
        <w:tc>
          <w:tcPr/>
          <w:p>
            <w:pPr>
              <w:pStyle w:val="Compact"/>
              <w:spacing w:after="20" w:before="20"/>
              <w:jc w:val="center"/>
            </w:pPr>
            <w:r>
              <w:rPr>
                <w:sz w:val="19"/>
              </w:rPr>
              <w:t xml:space="preserve">29.8</w:t>
            </w:r>
          </w:p>
        </w:tc>
        <w:tc>
          <w:tcPr/>
          <w:p>
            <w:pPr>
              <w:pStyle w:val="Compact"/>
              <w:spacing w:after="20" w:before="20"/>
              <w:jc w:val="center"/>
            </w:pPr>
            <w:r>
              <w:rPr>
                <w:sz w:val="19"/>
              </w:rPr>
              <w:t xml:space="preserve">1.37</w:t>
            </w:r>
          </w:p>
        </w:tc>
      </w:tr>
      <w:tr>
        <w:trPr>
          <w:cantSplit/>
        </w:trPr>
        <w:tc>
          <w:tcPr>
            <w:shd w:val="clear" w:color="auto" w:fill="F2F6FA"/>
          </w:tcPr>
          <w:p>
            <w:pPr>
              <w:pStyle w:val="Compact"/>
              <w:spacing w:after="20" w:before="20"/>
              <w:jc w:val="center"/>
            </w:pPr>
            <w:r>
              <w:rPr>
                <w:sz w:val="19"/>
              </w:rPr>
              <w:t xml:space="preserve">2</w:t>
            </w:r>
          </w:p>
        </w:tc>
        <w:tc>
          <w:tcPr>
            <w:shd w:val="clear" w:color="auto" w:fill="F2F6FA"/>
          </w:tcPr>
          <w:p>
            <w:pPr>
              <w:pStyle w:val="Compact"/>
              <w:spacing w:after="20" w:before="20"/>
              <w:jc w:val="center"/>
            </w:pPr>
            <w:r>
              <w:rPr>
                <w:sz w:val="19"/>
              </w:rPr>
              <w:t xml:space="preserve">1.239</w:t>
            </w:r>
          </w:p>
        </w:tc>
        <w:tc>
          <w:tcPr>
            <w:shd w:val="clear" w:color="auto" w:fill="F2F6FA"/>
          </w:tcPr>
          <w:p>
            <w:pPr>
              <w:pStyle w:val="Compact"/>
              <w:spacing w:after="20" w:before="20"/>
              <w:jc w:val="center"/>
            </w:pPr>
            <w:r>
              <w:rPr>
                <w:sz w:val="19"/>
              </w:rPr>
              <w:t xml:space="preserve">1.372</w:t>
            </w:r>
          </w:p>
        </w:tc>
        <w:tc>
          <w:tcPr>
            <w:shd w:val="clear" w:color="auto" w:fill="F2F6FA"/>
          </w:tcPr>
          <w:p>
            <w:pPr>
              <w:pStyle w:val="Compact"/>
              <w:spacing w:after="20" w:before="20"/>
              <w:jc w:val="center"/>
            </w:pPr>
            <w:r>
              <w:rPr>
                <w:sz w:val="19"/>
              </w:rPr>
              <w:t xml:space="preserve">1.36 (1.35–1.38)</w:t>
            </w:r>
          </w:p>
        </w:tc>
        <w:tc>
          <w:tcPr>
            <w:shd w:val="clear" w:color="auto" w:fill="F2F6FA"/>
          </w:tcPr>
          <w:p>
            <w:pPr>
              <w:pStyle w:val="Compact"/>
              <w:spacing w:after="20" w:before="20"/>
              <w:jc w:val="center"/>
            </w:pPr>
            <w:r>
              <w:rPr>
                <w:sz w:val="19"/>
              </w:rPr>
              <w:t xml:space="preserve">33.5</w:t>
            </w:r>
          </w:p>
        </w:tc>
        <w:tc>
          <w:tcPr>
            <w:shd w:val="clear" w:color="auto" w:fill="F2F6FA"/>
          </w:tcPr>
          <w:p>
            <w:pPr>
              <w:pStyle w:val="Compact"/>
              <w:spacing w:after="20" w:before="20"/>
              <w:jc w:val="center"/>
            </w:pPr>
            <w:r>
              <w:rPr>
                <w:sz w:val="19"/>
              </w:rPr>
              <w:t xml:space="preserve">1.86</w:t>
            </w:r>
          </w:p>
        </w:tc>
      </w:tr>
      <w:tr>
        <w:trPr>
          <w:cantSplit/>
        </w:trPr>
        <w:tc>
          <w:tcPr/>
          <w:p>
            <w:pPr>
              <w:pStyle w:val="Compact"/>
              <w:spacing w:after="20" w:before="20"/>
              <w:jc w:val="center"/>
            </w:pPr>
            <w:r>
              <w:rPr>
                <w:sz w:val="19"/>
              </w:rPr>
              <w:t xml:space="preserve">3</w:t>
            </w:r>
          </w:p>
        </w:tc>
        <w:tc>
          <w:tcPr/>
          <w:p>
            <w:pPr>
              <w:pStyle w:val="Compact"/>
              <w:spacing w:after="20" w:before="20"/>
              <w:jc w:val="center"/>
            </w:pPr>
            <w:r>
              <w:rPr>
                <w:sz w:val="19"/>
              </w:rPr>
              <w:t xml:space="preserve">1.239</w:t>
            </w:r>
          </w:p>
        </w:tc>
        <w:tc>
          <w:tcPr/>
          <w:p>
            <w:pPr>
              <w:pStyle w:val="Compact"/>
              <w:spacing w:after="20" w:before="20"/>
              <w:jc w:val="center"/>
            </w:pPr>
            <w:r>
              <w:rPr>
                <w:sz w:val="19"/>
              </w:rPr>
              <w:t xml:space="preserve">1.333</w:t>
            </w:r>
          </w:p>
        </w:tc>
        <w:tc>
          <w:tcPr/>
          <w:p>
            <w:pPr>
              <w:pStyle w:val="Compact"/>
              <w:spacing w:after="20" w:before="20"/>
              <w:jc w:val="center"/>
            </w:pPr>
            <w:r>
              <w:rPr>
                <w:sz w:val="19"/>
              </w:rPr>
              <w:t xml:space="preserve">1.34 (1.33–1.35)</w:t>
            </w:r>
          </w:p>
        </w:tc>
        <w:tc>
          <w:tcPr/>
          <w:p>
            <w:pPr>
              <w:pStyle w:val="Compact"/>
              <w:spacing w:after="20" w:before="20"/>
              <w:jc w:val="center"/>
            </w:pPr>
            <w:r>
              <w:rPr>
                <w:sz w:val="19"/>
              </w:rPr>
              <w:t xml:space="preserve">34.5</w:t>
            </w:r>
          </w:p>
        </w:tc>
        <w:tc>
          <w:tcPr/>
          <w:p>
            <w:pPr>
              <w:pStyle w:val="Compact"/>
              <w:spacing w:after="20" w:before="20"/>
              <w:jc w:val="center"/>
            </w:pPr>
            <w:r>
              <w:rPr>
                <w:sz w:val="19"/>
              </w:rPr>
              <w:t xml:space="preserve">2.50</w:t>
            </w:r>
          </w:p>
        </w:tc>
      </w:tr>
      <w:tr>
        <w:trPr>
          <w:cantSplit/>
        </w:trPr>
        <w:tc>
          <w:tcPr>
            <w:shd w:val="clear" w:color="auto" w:fill="F2F6FA"/>
          </w:tcPr>
          <w:p>
            <w:pPr>
              <w:pStyle w:val="Compact"/>
              <w:spacing w:after="20" w:before="20"/>
              <w:jc w:val="center"/>
            </w:pPr>
            <w:r>
              <w:rPr>
                <w:sz w:val="19"/>
              </w:rPr>
              <w:t xml:space="preserve">5</w:t>
            </w:r>
          </w:p>
        </w:tc>
        <w:tc>
          <w:tcPr>
            <w:shd w:val="clear" w:color="auto" w:fill="F2F6FA"/>
          </w:tcPr>
          <w:p>
            <w:pPr>
              <w:pStyle w:val="Compact"/>
              <w:spacing w:after="20" w:before="20"/>
              <w:jc w:val="center"/>
            </w:pPr>
            <w:r>
              <w:rPr>
                <w:sz w:val="19"/>
              </w:rPr>
              <w:t xml:space="preserve">1.239</w:t>
            </w:r>
          </w:p>
        </w:tc>
        <w:tc>
          <w:tcPr>
            <w:shd w:val="clear" w:color="auto" w:fill="F2F6FA"/>
          </w:tcPr>
          <w:p>
            <w:pPr>
              <w:pStyle w:val="Compact"/>
              <w:spacing w:after="20" w:before="20"/>
              <w:jc w:val="center"/>
            </w:pPr>
            <w:r>
              <w:rPr>
                <w:sz w:val="19"/>
              </w:rPr>
              <w:t xml:space="preserve">1.275</w:t>
            </w:r>
          </w:p>
        </w:tc>
        <w:tc>
          <w:tcPr>
            <w:shd w:val="clear" w:color="auto" w:fill="F2F6FA"/>
          </w:tcPr>
          <w:p>
            <w:pPr>
              <w:pStyle w:val="Compact"/>
              <w:spacing w:after="20" w:before="20"/>
              <w:jc w:val="center"/>
            </w:pPr>
            <w:r>
              <w:rPr>
                <w:sz w:val="19"/>
              </w:rPr>
              <w:t xml:space="preserve">1.29 (1.29–1.30)</w:t>
            </w:r>
          </w:p>
        </w:tc>
        <w:tc>
          <w:tcPr>
            <w:shd w:val="clear" w:color="auto" w:fill="F2F6FA"/>
          </w:tcPr>
          <w:p>
            <w:pPr>
              <w:pStyle w:val="Compact"/>
              <w:spacing w:after="20" w:before="20"/>
              <w:jc w:val="center"/>
            </w:pPr>
            <w:r>
              <w:rPr>
                <w:sz w:val="19"/>
              </w:rPr>
              <w:t xml:space="preserve">35.4</w:t>
            </w:r>
          </w:p>
        </w:tc>
        <w:tc>
          <w:tcPr>
            <w:shd w:val="clear" w:color="auto" w:fill="F2F6FA"/>
          </w:tcPr>
          <w:p>
            <w:pPr>
              <w:pStyle w:val="Compact"/>
              <w:spacing w:after="20" w:before="20"/>
              <w:jc w:val="center"/>
            </w:pPr>
            <w:r>
              <w:rPr>
                <w:sz w:val="19"/>
              </w:rPr>
              <w:t xml:space="preserve">4.24</w:t>
            </w:r>
          </w:p>
        </w:tc>
      </w:tr>
      <w:tr>
        <w:trPr>
          <w:cantSplit/>
        </w:trPr>
        <w:tc>
          <w:tcPr/>
          <w:p>
            <w:pPr>
              <w:pStyle w:val="Compact"/>
              <w:spacing w:after="20" w:before="20"/>
              <w:jc w:val="center"/>
            </w:pPr>
            <w:r>
              <w:rPr>
                <w:sz w:val="19"/>
              </w:rPr>
              <w:t xml:space="preserve">8</w:t>
            </w:r>
          </w:p>
        </w:tc>
        <w:tc>
          <w:tcPr/>
          <w:p>
            <w:pPr>
              <w:pStyle w:val="Compact"/>
              <w:spacing w:after="20" w:before="20"/>
              <w:jc w:val="center"/>
            </w:pPr>
            <w:r>
              <w:rPr>
                <w:sz w:val="19"/>
              </w:rPr>
              <w:t xml:space="preserve">1.239</w:t>
            </w:r>
          </w:p>
        </w:tc>
        <w:tc>
          <w:tcPr/>
          <w:p>
            <w:pPr>
              <w:pStyle w:val="Compact"/>
              <w:spacing w:after="20" w:before="20"/>
              <w:jc w:val="center"/>
            </w:pPr>
            <w:r>
              <w:rPr>
                <w:sz w:val="19"/>
              </w:rPr>
              <w:t xml:space="preserve">1.218</w:t>
            </w:r>
          </w:p>
        </w:tc>
        <w:tc>
          <w:tcPr/>
          <w:p>
            <w:pPr>
              <w:pStyle w:val="Compact"/>
              <w:spacing w:after="20" w:before="20"/>
              <w:jc w:val="center"/>
            </w:pPr>
            <w:r>
              <w:rPr>
                <w:sz w:val="19"/>
              </w:rPr>
              <w:t xml:space="preserve">1.24 (1.23–1.24)</w:t>
            </w:r>
          </w:p>
        </w:tc>
        <w:tc>
          <w:tcPr/>
          <w:p>
            <w:pPr>
              <w:pStyle w:val="Compact"/>
              <w:spacing w:after="20" w:before="20"/>
              <w:jc w:val="center"/>
            </w:pPr>
            <w:r>
              <w:rPr>
                <w:sz w:val="19"/>
              </w:rPr>
              <w:t xml:space="preserve">35.6</w:t>
            </w:r>
          </w:p>
        </w:tc>
        <w:tc>
          <w:tcPr/>
          <w:p>
            <w:pPr>
              <w:pStyle w:val="Compact"/>
              <w:spacing w:after="20" w:before="20"/>
              <w:jc w:val="center"/>
            </w:pPr>
            <w:r>
              <w:rPr>
                <w:sz w:val="19"/>
              </w:rPr>
              <w:t xml:space="preserve">8.33</w:t>
            </w:r>
          </w:p>
        </w:tc>
      </w:tr>
      <w:tr>
        <w:trPr>
          <w:cantSplit/>
        </w:trPr>
        <w:tc>
          <w:tcPr>
            <w:shd w:val="clear" w:color="auto" w:fill="F2F6FA"/>
          </w:tcPr>
          <w:p>
            <w:pPr>
              <w:pStyle w:val="Compact"/>
              <w:spacing w:after="20" w:before="20"/>
              <w:jc w:val="center"/>
            </w:pPr>
            <w:r>
              <w:rPr>
                <w:sz w:val="19"/>
              </w:rPr>
              <w:t xml:space="preserve">10</w:t>
            </w:r>
          </w:p>
        </w:tc>
        <w:tc>
          <w:tcPr>
            <w:shd w:val="clear" w:color="auto" w:fill="F2F6FA"/>
          </w:tcPr>
          <w:p>
            <w:pPr>
              <w:pStyle w:val="Compact"/>
              <w:spacing w:after="20" w:before="20"/>
              <w:jc w:val="center"/>
            </w:pPr>
            <w:r>
              <w:rPr>
                <w:sz w:val="19"/>
              </w:rPr>
              <w:t xml:space="preserve">1.239</w:t>
            </w:r>
          </w:p>
        </w:tc>
        <w:tc>
          <w:tcPr>
            <w:shd w:val="clear" w:color="auto" w:fill="F2F6FA"/>
          </w:tcPr>
          <w:p>
            <w:pPr>
              <w:pStyle w:val="Compact"/>
              <w:spacing w:after="20" w:before="20"/>
              <w:jc w:val="center"/>
            </w:pPr>
            <w:r>
              <w:rPr>
                <w:sz w:val="19"/>
              </w:rPr>
              <w:t xml:space="preserve">1.192</w:t>
            </w:r>
          </w:p>
        </w:tc>
        <w:tc>
          <w:tcPr>
            <w:shd w:val="clear" w:color="auto" w:fill="F2F6FA"/>
          </w:tcPr>
          <w:p>
            <w:pPr>
              <w:pStyle w:val="Compact"/>
              <w:spacing w:after="20" w:before="20"/>
              <w:jc w:val="center"/>
            </w:pPr>
            <w:r>
              <w:rPr>
                <w:sz w:val="19"/>
              </w:rPr>
              <w:t xml:space="preserve">1.20 (1.20–1.21)</w:t>
            </w:r>
          </w:p>
        </w:tc>
        <w:tc>
          <w:tcPr>
            <w:shd w:val="clear" w:color="auto" w:fill="F2F6FA"/>
          </w:tcPr>
          <w:p>
            <w:pPr>
              <w:pStyle w:val="Compact"/>
              <w:spacing w:after="20" w:before="20"/>
              <w:jc w:val="center"/>
            </w:pPr>
            <w:r>
              <w:rPr>
                <w:sz w:val="19"/>
              </w:rPr>
              <w:t xml:space="preserve">34.7</w:t>
            </w:r>
          </w:p>
        </w:tc>
        <w:tc>
          <w:tcPr>
            <w:shd w:val="clear" w:color="auto" w:fill="F2F6FA"/>
          </w:tcPr>
          <w:p>
            <w:pPr>
              <w:pStyle w:val="Compact"/>
              <w:spacing w:after="20" w:before="20"/>
              <w:jc w:val="center"/>
            </w:pPr>
            <w:r>
              <w:rPr>
                <w:sz w:val="19"/>
              </w:rPr>
              <w:t xml:space="preserve">12.21</w:t>
            </w:r>
          </w:p>
        </w:tc>
      </w:tr>
      <w:tr>
        <w:trPr>
          <w:cantSplit/>
        </w:trPr>
        <w:tc>
          <w:tcPr/>
          <w:p>
            <w:pPr>
              <w:pStyle w:val="Compact"/>
              <w:spacing w:after="20" w:before="20"/>
              <w:jc w:val="center"/>
            </w:pPr>
            <w:r>
              <w:rPr>
                <w:sz w:val="19"/>
              </w:rPr>
              <w:t xml:space="preserve">12</w:t>
            </w:r>
          </w:p>
        </w:tc>
        <w:tc>
          <w:tcPr/>
          <w:p>
            <w:pPr>
              <w:pStyle w:val="Compact"/>
              <w:spacing w:after="20" w:before="20"/>
              <w:jc w:val="center"/>
            </w:pPr>
            <w:r>
              <w:rPr>
                <w:sz w:val="19"/>
              </w:rPr>
              <w:t xml:space="preserve">1.239</w:t>
            </w:r>
          </w:p>
        </w:tc>
        <w:tc>
          <w:tcPr/>
          <w:p>
            <w:pPr>
              <w:pStyle w:val="Compact"/>
              <w:spacing w:after="20" w:before="20"/>
              <w:jc w:val="center"/>
            </w:pPr>
            <w:r>
              <w:rPr>
                <w:sz w:val="19"/>
              </w:rPr>
              <w:t xml:space="preserve">1.172</w:t>
            </w:r>
          </w:p>
        </w:tc>
        <w:tc>
          <w:tcPr/>
          <w:p>
            <w:pPr>
              <w:pStyle w:val="Compact"/>
              <w:spacing w:after="20" w:before="20"/>
              <w:jc w:val="center"/>
            </w:pPr>
            <w:r>
              <w:rPr>
                <w:sz w:val="19"/>
              </w:rPr>
              <w:t xml:space="preserve">1.18 (1.17–1.18)</w:t>
            </w:r>
          </w:p>
        </w:tc>
        <w:tc>
          <w:tcPr/>
          <w:p>
            <w:pPr>
              <w:pStyle w:val="Compact"/>
              <w:spacing w:after="20" w:before="20"/>
              <w:jc w:val="center"/>
            </w:pPr>
            <w:r>
              <w:rPr>
                <w:sz w:val="19"/>
              </w:rPr>
              <w:t xml:space="preserve">33.2</w:t>
            </w:r>
          </w:p>
        </w:tc>
        <w:tc>
          <w:tcPr/>
          <w:p>
            <w:pPr>
              <w:pStyle w:val="Compact"/>
              <w:spacing w:after="20" w:before="20"/>
              <w:jc w:val="center"/>
            </w:pPr>
            <w:r>
              <w:rPr>
                <w:sz w:val="19"/>
              </w:rPr>
              <w:t xml:space="preserve">17.06</w:t>
            </w:r>
          </w:p>
        </w:tc>
      </w:tr>
      <w:tr>
        <w:trPr>
          <w:cantSplit/>
        </w:trPr>
        <w:tc>
          <w:tcPr>
            <w:shd w:val="clear" w:color="auto" w:fill="F2F6FA"/>
          </w:tcPr>
          <w:p>
            <w:pPr>
              <w:pStyle w:val="Compact"/>
              <w:spacing w:after="20" w:before="20"/>
              <w:jc w:val="center"/>
            </w:pPr>
            <w:r>
              <w:rPr>
                <w:sz w:val="19"/>
              </w:rPr>
              <w:t xml:space="preserve">14</w:t>
            </w:r>
          </w:p>
        </w:tc>
        <w:tc>
          <w:tcPr>
            <w:shd w:val="clear" w:color="auto" w:fill="F2F6FA"/>
          </w:tcPr>
          <w:p>
            <w:pPr>
              <w:pStyle w:val="Compact"/>
              <w:spacing w:after="20" w:before="20"/>
              <w:jc w:val="center"/>
            </w:pPr>
            <w:r>
              <w:rPr>
                <w:sz w:val="19"/>
              </w:rPr>
              <w:t xml:space="preserve">1.239</w:t>
            </w:r>
          </w:p>
        </w:tc>
        <w:tc>
          <w:tcPr>
            <w:shd w:val="clear" w:color="auto" w:fill="F2F6FA"/>
          </w:tcPr>
          <w:p>
            <w:pPr>
              <w:pStyle w:val="Compact"/>
              <w:spacing w:after="20" w:before="20"/>
              <w:jc w:val="center"/>
            </w:pPr>
            <w:r>
              <w:rPr>
                <w:sz w:val="19"/>
              </w:rPr>
              <w:t xml:space="preserve">1.156</w:t>
            </w:r>
          </w:p>
        </w:tc>
        <w:tc>
          <w:tcPr>
            <w:shd w:val="clear" w:color="auto" w:fill="F2F6FA"/>
          </w:tcPr>
          <w:p>
            <w:pPr>
              <w:pStyle w:val="Compact"/>
              <w:spacing w:after="20" w:before="20"/>
              <w:jc w:val="center"/>
            </w:pPr>
            <w:r>
              <w:rPr>
                <w:sz w:val="19"/>
              </w:rPr>
              <w:t xml:space="preserve">1.14 (1.14–1.15)</w:t>
            </w:r>
          </w:p>
        </w:tc>
        <w:tc>
          <w:tcPr>
            <w:shd w:val="clear" w:color="auto" w:fill="F2F6FA"/>
          </w:tcPr>
          <w:p>
            <w:pPr>
              <w:pStyle w:val="Compact"/>
              <w:spacing w:after="20" w:before="20"/>
              <w:jc w:val="center"/>
            </w:pPr>
            <w:r>
              <w:rPr>
                <w:sz w:val="19"/>
              </w:rPr>
              <w:t xml:space="preserve">29.8</w:t>
            </w:r>
          </w:p>
        </w:tc>
        <w:tc>
          <w:tcPr>
            <w:shd w:val="clear" w:color="auto" w:fill="F2F6FA"/>
          </w:tcPr>
          <w:p>
            <w:pPr>
              <w:pStyle w:val="Compact"/>
              <w:spacing w:after="20" w:before="20"/>
              <w:jc w:val="center"/>
            </w:pPr>
            <w:r>
              <w:rPr>
                <w:sz w:val="19"/>
              </w:rPr>
              <w:t xml:space="preserve">22.71</w:t>
            </w:r>
          </w:p>
        </w:tc>
      </w:tr>
      <w:tr>
        <w:trPr>
          <w:cantSplit/>
        </w:trPr>
        <w:tc>
          <w:tcPr/>
          <w:p>
            <w:pPr>
              <w:pStyle w:val="Compact"/>
              <w:spacing w:after="20" w:before="20"/>
              <w:jc w:val="center"/>
            </w:pPr>
            <w:r>
              <w:rPr>
                <w:sz w:val="19"/>
              </w:rPr>
              <w:t xml:space="preserve">15</w:t>
            </w:r>
          </w:p>
        </w:tc>
        <w:tc>
          <w:tcPr/>
          <w:p>
            <w:pPr>
              <w:pStyle w:val="Compact"/>
              <w:spacing w:after="20" w:before="20"/>
              <w:jc w:val="center"/>
            </w:pPr>
            <w:r>
              <w:rPr>
                <w:sz w:val="19"/>
              </w:rPr>
              <w:t xml:space="preserve">1.239</w:t>
            </w:r>
          </w:p>
        </w:tc>
        <w:tc>
          <w:tcPr/>
          <w:p>
            <w:pPr>
              <w:pStyle w:val="Compact"/>
              <w:spacing w:after="20" w:before="20"/>
              <w:jc w:val="center"/>
            </w:pPr>
            <w:r>
              <w:rPr>
                <w:sz w:val="19"/>
              </w:rPr>
              <w:t xml:space="preserve">1.149</w:t>
            </w:r>
          </w:p>
        </w:tc>
        <w:tc>
          <w:tcPr/>
          <w:p>
            <w:pPr>
              <w:pStyle w:val="Compact"/>
              <w:spacing w:after="20" w:before="20"/>
              <w:jc w:val="center"/>
            </w:pPr>
            <w:r>
              <w:rPr>
                <w:sz w:val="19"/>
              </w:rPr>
              <w:t xml:space="preserve">1.12 (1.10–1.13)</w:t>
            </w:r>
          </w:p>
        </w:tc>
        <w:tc>
          <w:tcPr/>
          <w:p>
            <w:pPr>
              <w:pStyle w:val="Compact"/>
              <w:spacing w:after="20" w:before="20"/>
              <w:jc w:val="center"/>
            </w:pPr>
            <w:r>
              <w:rPr>
                <w:sz w:val="19"/>
              </w:rPr>
              <w:t xml:space="preserve">25.5</w:t>
            </w:r>
          </w:p>
        </w:tc>
        <w:tc>
          <w:tcPr/>
          <w:p>
            <w:pPr>
              <w:pStyle w:val="Compact"/>
              <w:spacing w:after="20" w:before="20"/>
              <w:jc w:val="center"/>
            </w:pPr>
            <w:r>
              <w:rPr>
                <w:sz w:val="19"/>
              </w:rPr>
              <w:t xml:space="preserve">25.33</w:t>
            </w:r>
          </w:p>
        </w:tc>
      </w:tr>
    </w:tbl>
    <w:p>
      <w:pPr>
        <w:pStyle w:val="CaptionedFigure"/>
        <w:keepNext/>
      </w:pPr>
      <w:r>
        <w:drawing>
          <wp:inline>
            <wp:extent cx="5892800" cy="2239264"/>
            <wp:effectExtent b="0" l="0" r="0" t="0"/>
            <wp:docPr descr="Figure 4. Stage pressure ratio (left) and stage temperature rise (right): equal pressure ratio (Phase 1/dossier), equal work, and the non-uniform model with its 5–95 % band." title="" id="48" name="Picture"/>
            <a:graphic>
              <a:graphicData uri="http://schemas.openxmlformats.org/drawingml/2006/picture">
                <pic:pic>
                  <pic:nvPicPr>
                    <pic:cNvPr descr="../../analysis/fig_E_stage_distribution.png" id="49" name="Picture"/>
                    <pic:cNvPicPr>
                      <a:picLocks noChangeArrowheads="1" noChangeAspect="1"/>
                    </pic:cNvPicPr>
                  </pic:nvPicPr>
                  <pic:blipFill>
                    <a:blip r:embed="rId47"/>
                    <a:stretch>
                      <a:fillRect/>
                    </a:stretch>
                  </pic:blipFill>
                  <pic:spPr bwMode="auto">
                    <a:xfrm>
                      <a:off x="0" y="0"/>
                      <a:ext cx="5892800" cy="2239264"/>
                    </a:xfrm>
                    <a:prstGeom prst="rect">
                      <a:avLst/>
                    </a:prstGeom>
                    <a:noFill/>
                    <a:ln w="9525">
                      <a:noFill/>
                      <a:headEnd/>
                      <a:tailEnd/>
                    </a:ln>
                  </pic:spPr>
                </pic:pic>
              </a:graphicData>
            </a:graphic>
          </wp:inline>
        </w:drawing>
      </w:r>
    </w:p>
    <w:p>
      <w:pPr>
        <w:pStyle w:val="ImageCaption"/>
      </w:pPr>
      <w:r>
        <w:t xml:space="preserve">Figure 4. Stage pressure ratio (left) and stage temperature rise (right): equal pressure ratio (Phase 1/dossier), equal work, and the non-uniform model with its 5–95 % band.</w:t>
      </w:r>
    </w:p>
    <w:p>
      <w:pPr>
        <w:pStyle w:val="BlockText"/>
      </w:pPr>
      <w:r>
        <w:rPr>
          <w:bCs/>
          <w:b/>
        </w:rPr>
        <w:t xml:space="preserve">Caution.</w:t>
      </w:r>
      <w:r>
        <w:t xml:space="preserve"> </w:t>
      </w:r>
      <w:r>
        <w:t xml:space="preserve">The</w:t>
      </w:r>
      <w:r>
        <w:t xml:space="preserve"> </w:t>
      </w:r>
      <w:r>
        <w:rPr>
          <w:iCs/>
          <w:i/>
        </w:rPr>
        <w:t xml:space="preserve">shape</w:t>
      </w:r>
      <w:r>
        <w:t xml:space="preserve"> </w:t>
      </w:r>
      <w:r>
        <w:t xml:space="preserve">of the work distribution is an engineering model with ranges, because MHI does not publish stage pressures. It is a defensible starting point; the mean-line design in Phase 2 must refine it stage by stage.</w:t>
      </w:r>
    </w:p>
    <w:bookmarkEnd w:id="50"/>
    <w:bookmarkEnd w:id="51"/>
    <w:bookmarkStart w:id="55" w:name="Xd30654c2437c040faf520753850567edb35ad61"/>
    <w:p>
      <w:pPr>
        <w:pStyle w:val="Heading1"/>
      </w:pPr>
      <w:r>
        <w:rPr>
          <w:rStyle w:val="SectionNumber"/>
        </w:rPr>
        <w:t xml:space="preserve">8</w:t>
      </w:r>
      <w:r>
        <w:tab/>
      </w:r>
      <w:r>
        <w:t xml:space="preserve">Result 5 — the first rotor: a transonic stage</w:t>
      </w:r>
    </w:p>
    <w:p>
      <w:pPr>
        <w:pStyle w:val="TableCaption"/>
      </w:pPr>
      <w:r>
        <w:t xml:space="preserve">Table 9. First-rotor and annulus results (median and 5–95 % band).</w:t>
      </w:r>
    </w:p>
    <w:tbl>
      <w:tblPr>
        <w:tblStyle w:val="Table"/>
        <w:tblW w:type="pct" w:w="5000"/>
        <w:tblLook w:firstRow="1" w:lastRow="0" w:firstColumn="0" w:lastColumn="0" w:noHBand="0" w:noVBand="0" w:val="0020"/>
        <w:tblCaption w:val="Table 9. First-rotor and annulus results (median and 5–95 % band)."/>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3960"/>
        <w:gridCol w:w="1056"/>
        <w:gridCol w:w="1056"/>
        <w:gridCol w:w="1848"/>
      </w:tblGrid>
      <w:tr>
        <w:trPr>
          <w:tblHeader w:val="true"/>
          <w:tblHeader w:val="true"/>
          <w:cantSplit/>
        </w:trPr>
        <w:tc>
          <w:tcPr>
            <w:shd w:val="clear" w:color="auto" w:fill="1F3864"/>
          </w:tcPr>
          <w:p>
            <w:pPr>
              <w:pStyle w:val="Compact"/>
              <w:spacing w:after="20" w:before="20"/>
              <w:jc w:val="left"/>
            </w:pPr>
            <w:r>
              <w:rPr>
                <w:b/>
                <w:color w:val="FFFFFF"/>
                <w:sz w:val="19"/>
              </w:rPr>
              <w:t xml:space="preserve">Quantity (448 MW rating)</w:t>
            </w:r>
          </w:p>
        </w:tc>
        <w:tc>
          <w:tcPr>
            <w:shd w:val="clear" w:color="auto" w:fill="1F3864"/>
          </w:tcPr>
          <w:p>
            <w:pPr>
              <w:pStyle w:val="Compact"/>
              <w:spacing w:after="20" w:before="20"/>
              <w:jc w:val="center"/>
            </w:pPr>
            <w:r>
              <w:rPr>
                <w:b/>
                <w:color w:val="FFFFFF"/>
                <w:sz w:val="19"/>
              </w:rPr>
              <w:t xml:space="preserve">Median</w:t>
            </w:r>
          </w:p>
        </w:tc>
        <w:tc>
          <w:tcPr>
            <w:shd w:val="clear" w:color="auto" w:fill="1F3864"/>
          </w:tcPr>
          <w:p>
            <w:pPr>
              <w:pStyle w:val="Compact"/>
              <w:spacing w:after="20" w:before="20"/>
              <w:jc w:val="center"/>
            </w:pPr>
            <w:r>
              <w:rPr>
                <w:b/>
                <w:color w:val="FFFFFF"/>
                <w:sz w:val="19"/>
              </w:rPr>
              <w:t xml:space="preserve">5–95 % band</w:t>
            </w:r>
          </w:p>
        </w:tc>
        <w:tc>
          <w:tcPr>
            <w:shd w:val="clear" w:color="auto" w:fill="1F3864"/>
          </w:tcPr>
          <w:p>
            <w:pPr>
              <w:pStyle w:val="Compact"/>
              <w:spacing w:after="20" w:before="20"/>
              <w:jc w:val="left"/>
            </w:pPr>
            <w:r>
              <w:rPr>
                <w:b/>
                <w:color w:val="FFFFFF"/>
                <w:sz w:val="19"/>
              </w:rPr>
              <w:t xml:space="preserve">Controlled by</w:t>
            </w:r>
          </w:p>
        </w:tc>
      </w:tr>
      <w:tr>
        <w:trPr>
          <w:cantSplit/>
        </w:trPr>
        <w:tc>
          <w:tcPr/>
          <w:p>
            <w:pPr>
              <w:pStyle w:val="Compact"/>
              <w:spacing w:after="20" w:before="20"/>
              <w:jc w:val="left"/>
            </w:pPr>
            <w:r>
              <w:rPr>
                <w:sz w:val="19"/>
              </w:rPr>
              <w:t xml:space="preserve">Inlet annulus area</w:t>
            </w:r>
          </w:p>
        </w:tc>
        <w:tc>
          <w:tcPr/>
          <w:p>
            <w:pPr>
              <w:pStyle w:val="Compact"/>
              <w:spacing w:after="20" w:before="20"/>
              <w:jc w:val="center"/>
            </w:pPr>
            <w:r>
              <w:rPr>
                <w:sz w:val="19"/>
              </w:rPr>
              <w:t xml:space="preserve">4.01 m²</w:t>
            </w:r>
          </w:p>
        </w:tc>
        <w:tc>
          <w:tcPr/>
          <w:p>
            <w:pPr>
              <w:pStyle w:val="Compact"/>
              <w:spacing w:after="20" w:before="20"/>
              <w:jc w:val="center"/>
            </w:pPr>
            <w:r>
              <w:rPr>
                <w:sz w:val="19"/>
              </w:rPr>
              <w:t xml:space="preserve">3.69–4.42 m²</w:t>
            </w:r>
          </w:p>
        </w:tc>
        <w:tc>
          <w:tcPr/>
          <w:p>
            <w:pPr>
              <w:pStyle w:val="Compact"/>
              <w:spacing w:after="20" w:before="20"/>
              <w:jc w:val="left"/>
            </w:pPr>
            <w:r>
              <w:rPr>
                <w:sz w:val="19"/>
              </w:rPr>
              <w:t xml:space="preserve">inlet Mach</w:t>
            </w:r>
          </w:p>
        </w:tc>
      </w:tr>
      <w:tr>
        <w:trPr>
          <w:cantSplit/>
        </w:trPr>
        <w:tc>
          <w:tcPr>
            <w:shd w:val="clear" w:color="auto" w:fill="F2F6FA"/>
          </w:tcPr>
          <w:p>
            <w:pPr>
              <w:pStyle w:val="Compact"/>
              <w:spacing w:after="20" w:before="20"/>
              <w:jc w:val="left"/>
            </w:pPr>
            <w:r>
              <w:rPr>
                <w:sz w:val="19"/>
              </w:rPr>
              <w:t xml:space="preserve">First-rotor tip diameter</w:t>
            </w:r>
          </w:p>
        </w:tc>
        <w:tc>
          <w:tcPr>
            <w:shd w:val="clear" w:color="auto" w:fill="F2F6FA"/>
          </w:tcPr>
          <w:p>
            <w:pPr>
              <w:pStyle w:val="Compact"/>
              <w:spacing w:after="20" w:before="20"/>
              <w:jc w:val="center"/>
            </w:pPr>
            <w:r>
              <w:rPr>
                <w:sz w:val="19"/>
              </w:rPr>
              <w:t xml:space="preserve">2.58 m</w:t>
            </w:r>
          </w:p>
        </w:tc>
        <w:tc>
          <w:tcPr>
            <w:shd w:val="clear" w:color="auto" w:fill="F2F6FA"/>
          </w:tcPr>
          <w:p>
            <w:pPr>
              <w:pStyle w:val="Compact"/>
              <w:spacing w:after="20" w:before="20"/>
              <w:jc w:val="center"/>
            </w:pPr>
            <w:r>
              <w:rPr>
                <w:sz w:val="19"/>
              </w:rPr>
              <w:t xml:space="preserve">2.42–2.76 m</w:t>
            </w:r>
          </w:p>
        </w:tc>
        <w:tc>
          <w:tcPr>
            <w:shd w:val="clear" w:color="auto" w:fill="F2F6FA"/>
          </w:tcPr>
          <w:p>
            <w:pPr>
              <w:pStyle w:val="Compact"/>
              <w:spacing w:after="20" w:before="20"/>
              <w:jc w:val="left"/>
            </w:pPr>
            <w:r>
              <w:rPr>
                <w:sz w:val="19"/>
              </w:rPr>
              <w:t xml:space="preserve">inlet Mach, hub/tip ratio</w:t>
            </w:r>
          </w:p>
        </w:tc>
      </w:tr>
      <w:tr>
        <w:trPr>
          <w:cantSplit/>
        </w:trPr>
        <w:tc>
          <w:tcPr/>
          <w:p>
            <w:pPr>
              <w:pStyle w:val="Compact"/>
              <w:spacing w:after="20" w:before="20"/>
              <w:jc w:val="left"/>
            </w:pPr>
            <w:r>
              <w:rPr>
                <w:sz w:val="19"/>
              </w:rPr>
              <w:t xml:space="preserve">First-rotor hub diameter</w:t>
            </w:r>
          </w:p>
        </w:tc>
        <w:tc>
          <w:tcPr/>
          <w:p>
            <w:pPr>
              <w:pStyle w:val="Compact"/>
              <w:spacing w:after="20" w:before="20"/>
              <w:jc w:val="center"/>
            </w:pPr>
            <w:r>
              <w:rPr>
                <w:sz w:val="19"/>
              </w:rPr>
              <w:t xml:space="preserve">1.23 m</w:t>
            </w:r>
          </w:p>
        </w:tc>
        <w:tc>
          <w:tcPr/>
          <w:p>
            <w:pPr>
              <w:pStyle w:val="Compact"/>
              <w:spacing w:after="20" w:before="20"/>
              <w:jc w:val="center"/>
            </w:pPr>
            <w:r>
              <w:rPr>
                <w:sz w:val="19"/>
              </w:rPr>
              <w:t xml:space="preserve">1.01–1.47 m</w:t>
            </w:r>
          </w:p>
        </w:tc>
        <w:tc>
          <w:tcPr/>
          <w:p>
            <w:pPr>
              <w:pStyle w:val="Compact"/>
              <w:spacing w:after="20" w:before="20"/>
              <w:jc w:val="left"/>
            </w:pPr>
            <w:r>
              <w:rPr>
                <w:sz w:val="19"/>
              </w:rPr>
              <w:t xml:space="preserve">hub/tip ratio</w:t>
            </w:r>
          </w:p>
        </w:tc>
      </w:tr>
      <w:tr>
        <w:trPr>
          <w:cantSplit/>
        </w:trPr>
        <w:tc>
          <w:tcPr>
            <w:shd w:val="clear" w:color="auto" w:fill="F2F6FA"/>
          </w:tcPr>
          <w:p>
            <w:pPr>
              <w:pStyle w:val="Compact"/>
              <w:spacing w:after="20" w:before="20"/>
              <w:jc w:val="left"/>
            </w:pPr>
            <w:r>
              <w:rPr>
                <w:sz w:val="19"/>
              </w:rPr>
              <w:t xml:space="preserve">Tip speed</w:t>
            </w:r>
          </w:p>
        </w:tc>
        <w:tc>
          <w:tcPr>
            <w:shd w:val="clear" w:color="auto" w:fill="F2F6FA"/>
          </w:tcPr>
          <w:p>
            <w:pPr>
              <w:pStyle w:val="Compact"/>
              <w:spacing w:after="20" w:before="20"/>
              <w:jc w:val="center"/>
            </w:pPr>
            <w:r>
              <w:rPr>
                <w:sz w:val="19"/>
              </w:rPr>
              <w:t xml:space="preserve">405 m/s</w:t>
            </w:r>
          </w:p>
        </w:tc>
        <w:tc>
          <w:tcPr>
            <w:shd w:val="clear" w:color="auto" w:fill="F2F6FA"/>
          </w:tcPr>
          <w:p>
            <w:pPr>
              <w:pStyle w:val="Compact"/>
              <w:spacing w:after="20" w:before="20"/>
              <w:jc w:val="center"/>
            </w:pPr>
            <w:r>
              <w:rPr>
                <w:sz w:val="19"/>
              </w:rPr>
              <w:t xml:space="preserve">380–433 m/s</w:t>
            </w:r>
          </w:p>
        </w:tc>
        <w:tc>
          <w:tcPr>
            <w:shd w:val="clear" w:color="auto" w:fill="F2F6FA"/>
          </w:tcPr>
          <w:p>
            <w:pPr>
              <w:pStyle w:val="Compact"/>
              <w:spacing w:after="20" w:before="20"/>
              <w:jc w:val="left"/>
            </w:pPr>
            <w:r>
              <w:rPr>
                <w:sz w:val="19"/>
              </w:rPr>
              <w:t xml:space="preserve">hub/tip ratio</w:t>
            </w:r>
          </w:p>
        </w:tc>
      </w:tr>
      <w:tr>
        <w:trPr>
          <w:cantSplit/>
        </w:trPr>
        <w:tc>
          <w:tcPr/>
          <w:p>
            <w:pPr>
              <w:pStyle w:val="Compact"/>
              <w:spacing w:after="20" w:before="20"/>
              <w:jc w:val="left"/>
            </w:pPr>
            <w:r>
              <w:rPr>
                <w:sz w:val="19"/>
              </w:rPr>
              <w:t xml:space="preserve">Relative tip Mach number</w:t>
            </w:r>
          </w:p>
        </w:tc>
        <w:tc>
          <w:tcPr/>
          <w:p>
            <w:pPr>
              <w:pStyle w:val="Compact"/>
              <w:spacing w:after="20" w:before="20"/>
              <w:jc w:val="center"/>
            </w:pPr>
            <w:r>
              <w:rPr>
                <w:sz w:val="19"/>
              </w:rPr>
              <w:t xml:space="preserve">1.33</w:t>
            </w:r>
          </w:p>
        </w:tc>
        <w:tc>
          <w:tcPr/>
          <w:p>
            <w:pPr>
              <w:pStyle w:val="Compact"/>
              <w:spacing w:after="20" w:before="20"/>
              <w:jc w:val="center"/>
            </w:pPr>
            <w:r>
              <w:rPr>
                <w:sz w:val="19"/>
              </w:rPr>
              <w:t xml:space="preserve">1.28–1.38</w:t>
            </w:r>
          </w:p>
        </w:tc>
        <w:tc>
          <w:tcPr/>
          <w:p>
            <w:pPr>
              <w:pStyle w:val="Compact"/>
              <w:spacing w:after="20" w:before="20"/>
              <w:jc w:val="left"/>
            </w:pPr>
            <w:r>
              <w:rPr>
                <w:sz w:val="19"/>
              </w:rPr>
              <w:t xml:space="preserve">hub/tip ratio</w:t>
            </w:r>
          </w:p>
        </w:tc>
      </w:tr>
      <w:tr>
        <w:trPr>
          <w:cantSplit/>
        </w:trPr>
        <w:tc>
          <w:tcPr>
            <w:shd w:val="clear" w:color="auto" w:fill="F2F6FA"/>
          </w:tcPr>
          <w:p>
            <w:pPr>
              <w:pStyle w:val="Compact"/>
              <w:spacing w:after="20" w:before="20"/>
              <w:jc w:val="left"/>
            </w:pPr>
            <w:r>
              <w:rPr>
                <w:sz w:val="19"/>
              </w:rPr>
              <w:t xml:space="preserve">Root centrifugal stress (steel)</w:t>
            </w:r>
          </w:p>
        </w:tc>
        <w:tc>
          <w:tcPr>
            <w:shd w:val="clear" w:color="auto" w:fill="F2F6FA"/>
          </w:tcPr>
          <w:p>
            <w:pPr>
              <w:pStyle w:val="Compact"/>
              <w:spacing w:after="20" w:before="20"/>
              <w:jc w:val="center"/>
            </w:pPr>
            <w:r>
              <w:rPr>
                <w:sz w:val="19"/>
              </w:rPr>
              <w:t xml:space="preserve">307 MPa</w:t>
            </w:r>
          </w:p>
        </w:tc>
        <w:tc>
          <w:tcPr>
            <w:shd w:val="clear" w:color="auto" w:fill="F2F6FA"/>
          </w:tcPr>
          <w:p>
            <w:pPr>
              <w:pStyle w:val="Compact"/>
              <w:spacing w:after="20" w:before="20"/>
              <w:jc w:val="center"/>
            </w:pPr>
            <w:r>
              <w:rPr>
                <w:sz w:val="19"/>
              </w:rPr>
              <w:t xml:space="preserve">264–357 MPa</w:t>
            </w:r>
          </w:p>
        </w:tc>
        <w:tc>
          <w:tcPr>
            <w:shd w:val="clear" w:color="auto" w:fill="F2F6FA"/>
          </w:tcPr>
          <w:p>
            <w:pPr>
              <w:pStyle w:val="Compact"/>
              <w:spacing w:after="20" w:before="20"/>
              <w:jc w:val="left"/>
            </w:pPr>
            <w:r>
              <w:rPr>
                <w:sz w:val="19"/>
              </w:rPr>
              <w:t xml:space="preserve">taper, inlet Mach</w:t>
            </w:r>
          </w:p>
        </w:tc>
      </w:tr>
      <w:tr>
        <w:trPr>
          <w:cantSplit/>
        </w:trPr>
        <w:tc>
          <w:tcPr/>
          <w:p>
            <w:pPr>
              <w:pStyle w:val="Compact"/>
              <w:spacing w:after="20" w:before="20"/>
              <w:jc w:val="left"/>
            </w:pPr>
            <w:r>
              <w:rPr>
                <w:sz w:val="19"/>
              </w:rPr>
              <w:t xml:space="preserve">Exit annulus area;</w:t>
            </w:r>
            <w:r>
              <w:rPr>
                <w:sz w:val="19"/>
              </w:rPr>
              <w:t xml:space="preserve"> </w:t>
            </w:r>
            <m:oMath>
              <m:sSub>
                <m:e>
                  <m:r>
                    <m:t>A</m:t>
                  </m:r>
                </m:e>
                <m:sub>
                  <m:r>
                    <m:t>o</m:t>
                  </m:r>
                  <m:r>
                    <m:t>u</m:t>
                  </m:r>
                  <m:r>
                    <m:t>t</m:t>
                  </m:r>
                </m:sub>
              </m:sSub>
              <m:r>
                <m:rPr>
                  <m:sty m:val="p"/>
                </m:rPr>
                <m:t>/</m:t>
              </m:r>
              <m:sSub>
                <m:e>
                  <m:r>
                    <m:t>A</m:t>
                  </m:r>
                </m:e>
                <m:sub>
                  <m:r>
                    <m:t>i</m:t>
                  </m:r>
                  <m:r>
                    <m:t>n</m:t>
                  </m:r>
                </m:sub>
              </m:sSub>
            </m:oMath>
          </w:p>
        </w:tc>
        <w:tc>
          <w:tcPr/>
          <w:p>
            <w:pPr>
              <w:pStyle w:val="Compact"/>
              <w:spacing w:after="20" w:before="20"/>
              <w:jc w:val="center"/>
            </w:pPr>
            <w:r>
              <w:rPr>
                <w:sz w:val="19"/>
              </w:rPr>
              <w:t xml:space="preserve">0.42 m²; 0.105</w:t>
            </w:r>
          </w:p>
        </w:tc>
        <w:tc>
          <w:tcPr/>
          <w:p>
            <w:pPr>
              <w:pStyle w:val="Compact"/>
              <w:spacing w:after="20" w:before="20"/>
              <w:jc w:val="center"/>
            </w:pPr>
            <w:r>
              <w:rPr>
                <w:sz w:val="19"/>
              </w:rPr>
              <w:t xml:space="preserve">0.37–0.49 m²; 0.089–0.126</w:t>
            </w:r>
          </w:p>
        </w:tc>
        <w:tc>
          <w:tcPr/>
          <w:p>
            <w:pPr>
              <w:pStyle w:val="Compact"/>
              <w:spacing w:after="20" w:before="20"/>
              <w:jc w:val="left"/>
            </w:pPr>
            <w:r>
              <w:rPr>
                <w:sz w:val="19"/>
              </w:rPr>
              <w:t xml:space="preserve">exit Mach</w:t>
            </w:r>
          </w:p>
        </w:tc>
      </w:tr>
    </w:tbl>
    <w:p>
      <w:pPr>
        <w:pStyle w:val="CaptionedFigure"/>
        <w:keepNext/>
      </w:pPr>
      <w:r>
        <w:drawing>
          <wp:inline>
            <wp:extent cx="4832096" cy="3221397"/>
            <wp:effectExtent b="0" l="0" r="0" t="0"/>
            <wp:docPr descr="Figure 5. Combinations of inlet axial Mach number and hub-to-tip ratio, with the resulting tip diameter (blue) and relative tip Mach number (red). Every combination in the sampled box gives a transonic tip, consistent with MHI’s statement about shock losses in the front stages." title="" id="53" name="Picture"/>
            <a:graphic>
              <a:graphicData uri="http://schemas.openxmlformats.org/drawingml/2006/picture">
                <pic:pic>
                  <pic:nvPicPr>
                    <pic:cNvPr descr="../../analysis/fig_B_inlet_feasibility.png" id="54" name="Picture"/>
                    <pic:cNvPicPr>
                      <a:picLocks noChangeArrowheads="1" noChangeAspect="1"/>
                    </pic:cNvPicPr>
                  </pic:nvPicPr>
                  <pic:blipFill>
                    <a:blip r:embed="rId52"/>
                    <a:stretch>
                      <a:fillRect/>
                    </a:stretch>
                  </pic:blipFill>
                  <pic:spPr bwMode="auto">
                    <a:xfrm>
                      <a:off x="0" y="0"/>
                      <a:ext cx="4832096" cy="3221397"/>
                    </a:xfrm>
                    <a:prstGeom prst="rect">
                      <a:avLst/>
                    </a:prstGeom>
                    <a:noFill/>
                    <a:ln w="9525">
                      <a:noFill/>
                      <a:headEnd/>
                      <a:tailEnd/>
                    </a:ln>
                  </pic:spPr>
                </pic:pic>
              </a:graphicData>
            </a:graphic>
          </wp:inline>
        </w:drawing>
      </w:r>
    </w:p>
    <w:p>
      <w:pPr>
        <w:pStyle w:val="ImageCaption"/>
      </w:pPr>
      <w:r>
        <w:t xml:space="preserve">Figure 5. Combinations of inlet axial Mach number and hub-to-tip ratio, with the resulting tip diameter (blue) and relative tip Mach number (red). Every combination in the sampled box gives a transonic tip, consistent with MHI’s statement about shock losses in the front stages.</w:t>
      </w:r>
    </w:p>
    <w:p>
      <w:pPr>
        <w:pStyle w:val="BodyText"/>
      </w:pPr>
      <w:r>
        <w:rPr>
          <w:bCs/>
          <w:b/>
        </w:rPr>
        <w:t xml:space="preserve">Interpretation.</w:t>
      </w:r>
      <w:r>
        <w:t xml:space="preserve"> </w:t>
      </w:r>
      <w:r>
        <w:t xml:space="preserve">At 3000 rpm and 744 kg/s, every plausible combination gives a first-rotor tip that is</w:t>
      </w:r>
      <w:r>
        <w:t xml:space="preserve"> </w:t>
      </w:r>
      <w:r>
        <w:rPr>
          <w:bCs/>
          <w:b/>
        </w:rPr>
        <w:t xml:space="preserve">supersonic relative to the blade</w:t>
      </w:r>
      <w:r>
        <w:t xml:space="preserve"> </w:t>
      </w:r>
      <w:r>
        <w:t xml:space="preserve">(</w:t>
      </w:r>
      <m:oMath>
        <m:sSub>
          <m:e>
            <m:r>
              <m:t>M</m:t>
            </m:r>
          </m:e>
          <m:sub>
            <m:r>
              <m:t>r</m:t>
            </m:r>
            <m:r>
              <m:t>e</m:t>
            </m:r>
            <m:r>
              <m:t>l</m:t>
            </m:r>
          </m:sub>
        </m:sSub>
      </m:oMath>
      <w:r>
        <w:t xml:space="preserve"> </w:t>
      </w:r>
      <w:r>
        <w:t xml:space="preserve">1.28–1.38). This is independent evidence that our ranges are sensible, because MHI explicitly says it had to reduce shock-wave losses in the initial stages [DOC D6]. The relative Mach number is controlled almost entirely by the hub-to-tip ratio: a larger hub means a larger tip radius for the same area, hence a higher tip speed.</w:t>
      </w:r>
    </w:p>
    <w:p>
      <w:pPr>
        <w:pStyle w:val="BodyText"/>
      </w:pPr>
      <w:r>
        <w:t xml:space="preserve">The exit area is only about one tenth of the inlet area. The air is about 9 times denser at exit (25 times the pressure, 2.7 times the absolute temperature), and this matches MHI’s remark that the high-PR compressor has a</w:t>
      </w:r>
      <w:r>
        <w:t xml:space="preserve"> </w:t>
      </w:r>
      <w:r>
        <w:t xml:space="preserve">“</w:t>
      </w:r>
      <w:r>
        <w:t xml:space="preserve">relatively reduced outlet flow area</w:t>
      </w:r>
      <w:r>
        <w:t xml:space="preserve">”</w:t>
      </w:r>
      <w:r>
        <w:t xml:space="preserve"> </w:t>
      </w:r>
      <w:r>
        <w:t xml:space="preserve">[DOC D4]. It also explains why the rear blades are so short.</w:t>
      </w:r>
    </w:p>
    <w:p>
      <w:pPr>
        <w:pStyle w:val="BlockText"/>
      </w:pPr>
      <w:r>
        <w:rPr>
          <w:bCs/>
          <w:b/>
        </w:rPr>
        <w:t xml:space="preserve">Learning note — why the first stage is the mechanically critical one.</w:t>
      </w:r>
      <w:r>
        <w:t xml:space="preserve"> </w:t>
      </w:r>
      <w:r>
        <w:t xml:space="preserve">The root stress scales with</w:t>
      </w:r>
      <w:r>
        <w:t xml:space="preserve"> </w:t>
      </w:r>
      <m:oMath>
        <m:sSub>
          <m:e>
            <m:r>
              <m:t>ρ</m:t>
            </m:r>
          </m:e>
          <m:sub>
            <m:r>
              <m:t>b</m:t>
            </m:r>
          </m:sub>
        </m:sSub>
        <m:r>
          <m:t> </m:t>
        </m:r>
        <m:sSup>
          <m:e>
            <m:r>
              <m:t>ω</m:t>
            </m:r>
          </m:e>
          <m:sup>
            <m:r>
              <m:t>2</m:t>
            </m:r>
          </m:sup>
        </m:sSup>
        <m:r>
          <m:t>A</m:t>
        </m:r>
      </m:oMath>
      <w:r>
        <w:t xml:space="preserve"> </w:t>
      </w:r>
      <w:r>
        <w:t xml:space="preserve">(often written</w:t>
      </w:r>
      <w:r>
        <w:t xml:space="preserve"> </w:t>
      </w:r>
      <m:oMath>
        <m:r>
          <m:t>A</m:t>
        </m:r>
        <m:sSup>
          <m:e>
            <m:r>
              <m:t>N</m:t>
            </m:r>
          </m:e>
          <m:sup>
            <m:r>
              <m:t>2</m:t>
            </m:r>
          </m:sup>
        </m:sSup>
      </m:oMath>
      <w:r>
        <w:t xml:space="preserve">), and</w:t>
      </w:r>
      <w:r>
        <w:t xml:space="preserve"> </w:t>
      </w:r>
      <m:oMath>
        <m:r>
          <m:t>A</m:t>
        </m:r>
      </m:oMath>
      <w:r>
        <w:t xml:space="preserve"> </w:t>
      </w:r>
      <w:r>
        <w:t xml:space="preserve">is largest at the inlet. The first rotor also sees the strongest aerodynamic excitation (IGV wakes, inlet distortion) and the rotating-stall cells at start-up. That is why MHI measured blade and vane vibration stress on the first engine [DOC D6]. Our 307 MPa is a first estimate for a steel blade; the blade material is not published and must be compared with real material data (and the Campbell diagram) in Phase 2.</w:t>
      </w:r>
    </w:p>
    <w:bookmarkEnd w:id="55"/>
    <w:bookmarkStart w:id="59" w:name="X04cf915a5214bc7f8a39038fc4bed2645b2d65e"/>
    <w:p>
      <w:pPr>
        <w:pStyle w:val="Heading1"/>
      </w:pPr>
      <w:r>
        <w:rPr>
          <w:rStyle w:val="SectionNumber"/>
        </w:rPr>
        <w:t xml:space="preserve">9</w:t>
      </w:r>
      <w:r>
        <w:tab/>
      </w:r>
      <w:r>
        <w:t xml:space="preserve">Result 6 — two ratings and a scaling puzzle</w:t>
      </w:r>
    </w:p>
    <w:p>
      <w:pPr>
        <w:pStyle w:val="FirstParagraph"/>
      </w:pPr>
      <w:r>
        <w:t xml:space="preserve">The catalogue lists two M701JAC ratings, and they are not two operating points of one machine: the flows differ by 34 %.</w:t>
      </w:r>
    </w:p>
    <w:p>
      <w:pPr>
        <w:pStyle w:val="TableCaption"/>
      </w:pPr>
      <w:r>
        <w:t xml:space="preserve">Table 10. MHI catalogue machines compared (D2).</w:t>
      </w:r>
    </w:p>
    <w:tbl>
      <w:tblPr>
        <w:tblStyle w:val="Table"/>
        <w:tblW w:type="auto" w:w="0"/>
        <w:tblLook w:firstRow="1" w:lastRow="0" w:firstColumn="0" w:lastColumn="0" w:noHBand="0" w:noVBand="0" w:val="0020"/>
        <w:tblCaption w:val="Table 10. MHI catalogue machines compared (D2)."/>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320"/>
        <w:gridCol w:w="1320"/>
        <w:gridCol w:w="1320"/>
        <w:gridCol w:w="1320"/>
        <w:gridCol w:w="1320"/>
        <w:gridCol w:w="1320"/>
      </w:tblGrid>
      <w:tr>
        <w:trPr>
          <w:tblHeader w:val="true"/>
          <w:tblHeader w:val="true"/>
          <w:cantSplit/>
        </w:trPr>
        <w:tc>
          <w:tcPr>
            <w:shd w:val="clear" w:color="auto" w:fill="1F3864"/>
          </w:tcPr>
          <w:p>
            <w:pPr>
              <w:pStyle w:val="Compact"/>
              <w:spacing w:after="20" w:before="20"/>
              <w:jc w:val="left"/>
            </w:pPr>
            <w:r>
              <w:rPr>
                <w:b/>
                <w:color w:val="FFFFFF"/>
                <w:sz w:val="19"/>
              </w:rPr>
              <w:t xml:space="preserve">Model</w:t>
            </w:r>
          </w:p>
        </w:tc>
        <w:tc>
          <w:tcPr>
            <w:shd w:val="clear" w:color="auto" w:fill="1F3864"/>
          </w:tcPr>
          <w:p>
            <w:pPr>
              <w:pStyle w:val="Compact"/>
              <w:spacing w:after="20" w:before="20"/>
              <w:jc w:val="center"/>
            </w:pPr>
            <w:r>
              <w:rPr>
                <w:b/>
                <w:color w:val="FFFFFF"/>
                <w:sz w:val="19"/>
              </w:rPr>
              <w:t xml:space="preserve">Speed</w:t>
            </w:r>
          </w:p>
        </w:tc>
        <w:tc>
          <w:tcPr>
            <w:shd w:val="clear" w:color="auto" w:fill="1F3864"/>
          </w:tcPr>
          <w:p>
            <w:pPr>
              <w:pStyle w:val="Compact"/>
              <w:spacing w:after="20" w:before="20"/>
              <w:jc w:val="center"/>
            </w:pPr>
            <w:r>
              <w:rPr>
                <w:b/>
                <w:color w:val="FFFFFF"/>
                <w:sz w:val="19"/>
              </w:rPr>
              <w:t xml:space="preserve">PR</w:t>
            </w:r>
          </w:p>
        </w:tc>
        <w:tc>
          <w:tcPr>
            <w:shd w:val="clear" w:color="auto" w:fill="1F3864"/>
          </w:tcPr>
          <w:p>
            <w:pPr>
              <w:pStyle w:val="Compact"/>
              <w:spacing w:after="20" w:before="20"/>
              <w:jc w:val="center"/>
            </w:pPr>
            <w:r>
              <w:rPr>
                <w:b/>
                <w:color w:val="FFFFFF"/>
                <w:sz w:val="19"/>
              </w:rPr>
              <w:t xml:space="preserve">Output</w:t>
            </w:r>
          </w:p>
        </w:tc>
        <w:tc>
          <w:tcPr>
            <w:shd w:val="clear" w:color="auto" w:fill="1F3864"/>
          </w:tcPr>
          <w:p>
            <w:pPr>
              <w:pStyle w:val="Compact"/>
              <w:spacing w:after="20" w:before="20"/>
              <w:jc w:val="center"/>
            </w:pPr>
            <w:r>
              <w:rPr>
                <w:b/>
                <w:color w:val="FFFFFF"/>
                <w:sz w:val="19"/>
              </w:rPr>
              <w:t xml:space="preserve">Exhaust flow</w:t>
            </w:r>
          </w:p>
        </w:tc>
        <w:tc>
          <w:tcPr>
            <w:shd w:val="clear" w:color="auto" w:fill="1F3864"/>
          </w:tcPr>
          <w:p>
            <w:pPr>
              <w:pStyle w:val="Compact"/>
              <w:spacing w:after="20" w:before="20"/>
              <w:jc w:val="center"/>
            </w:pPr>
            <w:r>
              <w:rPr>
                <w:b/>
                <w:color w:val="FFFFFF"/>
                <w:sz w:val="19"/>
              </w:rPr>
              <w:t xml:space="preserve">Specific output</w:t>
            </w:r>
          </w:p>
        </w:tc>
      </w:tr>
      <w:tr>
        <w:trPr>
          <w:cantSplit/>
        </w:trPr>
        <w:tc>
          <w:tcPr/>
          <w:p>
            <w:pPr>
              <w:pStyle w:val="Compact"/>
              <w:spacing w:after="20" w:before="20"/>
              <w:jc w:val="left"/>
            </w:pPr>
            <w:r>
              <w:rPr>
                <w:sz w:val="19"/>
              </w:rPr>
              <w:t xml:space="preserve">M701F</w:t>
            </w:r>
          </w:p>
        </w:tc>
        <w:tc>
          <w:tcPr/>
          <w:p>
            <w:pPr>
              <w:pStyle w:val="Compact"/>
              <w:spacing w:after="20" w:before="20"/>
              <w:jc w:val="center"/>
            </w:pPr>
            <w:r>
              <w:rPr>
                <w:sz w:val="19"/>
              </w:rPr>
              <w:t xml:space="preserve">3000</w:t>
            </w:r>
          </w:p>
        </w:tc>
        <w:tc>
          <w:tcPr/>
          <w:p>
            <w:pPr>
              <w:pStyle w:val="Compact"/>
              <w:spacing w:after="20" w:before="20"/>
              <w:jc w:val="center"/>
            </w:pPr>
            <w:r>
              <w:rPr>
                <w:sz w:val="19"/>
              </w:rPr>
              <w:t xml:space="preserve">21</w:t>
            </w:r>
          </w:p>
        </w:tc>
        <w:tc>
          <w:tcPr/>
          <w:p>
            <w:pPr>
              <w:pStyle w:val="Compact"/>
              <w:spacing w:after="20" w:before="20"/>
              <w:jc w:val="center"/>
            </w:pPr>
            <w:r>
              <w:rPr>
                <w:sz w:val="19"/>
              </w:rPr>
              <w:t xml:space="preserve">385 MW</w:t>
            </w:r>
          </w:p>
        </w:tc>
        <w:tc>
          <w:tcPr/>
          <w:p>
            <w:pPr>
              <w:pStyle w:val="Compact"/>
              <w:spacing w:after="20" w:before="20"/>
              <w:jc w:val="center"/>
            </w:pPr>
            <w:r>
              <w:rPr>
                <w:sz w:val="19"/>
              </w:rPr>
              <w:t xml:space="preserve">748 kg/s</w:t>
            </w:r>
          </w:p>
        </w:tc>
        <w:tc>
          <w:tcPr/>
          <w:p>
            <w:pPr>
              <w:pStyle w:val="Compact"/>
              <w:spacing w:after="20" w:before="20"/>
              <w:jc w:val="center"/>
            </w:pPr>
            <w:r>
              <w:rPr>
                <w:sz w:val="19"/>
              </w:rPr>
              <w:t xml:space="preserve">515 kJ/kg</w:t>
            </w:r>
          </w:p>
        </w:tc>
      </w:tr>
      <w:tr>
        <w:trPr>
          <w:cantSplit/>
        </w:trPr>
        <w:tc>
          <w:tcPr>
            <w:shd w:val="clear" w:color="auto" w:fill="F2F6FA"/>
          </w:tcPr>
          <w:p>
            <w:pPr>
              <w:pStyle w:val="Compact"/>
              <w:spacing w:after="20" w:before="20"/>
              <w:jc w:val="left"/>
            </w:pPr>
            <w:r>
              <w:rPr>
                <w:sz w:val="19"/>
              </w:rPr>
              <w:t xml:space="preserve">M501JAC</w:t>
            </w:r>
          </w:p>
        </w:tc>
        <w:tc>
          <w:tcPr>
            <w:shd w:val="clear" w:color="auto" w:fill="F2F6FA"/>
          </w:tcPr>
          <w:p>
            <w:pPr>
              <w:pStyle w:val="Compact"/>
              <w:spacing w:after="20" w:before="20"/>
              <w:jc w:val="center"/>
            </w:pPr>
            <w:r>
              <w:rPr>
                <w:sz w:val="19"/>
              </w:rPr>
              <w:t xml:space="preserve">3600</w:t>
            </w:r>
          </w:p>
        </w:tc>
        <w:tc>
          <w:tcPr>
            <w:shd w:val="clear" w:color="auto" w:fill="F2F6FA"/>
          </w:tcPr>
          <w:p>
            <w:pPr>
              <w:pStyle w:val="Compact"/>
              <w:spacing w:after="20" w:before="20"/>
              <w:jc w:val="center"/>
            </w:pPr>
            <w:r>
              <w:rPr>
                <w:sz w:val="19"/>
              </w:rPr>
              <w:t xml:space="preserve">25</w:t>
            </w:r>
          </w:p>
        </w:tc>
        <w:tc>
          <w:tcPr>
            <w:shd w:val="clear" w:color="auto" w:fill="F2F6FA"/>
          </w:tcPr>
          <w:p>
            <w:pPr>
              <w:pStyle w:val="Compact"/>
              <w:spacing w:after="20" w:before="20"/>
              <w:jc w:val="center"/>
            </w:pPr>
            <w:r>
              <w:rPr>
                <w:sz w:val="19"/>
              </w:rPr>
              <w:t xml:space="preserve">453 MW</w:t>
            </w:r>
          </w:p>
        </w:tc>
        <w:tc>
          <w:tcPr>
            <w:shd w:val="clear" w:color="auto" w:fill="F2F6FA"/>
          </w:tcPr>
          <w:p>
            <w:pPr>
              <w:pStyle w:val="Compact"/>
              <w:spacing w:after="20" w:before="20"/>
              <w:jc w:val="center"/>
            </w:pPr>
            <w:r>
              <w:rPr>
                <w:sz w:val="19"/>
              </w:rPr>
              <w:t xml:space="preserve">815 kg/s</w:t>
            </w:r>
          </w:p>
        </w:tc>
        <w:tc>
          <w:tcPr>
            <w:shd w:val="clear" w:color="auto" w:fill="F2F6FA"/>
          </w:tcPr>
          <w:p>
            <w:pPr>
              <w:pStyle w:val="Compact"/>
              <w:spacing w:after="20" w:before="20"/>
              <w:jc w:val="center"/>
            </w:pPr>
            <w:r>
              <w:rPr>
                <w:sz w:val="19"/>
              </w:rPr>
              <w:t xml:space="preserve">556 kJ/kg</w:t>
            </w:r>
          </w:p>
        </w:tc>
      </w:tr>
      <w:tr>
        <w:trPr>
          <w:cantSplit/>
        </w:trPr>
        <w:tc>
          <w:tcPr/>
          <w:p>
            <w:pPr>
              <w:pStyle w:val="Compact"/>
              <w:spacing w:after="20" w:before="20"/>
              <w:jc w:val="left"/>
            </w:pPr>
            <w:r>
              <w:rPr>
                <w:sz w:val="19"/>
              </w:rPr>
              <w:t xml:space="preserve">M701JAC (448)</w:t>
            </w:r>
          </w:p>
        </w:tc>
        <w:tc>
          <w:tcPr/>
          <w:p>
            <w:pPr>
              <w:pStyle w:val="Compact"/>
              <w:spacing w:after="20" w:before="20"/>
              <w:jc w:val="center"/>
            </w:pPr>
            <w:r>
              <w:rPr>
                <w:sz w:val="19"/>
              </w:rPr>
              <w:t xml:space="preserve">3000</w:t>
            </w:r>
          </w:p>
        </w:tc>
        <w:tc>
          <w:tcPr/>
          <w:p>
            <w:pPr>
              <w:pStyle w:val="Compact"/>
              <w:spacing w:after="20" w:before="20"/>
              <w:jc w:val="center"/>
            </w:pPr>
            <w:r>
              <w:rPr>
                <w:sz w:val="19"/>
              </w:rPr>
              <w:t xml:space="preserve">25</w:t>
            </w:r>
          </w:p>
        </w:tc>
        <w:tc>
          <w:tcPr/>
          <w:p>
            <w:pPr>
              <w:pStyle w:val="Compact"/>
              <w:spacing w:after="20" w:before="20"/>
              <w:jc w:val="center"/>
            </w:pPr>
            <w:r>
              <w:rPr>
                <w:sz w:val="19"/>
              </w:rPr>
              <w:t xml:space="preserve">448 MW</w:t>
            </w:r>
          </w:p>
        </w:tc>
        <w:tc>
          <w:tcPr/>
          <w:p>
            <w:pPr>
              <w:pStyle w:val="Compact"/>
              <w:spacing w:after="20" w:before="20"/>
              <w:jc w:val="center"/>
            </w:pPr>
            <w:r>
              <w:rPr>
                <w:sz w:val="19"/>
              </w:rPr>
              <w:t xml:space="preserve">765 kg/s</w:t>
            </w:r>
          </w:p>
        </w:tc>
        <w:tc>
          <w:tcPr/>
          <w:p>
            <w:pPr>
              <w:pStyle w:val="Compact"/>
              <w:spacing w:after="20" w:before="20"/>
              <w:jc w:val="center"/>
            </w:pPr>
            <w:r>
              <w:rPr>
                <w:sz w:val="19"/>
              </w:rPr>
              <w:t xml:space="preserve">586 kJ/kg</w:t>
            </w:r>
          </w:p>
        </w:tc>
      </w:tr>
      <w:tr>
        <w:trPr>
          <w:cantSplit/>
        </w:trPr>
        <w:tc>
          <w:tcPr>
            <w:shd w:val="clear" w:color="auto" w:fill="F2F6FA"/>
          </w:tcPr>
          <w:p>
            <w:pPr>
              <w:pStyle w:val="Compact"/>
              <w:spacing w:after="20" w:before="20"/>
              <w:jc w:val="left"/>
            </w:pPr>
            <w:r>
              <w:rPr>
                <w:sz w:val="19"/>
              </w:rPr>
              <w:t xml:space="preserve">M701JAC (574)</w:t>
            </w:r>
          </w:p>
        </w:tc>
        <w:tc>
          <w:tcPr>
            <w:shd w:val="clear" w:color="auto" w:fill="F2F6FA"/>
          </w:tcPr>
          <w:p>
            <w:pPr>
              <w:pStyle w:val="Compact"/>
              <w:spacing w:after="20" w:before="20"/>
              <w:jc w:val="center"/>
            </w:pPr>
            <w:r>
              <w:rPr>
                <w:sz w:val="19"/>
              </w:rPr>
              <w:t xml:space="preserve">3000</w:t>
            </w:r>
          </w:p>
        </w:tc>
        <w:tc>
          <w:tcPr>
            <w:shd w:val="clear" w:color="auto" w:fill="F2F6FA"/>
          </w:tcPr>
          <w:p>
            <w:pPr>
              <w:pStyle w:val="Compact"/>
              <w:spacing w:after="20" w:before="20"/>
              <w:jc w:val="center"/>
            </w:pPr>
            <w:r>
              <w:rPr>
                <w:sz w:val="19"/>
              </w:rPr>
              <w:t xml:space="preserve">25</w:t>
            </w:r>
          </w:p>
        </w:tc>
        <w:tc>
          <w:tcPr>
            <w:shd w:val="clear" w:color="auto" w:fill="F2F6FA"/>
          </w:tcPr>
          <w:p>
            <w:pPr>
              <w:pStyle w:val="Compact"/>
              <w:spacing w:after="20" w:before="20"/>
              <w:jc w:val="center"/>
            </w:pPr>
            <w:r>
              <w:rPr>
                <w:sz w:val="19"/>
              </w:rPr>
              <w:t xml:space="preserve">574 MW</w:t>
            </w:r>
          </w:p>
        </w:tc>
        <w:tc>
          <w:tcPr>
            <w:shd w:val="clear" w:color="auto" w:fill="F2F6FA"/>
          </w:tcPr>
          <w:p>
            <w:pPr>
              <w:pStyle w:val="Compact"/>
              <w:spacing w:after="20" w:before="20"/>
              <w:jc w:val="center"/>
            </w:pPr>
            <w:r>
              <w:rPr>
                <w:sz w:val="19"/>
              </w:rPr>
              <w:t xml:space="preserve">1024 kg/s</w:t>
            </w:r>
          </w:p>
        </w:tc>
        <w:tc>
          <w:tcPr>
            <w:shd w:val="clear" w:color="auto" w:fill="F2F6FA"/>
          </w:tcPr>
          <w:p>
            <w:pPr>
              <w:pStyle w:val="Compact"/>
              <w:spacing w:after="20" w:before="20"/>
              <w:jc w:val="center"/>
            </w:pPr>
            <w:r>
              <w:rPr>
                <w:sz w:val="19"/>
              </w:rPr>
              <w:t xml:space="preserve">561 kJ/kg</w:t>
            </w:r>
          </w:p>
        </w:tc>
      </w:tr>
    </w:tbl>
    <w:p>
      <w:pPr>
        <w:pStyle w:val="CaptionedFigure"/>
        <w:keepNext/>
      </w:pPr>
      <w:r>
        <w:drawing>
          <wp:inline>
            <wp:extent cx="4596384" cy="2646402"/>
            <wp:effectExtent b="0" l="0" r="0" t="0"/>
            <wp:docPr descr="Figure 6. Mitsubishi line-up: specific output versus pressure ratio; bubble area is proportional to exhaust flow." title="" id="57" name="Picture"/>
            <a:graphic>
              <a:graphicData uri="http://schemas.openxmlformats.org/drawingml/2006/picture">
                <pic:pic>
                  <pic:nvPicPr>
                    <pic:cNvPr descr="../../analysis/fig_C_lineup.png" id="58" name="Picture"/>
                    <pic:cNvPicPr>
                      <a:picLocks noChangeArrowheads="1" noChangeAspect="1"/>
                    </pic:cNvPicPr>
                  </pic:nvPicPr>
                  <pic:blipFill>
                    <a:blip r:embed="rId56"/>
                    <a:stretch>
                      <a:fillRect/>
                    </a:stretch>
                  </pic:blipFill>
                  <pic:spPr bwMode="auto">
                    <a:xfrm>
                      <a:off x="0" y="0"/>
                      <a:ext cx="4596384" cy="2646402"/>
                    </a:xfrm>
                    <a:prstGeom prst="rect">
                      <a:avLst/>
                    </a:prstGeom>
                    <a:noFill/>
                    <a:ln w="9525">
                      <a:noFill/>
                      <a:headEnd/>
                      <a:tailEnd/>
                    </a:ln>
                  </pic:spPr>
                </pic:pic>
              </a:graphicData>
            </a:graphic>
          </wp:inline>
        </w:drawing>
      </w:r>
    </w:p>
    <w:p>
      <w:pPr>
        <w:pStyle w:val="ImageCaption"/>
      </w:pPr>
      <w:r>
        <w:t xml:space="preserve">Figure 6. Mitsubishi line-up: specific output versus pressure ratio; bubble area is proportional to exhaust flow.</w:t>
      </w:r>
    </w:p>
    <w:p>
      <w:pPr>
        <w:pStyle w:val="BodyText"/>
      </w:pPr>
      <w:r>
        <w:rPr>
          <w:bCs/>
          <w:b/>
        </w:rPr>
        <w:t xml:space="preserve">The puzzle.</w:t>
      </w:r>
      <w:r>
        <w:t xml:space="preserve"> </w:t>
      </w:r>
      <w:r>
        <w:t xml:space="preserve">If the M701JAC were a 1.2× scale of today’s M501JAC (815 kg/s), it would pass 815 × 1.44 =</w:t>
      </w:r>
      <w:r>
        <w:t xml:space="preserve"> </w:t>
      </w:r>
      <w:r>
        <w:rPr>
          <w:bCs/>
          <w:b/>
        </w:rPr>
        <w:t xml:space="preserve">1,174 kg/s</w:t>
      </w:r>
      <w:r>
        <w:t xml:space="preserve">. The two published ratings correspond to linear scales of only 0.97 and 1.12. The 1.2× rule is documented for the J series (D5), but the present JAC ratings clearly do not follow it exactly. We must therefore</w:t>
      </w:r>
      <w:r>
        <w:t xml:space="preserve"> </w:t>
      </w:r>
      <w:r>
        <w:rPr>
          <w:bCs/>
          <w:b/>
        </w:rPr>
        <w:t xml:space="preserve">not</w:t>
      </w:r>
      <w:r>
        <w:t xml:space="preserve"> </w:t>
      </w:r>
      <w:r>
        <w:t xml:space="preserve">derive M701JAC geometry by scaling M501JAC data.</w:t>
      </w:r>
    </w:p>
    <w:p>
      <w:pPr>
        <w:pStyle w:val="BodyText"/>
      </w:pPr>
      <w:r>
        <w:rPr>
          <w:bCs/>
          <w:b/>
        </w:rPr>
        <w:t xml:space="preserve">Which rating is in service?</w:t>
      </w:r>
      <w:r>
        <w:t xml:space="preserve"> </w:t>
      </w:r>
      <w:r>
        <w:t xml:space="preserve">The Thailand plants deliver 662–700 MW net per single-shaft unit [DOC D3], above the 650 MW combined-cycle rating of the 448 MW machine (and Thailand is hotter than ISO, which lowers output). The fleet in service is therefore most likely the larger, 574 MW-class machine.</w:t>
      </w:r>
      <w:r>
        <w:t xml:space="preserve"> </w:t>
      </w:r>
      <w:r>
        <w:rPr>
          <w:bCs/>
          <w:b/>
        </w:rPr>
        <w:t xml:space="preserve">We need to choose our target rating</w:t>
      </w:r>
      <w:r>
        <w:t xml:space="preserve"> </w:t>
      </w:r>
      <w:r>
        <w:t xml:space="preserve">before the mean-line design. Everything in this report is computed for both; the tables show the 448 MW rating because its pressure ratio is stated exactly (25, not</w:t>
      </w:r>
      <w:r>
        <w:t xml:space="preserve"> </w:t>
      </w:r>
      <w:r>
        <w:t xml:space="preserve">“</w:t>
      </w:r>
      <w:r>
        <w:t xml:space="preserve">&gt; 25</w:t>
      </w:r>
      <w:r>
        <w:t xml:space="preserve">”</w:t>
      </w:r>
      <w:r>
        <w:t xml:space="preserve">).</w:t>
      </w:r>
    </w:p>
    <w:bookmarkEnd w:id="59"/>
    <w:bookmarkStart w:id="63" w:name="what-drives-what-sensitivity"/>
    <w:p>
      <w:pPr>
        <w:pStyle w:val="Heading1"/>
      </w:pPr>
      <w:r>
        <w:rPr>
          <w:rStyle w:val="SectionNumber"/>
        </w:rPr>
        <w:t xml:space="preserve">10</w:t>
      </w:r>
      <w:r>
        <w:tab/>
      </w:r>
      <w:r>
        <w:t xml:space="preserve">What drives what: sensitivity</w:t>
      </w:r>
    </w:p>
    <w:p>
      <w:pPr>
        <w:pStyle w:val="TableCaption"/>
      </w:pPr>
      <w:r>
        <w:t xml:space="preserve">Table 11. Which unpublished input controls which result (Spearman rank correlation, 448 MW rating).</w:t>
      </w:r>
    </w:p>
    <w:tbl>
      <w:tblPr>
        <w:tblStyle w:val="Table"/>
        <w:tblW w:type="pct" w:w="5000"/>
        <w:tblLook w:firstRow="1" w:lastRow="0" w:firstColumn="0" w:lastColumn="0" w:noHBand="0" w:noVBand="0" w:val="0020"/>
        <w:tblCaption w:val="Table 11. Which unpublished input controls which result (Spearman rank correlation, 448 MW rating)."/>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2846"/>
        <w:gridCol w:w="3465"/>
        <w:gridCol w:w="1608"/>
      </w:tblGrid>
      <w:tr>
        <w:trPr>
          <w:tblHeader w:val="true"/>
          <w:tblHeader w:val="true"/>
          <w:cantSplit/>
        </w:trPr>
        <w:tc>
          <w:tcPr>
            <w:shd w:val="clear" w:color="auto" w:fill="1F3864"/>
          </w:tcPr>
          <w:p>
            <w:pPr>
              <w:pStyle w:val="Compact"/>
              <w:spacing w:after="20" w:before="20"/>
              <w:jc w:val="left"/>
            </w:pPr>
            <w:r>
              <w:rPr>
                <w:b/>
                <w:color w:val="FFFFFF"/>
                <w:sz w:val="19"/>
              </w:rPr>
              <w:t xml:space="preserve">Result</w:t>
            </w:r>
          </w:p>
        </w:tc>
        <w:tc>
          <w:tcPr>
            <w:shd w:val="clear" w:color="auto" w:fill="1F3864"/>
          </w:tcPr>
          <w:p>
            <w:pPr>
              <w:pStyle w:val="Compact"/>
              <w:spacing w:after="20" w:before="20"/>
              <w:jc w:val="left"/>
            </w:pPr>
            <w:r>
              <w:rPr>
                <w:b/>
                <w:color w:val="FFFFFF"/>
                <w:sz w:val="19"/>
              </w:rPr>
              <w:t xml:space="preserve">Controlled mainly by</w:t>
            </w:r>
          </w:p>
        </w:tc>
        <w:tc>
          <w:tcPr>
            <w:shd w:val="clear" w:color="auto" w:fill="1F3864"/>
          </w:tcPr>
          <w:p>
            <w:pPr>
              <w:pStyle w:val="Compact"/>
              <w:spacing w:after="20" w:before="20"/>
              <w:jc w:val="center"/>
            </w:pPr>
            <w:r>
              <w:rPr>
                <w:b/>
                <w:color w:val="FFFFFF"/>
                <w:sz w:val="19"/>
              </w:rPr>
              <w:t xml:space="preserve">Rank correlation</w:t>
            </w:r>
          </w:p>
        </w:tc>
      </w:tr>
      <w:tr>
        <w:trPr>
          <w:cantSplit/>
        </w:trPr>
        <w:tc>
          <w:tcPr/>
          <w:p>
            <w:pPr>
              <w:pStyle w:val="Compact"/>
              <w:spacing w:after="20" w:before="20"/>
              <w:jc w:val="left"/>
            </w:pPr>
            <w:r>
              <w:rPr>
                <w:sz w:val="19"/>
              </w:rPr>
              <w:t xml:space="preserve">Inlet air flow</w:t>
            </w:r>
          </w:p>
        </w:tc>
        <w:tc>
          <w:tcPr/>
          <w:p>
            <w:pPr>
              <w:pStyle w:val="Compact"/>
              <w:spacing w:after="20" w:before="20"/>
              <w:jc w:val="left"/>
            </w:pPr>
            <w:r>
              <w:rPr>
                <w:sz w:val="19"/>
              </w:rPr>
              <w:t xml:space="preserve">fuel LHV (tiny effect)</w:t>
            </w:r>
          </w:p>
        </w:tc>
        <w:tc>
          <w:tcPr/>
          <w:p>
            <w:pPr>
              <w:pStyle w:val="Compact"/>
              <w:spacing w:after="20" w:before="20"/>
              <w:jc w:val="center"/>
            </w:pPr>
            <w:r>
              <w:rPr>
                <w:sz w:val="19"/>
              </w:rPr>
              <w:t xml:space="preserve">+1.00</w:t>
            </w:r>
          </w:p>
        </w:tc>
      </w:tr>
      <w:tr>
        <w:trPr>
          <w:cantSplit/>
        </w:trPr>
        <w:tc>
          <w:tcPr>
            <w:shd w:val="clear" w:color="auto" w:fill="F2F6FA"/>
          </w:tcPr>
          <w:p>
            <w:pPr>
              <w:pStyle w:val="Compact"/>
              <w:spacing w:after="20" w:before="20"/>
              <w:jc w:val="left"/>
            </w:pPr>
            <w:r>
              <w:rPr>
                <w:sz w:val="19"/>
              </w:rPr>
              <w:t xml:space="preserve">Delivery temperature, power</w:t>
            </w:r>
          </w:p>
        </w:tc>
        <w:tc>
          <w:tcPr>
            <w:shd w:val="clear" w:color="auto" w:fill="F2F6FA"/>
          </w:tcPr>
          <w:p>
            <w:pPr>
              <w:pStyle w:val="Compact"/>
              <w:spacing w:after="20" w:before="20"/>
              <w:jc w:val="left"/>
            </w:pPr>
            <w:r>
              <w:rPr>
                <w:sz w:val="19"/>
              </w:rPr>
              <w:t xml:space="preserve">compressor efficiency</w:t>
            </w:r>
            <w:r>
              <w:rPr>
                <w:sz w:val="19"/>
              </w:rPr>
              <w:t xml:space="preserve"> </w:t>
            </w:r>
            <m:oMath>
              <m:sSub>
                <m:e>
                  <m:r>
                    <m:t>η</m:t>
                  </m:r>
                </m:e>
                <m:sub>
                  <m:r>
                    <m:t>p</m:t>
                  </m:r>
                </m:sub>
              </m:sSub>
            </m:oMath>
          </w:p>
        </w:tc>
        <w:tc>
          <w:tcPr>
            <w:shd w:val="clear" w:color="auto" w:fill="F2F6FA"/>
          </w:tcPr>
          <w:p>
            <w:pPr>
              <w:pStyle w:val="Compact"/>
              <w:spacing w:after="20" w:before="20"/>
              <w:jc w:val="center"/>
            </w:pPr>
            <w:r>
              <w:rPr>
                <w:sz w:val="19"/>
              </w:rPr>
              <w:t xml:space="preserve">−1.00</w:t>
            </w:r>
          </w:p>
        </w:tc>
      </w:tr>
      <w:tr>
        <w:trPr>
          <w:cantSplit/>
        </w:trPr>
        <w:tc>
          <w:tcPr/>
          <w:p>
            <w:pPr>
              <w:pStyle w:val="Compact"/>
              <w:spacing w:after="20" w:before="20"/>
              <w:jc w:val="left"/>
            </w:pPr>
            <w:r>
              <w:rPr>
                <w:sz w:val="19"/>
              </w:rPr>
              <w:t xml:space="preserve">First-rotor tip diameter</w:t>
            </w:r>
          </w:p>
        </w:tc>
        <w:tc>
          <w:tcPr/>
          <w:p>
            <w:pPr>
              <w:pStyle w:val="Compact"/>
              <w:spacing w:after="20" w:before="20"/>
              <w:jc w:val="left"/>
            </w:pPr>
            <w:r>
              <w:rPr>
                <w:sz w:val="19"/>
              </w:rPr>
              <w:t xml:space="preserve">inlet Mach (−0.73) and hub/tip ratio (+0.67)</w:t>
            </w:r>
          </w:p>
        </w:tc>
        <w:tc>
          <w:tcPr/>
          <w:p>
            <w:pPr>
              <w:pStyle w:val="Compact"/>
              <w:spacing w:after="20" w:before="20"/>
              <w:jc w:val="center"/>
            </w:pPr>
            <w:r>
              <w:rPr>
                <w:sz w:val="19"/>
              </w:rPr>
              <w:t xml:space="preserve">—</w:t>
            </w:r>
          </w:p>
        </w:tc>
      </w:tr>
      <w:tr>
        <w:trPr>
          <w:cantSplit/>
        </w:trPr>
        <w:tc>
          <w:tcPr>
            <w:shd w:val="clear" w:color="auto" w:fill="F2F6FA"/>
          </w:tcPr>
          <w:p>
            <w:pPr>
              <w:pStyle w:val="Compact"/>
              <w:spacing w:after="20" w:before="20"/>
              <w:jc w:val="left"/>
            </w:pPr>
            <w:r>
              <w:rPr>
                <w:sz w:val="19"/>
              </w:rPr>
              <w:t xml:space="preserve">Relative tip Mach number</w:t>
            </w:r>
          </w:p>
        </w:tc>
        <w:tc>
          <w:tcPr>
            <w:shd w:val="clear" w:color="auto" w:fill="F2F6FA"/>
          </w:tcPr>
          <w:p>
            <w:pPr>
              <w:pStyle w:val="Compact"/>
              <w:spacing w:after="20" w:before="20"/>
              <w:jc w:val="left"/>
            </w:pPr>
            <w:r>
              <w:rPr>
                <w:sz w:val="19"/>
              </w:rPr>
              <w:t xml:space="preserve">hub/tip ratio</w:t>
            </w:r>
          </w:p>
        </w:tc>
        <w:tc>
          <w:tcPr>
            <w:shd w:val="clear" w:color="auto" w:fill="F2F6FA"/>
          </w:tcPr>
          <w:p>
            <w:pPr>
              <w:pStyle w:val="Compact"/>
              <w:spacing w:after="20" w:before="20"/>
              <w:jc w:val="center"/>
            </w:pPr>
            <w:r>
              <w:rPr>
                <w:sz w:val="19"/>
              </w:rPr>
              <w:t xml:space="preserve">+0.95</w:t>
            </w:r>
          </w:p>
        </w:tc>
      </w:tr>
      <w:tr>
        <w:trPr>
          <w:cantSplit/>
        </w:trPr>
        <w:tc>
          <w:tcPr/>
          <w:p>
            <w:pPr>
              <w:pStyle w:val="Compact"/>
              <w:spacing w:after="20" w:before="20"/>
              <w:jc w:val="left"/>
            </w:pPr>
            <w:r>
              <w:rPr>
                <w:sz w:val="19"/>
              </w:rPr>
              <w:t xml:space="preserve">Exit/inlet area ratio</w:t>
            </w:r>
          </w:p>
        </w:tc>
        <w:tc>
          <w:tcPr/>
          <w:p>
            <w:pPr>
              <w:pStyle w:val="Compact"/>
              <w:spacing w:after="20" w:before="20"/>
              <w:jc w:val="left"/>
            </w:pPr>
            <w:r>
              <w:rPr>
                <w:sz w:val="19"/>
              </w:rPr>
              <w:t xml:space="preserve">exit Mach (−0.83), inlet Mach (+0.53)</w:t>
            </w:r>
          </w:p>
        </w:tc>
        <w:tc>
          <w:tcPr/>
          <w:p>
            <w:pPr>
              <w:pStyle w:val="Compact"/>
              <w:spacing w:after="20" w:before="20"/>
              <w:jc w:val="center"/>
            </w:pPr>
            <w:r>
              <w:rPr>
                <w:sz w:val="19"/>
              </w:rPr>
              <w:t xml:space="preserve">—</w:t>
            </w:r>
          </w:p>
        </w:tc>
      </w:tr>
      <w:tr>
        <w:trPr>
          <w:cantSplit/>
        </w:trPr>
        <w:tc>
          <w:tcPr>
            <w:shd w:val="clear" w:color="auto" w:fill="F2F6FA"/>
          </w:tcPr>
          <w:p>
            <w:pPr>
              <w:pStyle w:val="Compact"/>
              <w:spacing w:after="20" w:before="20"/>
              <w:jc w:val="left"/>
            </w:pPr>
            <w:r>
              <w:rPr>
                <w:sz w:val="19"/>
              </w:rPr>
              <w:t xml:space="preserve">Root stress</w:t>
            </w:r>
          </w:p>
        </w:tc>
        <w:tc>
          <w:tcPr>
            <w:shd w:val="clear" w:color="auto" w:fill="F2F6FA"/>
          </w:tcPr>
          <w:p>
            <w:pPr>
              <w:pStyle w:val="Compact"/>
              <w:spacing w:after="20" w:before="20"/>
              <w:jc w:val="left"/>
            </w:pPr>
            <w:r>
              <w:rPr>
                <w:sz w:val="19"/>
              </w:rPr>
              <w:t xml:space="preserve">taper factor (+0.77), inlet Mach (−0.63)</w:t>
            </w:r>
          </w:p>
        </w:tc>
        <w:tc>
          <w:tcPr>
            <w:shd w:val="clear" w:color="auto" w:fill="F2F6FA"/>
          </w:tcPr>
          <w:p>
            <w:pPr>
              <w:pStyle w:val="Compact"/>
              <w:spacing w:after="20" w:before="20"/>
              <w:jc w:val="center"/>
            </w:pPr>
            <w:r>
              <w:rPr>
                <w:sz w:val="19"/>
              </w:rPr>
              <w:t xml:space="preserve">—</w:t>
            </w:r>
          </w:p>
        </w:tc>
      </w:tr>
    </w:tbl>
    <w:p>
      <w:pPr>
        <w:pStyle w:val="CaptionedFigure"/>
        <w:keepNext/>
      </w:pPr>
      <w:r>
        <w:drawing>
          <wp:inline>
            <wp:extent cx="5892800" cy="1532128"/>
            <wp:effectExtent b="0" l="0" r="0" t="0"/>
            <wp:docPr descr="Figure 7. Spread of four key results caused by the unpublished inputs (median and 5/95 % lines)." title="" id="61" name="Picture"/>
            <a:graphic>
              <a:graphicData uri="http://schemas.openxmlformats.org/drawingml/2006/picture">
                <pic:pic>
                  <pic:nvPicPr>
                    <pic:cNvPr descr="../../analysis/fig_D_montecarlo.png" id="62" name="Picture"/>
                    <pic:cNvPicPr>
                      <a:picLocks noChangeArrowheads="1" noChangeAspect="1"/>
                    </pic:cNvPicPr>
                  </pic:nvPicPr>
                  <pic:blipFill>
                    <a:blip r:embed="rId60"/>
                    <a:stretch>
                      <a:fillRect/>
                    </a:stretch>
                  </pic:blipFill>
                  <pic:spPr bwMode="auto">
                    <a:xfrm>
                      <a:off x="0" y="0"/>
                      <a:ext cx="5892800" cy="1532128"/>
                    </a:xfrm>
                    <a:prstGeom prst="rect">
                      <a:avLst/>
                    </a:prstGeom>
                    <a:noFill/>
                    <a:ln w="9525">
                      <a:noFill/>
                      <a:headEnd/>
                      <a:tailEnd/>
                    </a:ln>
                  </pic:spPr>
                </pic:pic>
              </a:graphicData>
            </a:graphic>
          </wp:inline>
        </w:drawing>
      </w:r>
    </w:p>
    <w:p>
      <w:pPr>
        <w:pStyle w:val="ImageCaption"/>
      </w:pPr>
      <w:r>
        <w:t xml:space="preserve">Figure 7. Spread of four key results caused by the unpublished inputs (median and 5/95 % lines).</w:t>
      </w:r>
    </w:p>
    <w:p>
      <w:pPr>
        <w:pStyle w:val="BodyText"/>
      </w:pPr>
      <w:r>
        <w:t xml:space="preserve">This table is the most useful planning tool we have.</w:t>
      </w:r>
      <w:r>
        <w:t xml:space="preserve"> </w:t>
      </w:r>
      <w:r>
        <w:rPr>
          <w:bCs/>
          <w:b/>
        </w:rPr>
        <w:t xml:space="preserve">Any new evidence about the hub-to-tip ratio or the inlet annulus</w:t>
      </w:r>
      <w:r>
        <w:t xml:space="preserve"> </w:t>
      </w:r>
      <w:r>
        <w:t xml:space="preserve">(a cross-section drawing, a measured photograph of the rotor, a paper giving the first-stage tip speed) will tighten the geometry far more than anything else.</w:t>
      </w:r>
      <w:r>
        <w:t xml:space="preserve"> </w:t>
      </w:r>
      <w:r>
        <w:rPr>
          <w:bCs/>
          <w:b/>
        </w:rPr>
        <w:t xml:space="preserve">Any evidence about efficiency</w:t>
      </w:r>
      <w:r>
        <w:t xml:space="preserve"> </w:t>
      </w:r>
      <w:r>
        <w:t xml:space="preserve">(a published compressor map, test data) will tighten the thermodynamics.</w:t>
      </w:r>
    </w:p>
    <w:bookmarkEnd w:id="63"/>
    <w:bookmarkStart w:id="64" w:name="Xa3a94c8f448de346e1fb97f54309aa813c5d905"/>
    <w:p>
      <w:pPr>
        <w:pStyle w:val="Heading1"/>
      </w:pPr>
      <w:r>
        <w:rPr>
          <w:rStyle w:val="SectionNumber"/>
        </w:rPr>
        <w:t xml:space="preserve">11</w:t>
      </w:r>
      <w:r>
        <w:tab/>
      </w:r>
      <w:r>
        <w:t xml:space="preserve">How the AI was used, and where it went wrong</w:t>
      </w:r>
    </w:p>
    <w:p>
      <w:pPr>
        <w:pStyle w:val="FirstParagraph"/>
      </w:pPr>
      <w:r>
        <w:t xml:space="preserve">Since this project is also a study of AI, it is worth recording honestly what happened in this phase.</w:t>
      </w:r>
    </w:p>
    <w:p>
      <w:pPr>
        <w:numPr>
          <w:ilvl w:val="0"/>
          <w:numId w:val="1004"/>
        </w:numPr>
        <w:pStyle w:val="Compact"/>
      </w:pPr>
      <w:r>
        <w:rPr>
          <w:bCs/>
          <w:b/>
        </w:rPr>
        <w:t xml:space="preserve">What worked well.</w:t>
      </w:r>
      <w:r>
        <w:t xml:space="preserve"> </w:t>
      </w:r>
      <w:r>
        <w:t xml:space="preserve">Reading and cross-checking eight technical documents in minutes; finding that the dossier’s scaling statement contradicts the catalogue; building a real-gas, uncertainty-aware analysis that runs in seconds; turning the supervisor’s two comments into concrete models.</w:t>
      </w:r>
    </w:p>
    <w:p>
      <w:pPr>
        <w:numPr>
          <w:ilvl w:val="0"/>
          <w:numId w:val="1004"/>
        </w:numPr>
        <w:pStyle w:val="Compact"/>
      </w:pPr>
      <w:r>
        <w:rPr>
          <w:bCs/>
          <w:b/>
        </w:rPr>
        <w:t xml:space="preserve">Errors the AI made and corrected.</w:t>
      </w:r>
      <w:r>
        <w:t xml:space="preserve"> </w:t>
      </w:r>
      <w:r>
        <w:t xml:space="preserve">(1) A numerical-integration error in the first version of the compression code (Section 6). (2) A first efficiency range of 0.89–0.93 that was</w:t>
      </w:r>
      <w:r>
        <w:t xml:space="preserve"> </w:t>
      </w:r>
      <w:r>
        <w:rPr>
          <w:iCs/>
          <w:i/>
        </w:rPr>
        <w:t xml:space="preserve">higher</w:t>
      </w:r>
      <w:r>
        <w:t xml:space="preserve"> </w:t>
      </w:r>
      <w:r>
        <w:t xml:space="preserve">than the Phase 1 value. It was lowered once the supervisor’s comment arrived. (3) In Phase 1, the constant-</w:t>
      </w:r>
      <m:oMath>
        <m:sSub>
          <m:e>
            <m:r>
              <m:t>c</m:t>
            </m:r>
          </m:e>
          <m:sub>
            <m:r>
              <m:t>p</m:t>
            </m:r>
          </m:sub>
        </m:sSub>
      </m:oMath>
      <w:r>
        <w:t xml:space="preserve"> </w:t>
      </w:r>
      <w:r>
        <w:t xml:space="preserve">and equal-stage-ratio simplifications were used without warning how much they matter.</w:t>
      </w:r>
    </w:p>
    <w:p>
      <w:pPr>
        <w:numPr>
          <w:ilvl w:val="0"/>
          <w:numId w:val="1004"/>
        </w:numPr>
        <w:pStyle w:val="Compact"/>
      </w:pPr>
      <w:r>
        <w:rPr>
          <w:bCs/>
          <w:b/>
        </w:rPr>
        <w:t xml:space="preserve">What the AI could not do.</w:t>
      </w:r>
      <w:r>
        <w:t xml:space="preserve"> </w:t>
      </w:r>
      <w:r>
        <w:t xml:space="preserve">It could not open the groupmate’s shared chat link (it requires a login). It cannot see blade geometry that is not published. Every geometric number in this report is therefore a range, not a reconstruction.</w:t>
      </w:r>
    </w:p>
    <w:p>
      <w:pPr>
        <w:numPr>
          <w:ilvl w:val="0"/>
          <w:numId w:val="1004"/>
        </w:numPr>
        <w:pStyle w:val="Compact"/>
      </w:pPr>
      <w:r>
        <w:rPr>
          <w:bCs/>
          <w:b/>
        </w:rPr>
        <w:t xml:space="preserve">Lesson for us.</w:t>
      </w:r>
      <w:r>
        <w:t xml:space="preserve"> </w:t>
      </w:r>
      <w:r>
        <w:t xml:space="preserve">The AI is fast at the mechanics and good at cross-checking sources, but its</w:t>
      </w:r>
      <w:r>
        <w:t xml:space="preserve"> </w:t>
      </w:r>
      <w:r>
        <w:rPr>
          <w:iCs/>
          <w:i/>
        </w:rPr>
        <w:t xml:space="preserve">assumptions</w:t>
      </w:r>
      <w:r>
        <w:t xml:space="preserve"> </w:t>
      </w:r>
      <w:r>
        <w:t xml:space="preserve">need the same scrutiny the supervisor applied. The ranges-and-sensitivity approach makes that scrutiny possible.</w:t>
      </w:r>
    </w:p>
    <w:bookmarkEnd w:id="64"/>
    <w:bookmarkStart w:id="65" w:name="preparing-for-the-15-aban-report"/>
    <w:p>
      <w:pPr>
        <w:pStyle w:val="Heading1"/>
      </w:pPr>
      <w:r>
        <w:rPr>
          <w:rStyle w:val="SectionNumber"/>
        </w:rPr>
        <w:t xml:space="preserve">12</w:t>
      </w:r>
      <w:r>
        <w:tab/>
      </w:r>
      <w:r>
        <w:t xml:space="preserve">Preparing for the 15 Aban report</w:t>
      </w:r>
    </w:p>
    <w:p>
      <w:pPr>
        <w:pStyle w:val="FirstParagraph"/>
      </w:pPr>
      <w:r>
        <w:t xml:space="preserve">The 15 Aban report asks for the reverse engineering</w:t>
      </w:r>
      <w:r>
        <w:t xml:space="preserve"> </w:t>
      </w:r>
      <w:r>
        <w:t xml:space="preserve">“</w:t>
      </w:r>
      <w:r>
        <w:t xml:space="preserve">with fluid, thermodynamic, vibration and mechanical calculations</w:t>
      </w:r>
      <w:r>
        <w:t xml:space="preserve">”</w:t>
      </w:r>
      <w:r>
        <w:t xml:space="preserve">. This report covers the thermodynamic frame and the first-stage sizing. Still to do:</w:t>
      </w:r>
    </w:p>
    <w:p>
      <w:pPr>
        <w:numPr>
          <w:ilvl w:val="0"/>
          <w:numId w:val="1005"/>
        </w:numPr>
        <w:pStyle w:val="Compact"/>
      </w:pPr>
      <w:r>
        <w:rPr>
          <w:bCs/>
          <w:b/>
        </w:rPr>
        <w:t xml:space="preserve">Decide the target rating</w:t>
      </w:r>
      <w:r>
        <w:t xml:space="preserve"> </w:t>
      </w:r>
      <w:r>
        <w:t xml:space="preserve">(448 MW or 574 MW; Section 9).</w:t>
      </w:r>
    </w:p>
    <w:p>
      <w:pPr>
        <w:numPr>
          <w:ilvl w:val="0"/>
          <w:numId w:val="1005"/>
        </w:numPr>
        <w:pStyle w:val="Compact"/>
      </w:pPr>
      <w:r>
        <w:rPr>
          <w:bCs/>
          <w:b/>
        </w:rPr>
        <w:t xml:space="preserve">Choose the annulus shape</w:t>
      </w:r>
      <w:r>
        <w:t xml:space="preserve"> </w:t>
      </w:r>
      <w:r>
        <w:t xml:space="preserve">(constant tip, constant mean or constant hub radius, or a blend) and use it to fix the radius at every stage. This is the single biggest missing piece.</w:t>
      </w:r>
    </w:p>
    <w:p>
      <w:pPr>
        <w:numPr>
          <w:ilvl w:val="0"/>
          <w:numId w:val="1005"/>
        </w:numPr>
        <w:pStyle w:val="Compact"/>
      </w:pPr>
      <w:r>
        <w:rPr>
          <w:bCs/>
          <w:b/>
        </w:rPr>
        <w:t xml:space="preserve">Mean-line design, stage by stage:</w:t>
      </w:r>
      <w:r>
        <w:t xml:space="preserve"> </w:t>
      </w:r>
      <w:r>
        <w:t xml:space="preserve">blade speed at each stage, velocity triangles from the work distribution of Section 7, degree of reaction, de Haller and diffusion-factor checks, and blade counts and chords from the diffusion-factor limits.</w:t>
      </w:r>
    </w:p>
    <w:p>
      <w:pPr>
        <w:numPr>
          <w:ilvl w:val="0"/>
          <w:numId w:val="1005"/>
        </w:numPr>
        <w:pStyle w:val="Compact"/>
      </w:pPr>
      <w:r>
        <w:rPr>
          <w:bCs/>
          <w:b/>
        </w:rPr>
        <w:t xml:space="preserve">Radial variation:</w:t>
      </w:r>
      <w:r>
        <w:t xml:space="preserve"> </w:t>
      </w:r>
      <w:r>
        <w:t xml:space="preserve">free-vortex or controlled-vortex twist for the long front blades.</w:t>
      </w:r>
    </w:p>
    <w:p>
      <w:pPr>
        <w:numPr>
          <w:ilvl w:val="0"/>
          <w:numId w:val="1005"/>
        </w:numPr>
        <w:pStyle w:val="Compact"/>
      </w:pPr>
      <w:r>
        <w:rPr>
          <w:bCs/>
          <w:b/>
        </w:rPr>
        <w:t xml:space="preserve">Mechanical:</w:t>
      </w:r>
      <w:r>
        <w:t xml:space="preserve"> </w:t>
      </w:r>
      <w:r>
        <w:t xml:space="preserve">root stress of every rotor row with a stated material; disc stress for the first stage.</w:t>
      </w:r>
    </w:p>
    <w:p>
      <w:pPr>
        <w:numPr>
          <w:ilvl w:val="0"/>
          <w:numId w:val="1005"/>
        </w:numPr>
        <w:pStyle w:val="Compact"/>
      </w:pPr>
      <w:r>
        <w:rPr>
          <w:bCs/>
          <w:b/>
        </w:rPr>
        <w:t xml:space="preserve">Vibration:</w:t>
      </w:r>
      <w:r>
        <w:t xml:space="preserve"> </w:t>
      </w:r>
      <w:r>
        <w:t xml:space="preserve">first natural frequencies of the front blades against 50 Hz engine orders and blade-passing frequencies, summarised on a Campbell diagram.</w:t>
      </w:r>
    </w:p>
    <w:p>
      <w:pPr>
        <w:numPr>
          <w:ilvl w:val="0"/>
          <w:numId w:val="1005"/>
        </w:numPr>
        <w:pStyle w:val="Compact"/>
      </w:pPr>
      <w:r>
        <w:rPr>
          <w:bCs/>
          <w:b/>
        </w:rPr>
        <w:t xml:space="preserve">Off-design and stability:</w:t>
      </w:r>
      <w:r>
        <w:t xml:space="preserve"> </w:t>
      </w:r>
      <w:r>
        <w:t xml:space="preserve">the role of the IGV and three variable stator rows, and the 60 % speed rotating-stall observation (D6).</w:t>
      </w:r>
    </w:p>
    <w:p>
      <w:pPr>
        <w:pStyle w:val="FirstParagraph"/>
      </w:pPr>
      <w:r>
        <w:rPr>
          <w:bCs/>
          <w:b/>
        </w:rPr>
        <w:t xml:space="preserve">Evidence that would help most:</w:t>
      </w:r>
      <w:r>
        <w:t xml:space="preserve"> </w:t>
      </w:r>
      <w:r>
        <w:t xml:space="preserve">a cross-section drawing of the J-series compressor, measurements from the M701J rotor photograph, the D1 product-page text, and any paper giving stage-level data.</w:t>
      </w:r>
    </w:p>
    <w:p>
      <w:pPr>
        <w:pStyle w:val="BodyText"/>
      </w:pPr>
      <w:r>
        <w:rPr>
          <w:bCs/>
          <w:b/>
        </w:rPr>
        <w:t xml:space="preserve">Questions for the supervisor:</w:t>
      </w:r>
      <w:r>
        <w:t xml:space="preserve"> </w:t>
      </w:r>
      <w:r>
        <w:t xml:space="preserve">Is the efficiency range 0.86–0.91 acceptable, given the cycle cross-check? Which rating should we target? Is the non-uniform work distribution of Section 7 an acceptable starting point for the mean-line design?</w:t>
      </w:r>
    </w:p>
    <w:bookmarkEnd w:id="65"/>
    <w:bookmarkStart w:id="66" w:name="sources"/>
    <w:p>
      <w:pPr>
        <w:pStyle w:val="Heading1"/>
      </w:pPr>
      <w:r>
        <w:t xml:space="preserve">Sources</w:t>
      </w:r>
    </w:p>
    <w:p>
      <w:pPr>
        <w:pStyle w:val="Reference"/>
      </w:pPr>
      <w:r>
        <w:t xml:space="preserve">[D1] Mitsubishi Power,</w:t>
      </w:r>
      <w:r>
        <w:t xml:space="preserve"> </w:t>
      </w:r>
      <w:r>
        <w:t xml:space="preserve">“</w:t>
      </w:r>
      <w:r>
        <w:t xml:space="preserve">M701J/JAC Series,</w:t>
      </w:r>
      <w:r>
        <w:t xml:space="preserve">”</w:t>
      </w:r>
      <w:r>
        <w:t xml:space="preserve"> </w:t>
      </w:r>
      <w:r>
        <w:t xml:space="preserve">product page (figures: correction curves, plant layouts, rotor photograph). https://power.mhi.com/products/gasturbines/lineup/m701j</w:t>
      </w:r>
    </w:p>
    <w:p>
      <w:pPr>
        <w:pStyle w:val="Reference"/>
      </w:pPr>
      <w:r>
        <w:t xml:space="preserve">[D2] Mitsubishi Power,</w:t>
      </w:r>
      <w:r>
        <w:t xml:space="preserve"> </w:t>
      </w:r>
      <w:r>
        <w:rPr>
          <w:iCs/>
          <w:i/>
        </w:rPr>
        <w:t xml:space="preserve">GTCC Gas Turbine Combined Cycle Power Plants</w:t>
      </w:r>
      <w:r>
        <w:t xml:space="preserve">, catalogue, 2026. https://power.mhi.com/catalogue/pdf/gtcc.pdf</w:t>
      </w:r>
    </w:p>
    <w:p>
      <w:pPr>
        <w:pStyle w:val="Reference"/>
      </w:pPr>
      <w:r>
        <w:t xml:space="preserve">[D3] Y. Takashima et al.,</w:t>
      </w:r>
      <w:r>
        <w:t xml:space="preserve"> </w:t>
      </w:r>
      <w:r>
        <w:t xml:space="preserve">“</w:t>
      </w:r>
      <w:r>
        <w:t xml:space="preserve">Successful 10 Units Completion of M701JAC Gas Turbine Combined Cycle in Thailand,</w:t>
      </w:r>
      <w:r>
        <w:t xml:space="preserve">”</w:t>
      </w:r>
      <w:r>
        <w:t xml:space="preserve"> </w:t>
      </w:r>
      <w:r>
        <w:rPr>
          <w:iCs/>
          <w:i/>
        </w:rPr>
        <w:t xml:space="preserve">MHI Technical Review</w:t>
      </w:r>
      <w:r>
        <w:t xml:space="preserve"> </w:t>
      </w:r>
      <w:r>
        <w:t xml:space="preserve">62(3), 2025.</w:t>
      </w:r>
    </w:p>
    <w:p>
      <w:pPr>
        <w:pStyle w:val="Reference"/>
      </w:pPr>
      <w:r>
        <w:t xml:space="preserve">[D4] K. Takamura et al.,</w:t>
      </w:r>
      <w:r>
        <w:t xml:space="preserve"> </w:t>
      </w:r>
      <w:r>
        <w:t xml:space="preserve">“</w:t>
      </w:r>
      <w:r>
        <w:t xml:space="preserve">Development of 1650°C Class Next Generation JAC Gas Turbine based on J Experience,</w:t>
      </w:r>
      <w:r>
        <w:t xml:space="preserve">”</w:t>
      </w:r>
      <w:r>
        <w:t xml:space="preserve"> </w:t>
      </w:r>
      <w:r>
        <w:rPr>
          <w:iCs/>
          <w:i/>
        </w:rPr>
        <w:t xml:space="preserve">MHI Technical Review</w:t>
      </w:r>
      <w:r>
        <w:t xml:space="preserve"> </w:t>
      </w:r>
      <w:r>
        <w:t xml:space="preserve">56(3), 2019.</w:t>
      </w:r>
    </w:p>
    <w:p>
      <w:pPr>
        <w:pStyle w:val="Reference"/>
      </w:pPr>
      <w:r>
        <w:t xml:space="preserve">[D5] S. Hada et al.,</w:t>
      </w:r>
      <w:r>
        <w:t xml:space="preserve"> </w:t>
      </w:r>
      <w:r>
        <w:t xml:space="preserve">“</w:t>
      </w:r>
      <w:r>
        <w:t xml:space="preserve">High-efficiency Gas Turbine Development applying 1600°C class</w:t>
      </w:r>
      <w:r>
        <w:t xml:space="preserve"> </w:t>
      </w:r>
      <w:r>
        <w:t xml:space="preserve">‘</w:t>
      </w:r>
      <w:r>
        <w:t xml:space="preserve">J</w:t>
      </w:r>
      <w:r>
        <w:t xml:space="preserve">’</w:t>
      </w:r>
      <w:r>
        <w:t xml:space="preserve"> </w:t>
      </w:r>
      <w:r>
        <w:t xml:space="preserve">Technology,</w:t>
      </w:r>
      <w:r>
        <w:t xml:space="preserve">”</w:t>
      </w:r>
      <w:r>
        <w:t xml:space="preserve"> </w:t>
      </w:r>
      <w:r>
        <w:rPr>
          <w:iCs/>
          <w:i/>
        </w:rPr>
        <w:t xml:space="preserve">MHI Technical Review</w:t>
      </w:r>
      <w:r>
        <w:t xml:space="preserve"> </w:t>
      </w:r>
      <w:r>
        <w:t xml:space="preserve">52(2), 2015.</w:t>
      </w:r>
    </w:p>
    <w:p>
      <w:pPr>
        <w:pStyle w:val="Reference"/>
      </w:pPr>
      <w:r>
        <w:t xml:space="preserve">[D6] S. Hada et al.,</w:t>
      </w:r>
      <w:r>
        <w:t xml:space="preserve"> </w:t>
      </w:r>
      <w:r>
        <w:t xml:space="preserve">“</w:t>
      </w:r>
      <w:r>
        <w:t xml:space="preserve">Test Results of the World’s First 1,600°C J-series Gas Turbine,</w:t>
      </w:r>
      <w:r>
        <w:t xml:space="preserve">”</w:t>
      </w:r>
      <w:r>
        <w:t xml:space="preserve"> </w:t>
      </w:r>
      <w:r>
        <w:rPr>
          <w:iCs/>
          <w:i/>
        </w:rPr>
        <w:t xml:space="preserve">MHI Technical Review</w:t>
      </w:r>
      <w:r>
        <w:t xml:space="preserve"> </w:t>
      </w:r>
      <w:r>
        <w:t xml:space="preserve">49(1), 2012.</w:t>
      </w:r>
    </w:p>
    <w:p>
      <w:pPr>
        <w:pStyle w:val="Reference"/>
      </w:pPr>
      <w:r>
        <w:t xml:space="preserve">[D7] E. Ito et al.,</w:t>
      </w:r>
      <w:r>
        <w:t xml:space="preserve"> </w:t>
      </w:r>
      <w:r>
        <w:t xml:space="preserve">“</w:t>
      </w:r>
      <w:r>
        <w:t xml:space="preserve">Key Technologies for Ultra-High Temperature Gas Turbines,</w:t>
      </w:r>
      <w:r>
        <w:t xml:space="preserve">”</w:t>
      </w:r>
      <w:r>
        <w:t xml:space="preserve"> </w:t>
      </w:r>
      <w:r>
        <w:rPr>
          <w:iCs/>
          <w:i/>
        </w:rPr>
        <w:t xml:space="preserve">MHI Technical Review</w:t>
      </w:r>
      <w:r>
        <w:t xml:space="preserve"> </w:t>
      </w:r>
      <w:r>
        <w:t xml:space="preserve">52(2), 2015.</w:t>
      </w:r>
    </w:p>
    <w:p>
      <w:pPr>
        <w:pStyle w:val="Reference"/>
      </w:pPr>
      <w:r>
        <w:t xml:space="preserve">[D8] K. Ishizaka et al.,</w:t>
      </w:r>
      <w:r>
        <w:t xml:space="preserve"> </w:t>
      </w:r>
      <w:r>
        <w:t xml:space="preserve">“</w:t>
      </w:r>
      <w:r>
        <w:t xml:space="preserve">Key Technologies for 1700°C Class Ultra High Temperature Gas Turbine,</w:t>
      </w:r>
      <w:r>
        <w:t xml:space="preserve">”</w:t>
      </w:r>
      <w:r>
        <w:t xml:space="preserve"> </w:t>
      </w:r>
      <w:r>
        <w:rPr>
          <w:iCs/>
          <w:i/>
        </w:rPr>
        <w:t xml:space="preserve">MHI Technical Review</w:t>
      </w:r>
      <w:r>
        <w:t xml:space="preserve"> </w:t>
      </w:r>
      <w:r>
        <w:t xml:space="preserve">54(3), 2017.</w:t>
      </w:r>
    </w:p>
    <w:p>
      <w:pPr>
        <w:pStyle w:val="Reference"/>
      </w:pPr>
      <w:r>
        <w:t xml:space="preserve">[T1] S. L. Dixon and C. A. Hall,</w:t>
      </w:r>
      <w:r>
        <w:t xml:space="preserve"> </w:t>
      </w:r>
      <w:r>
        <w:rPr>
          <w:iCs/>
          <w:i/>
        </w:rPr>
        <w:t xml:space="preserve">Fluid Mechanics and Thermodynamics of Turbomachinery</w:t>
      </w:r>
      <w:r>
        <w:t xml:space="preserve">, 7th ed. Butterworth-Heinemann, 2014.</w:t>
      </w:r>
    </w:p>
    <w:p>
      <w:pPr>
        <w:pStyle w:val="Reference"/>
      </w:pPr>
      <w:r>
        <w:t xml:space="preserve">[T2] H. I. H. Saravanamuttoo et al.,</w:t>
      </w:r>
      <w:r>
        <w:t xml:space="preserve"> </w:t>
      </w:r>
      <w:r>
        <w:rPr>
          <w:iCs/>
          <w:i/>
        </w:rPr>
        <w:t xml:space="preserve">Gas Turbine Theory</w:t>
      </w:r>
      <w:r>
        <w:t xml:space="preserve">, 7th ed. Pearson, 2017.</w:t>
      </w:r>
    </w:p>
    <w:p>
      <w:pPr>
        <w:pStyle w:val="Reference"/>
      </w:pPr>
      <w:r>
        <w:t xml:space="preserve">[T3] N. Montazerin,</w:t>
      </w:r>
      <w:r>
        <w:t xml:space="preserve"> </w:t>
      </w:r>
      <w:r>
        <w:rPr>
          <w:iCs/>
          <w:i/>
        </w:rPr>
        <w:t xml:space="preserve">Turbomachines: Basic Design and Application</w:t>
      </w:r>
      <w:r>
        <w:t xml:space="preserve"> </w:t>
      </w:r>
      <w:r>
        <w:t xml:space="preserve">(in Persian). Amirkabir University of Technology Press, 1999.</w:t>
      </w:r>
    </w:p>
    <w:p>
      <w:pPr>
        <w:pStyle w:val="Reference"/>
      </w:pPr>
      <w:r>
        <w:t xml:space="preserve">[T4] D. G. Goodwin et al.,</w:t>
      </w:r>
      <w:r>
        <w:t xml:space="preserve"> </w:t>
      </w:r>
      <w:r>
        <w:rPr>
          <w:iCs/>
          <w:i/>
        </w:rPr>
        <w:t xml:space="preserve">Cantera: An object-oriented software toolkit for chemical kinetics, thermodynamics, and transport processes</w:t>
      </w:r>
      <w:r>
        <w:t xml:space="preserve">, version 3.2. https://www.cantera.org</w:t>
      </w:r>
    </w:p>
    <w:bookmarkEnd w:id="66"/>
    <w:bookmarkStart w:id="67" w:name="X7aadd74eca4ca0655232d64a3421053f64ba3dc"/>
    <w:p>
      <w:pPr>
        <w:pStyle w:val="Heading1"/>
      </w:pPr>
      <w:r>
        <w:t xml:space="preserve">Appendix A — Full stage table (448 MW rating)</w:t>
      </w:r>
    </w:p>
    <w:p>
      <w:pPr>
        <w:pStyle w:val="TableCaption"/>
      </w:pPr>
      <w:r>
        <w:t xml:space="preserve">Table A1. Stage-by-stage results with the non-uniform work distribution.</w:t>
      </w:r>
    </w:p>
    <w:tbl>
      <w:tblPr>
        <w:tblStyle w:val="Table"/>
        <w:tblW w:type="pct" w:w="5000"/>
        <w:tblLook w:firstRow="1" w:lastRow="0" w:firstColumn="0" w:lastColumn="0" w:noHBand="0" w:noVBand="0" w:val="0020"/>
        <w:tblCaption w:val="Table A1. Stage-by-stage results with the non-uniform work distribution."/>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707"/>
        <w:gridCol w:w="2404"/>
        <w:gridCol w:w="1838"/>
        <w:gridCol w:w="1414"/>
        <w:gridCol w:w="1555"/>
      </w:tblGrid>
      <w:tr>
        <w:trPr>
          <w:tblHeader w:val="true"/>
          <w:tblHeader w:val="true"/>
          <w:cantSplit/>
        </w:trPr>
        <w:tc>
          <w:tcPr>
            <w:shd w:val="clear" w:color="auto" w:fill="1F3864"/>
          </w:tcPr>
          <w:p>
            <w:pPr>
              <w:pStyle w:val="Compact"/>
              <w:spacing w:after="20" w:before="20"/>
              <w:jc w:val="center"/>
            </w:pPr>
            <w:r>
              <w:rPr>
                <w:b/>
                <w:color w:val="FFFFFF"/>
                <w:sz w:val="19"/>
              </w:rPr>
              <w:t xml:space="preserve">Stage</w:t>
            </w:r>
          </w:p>
        </w:tc>
        <w:tc>
          <w:tcPr>
            <w:shd w:val="clear" w:color="auto" w:fill="1F3864"/>
          </w:tcPr>
          <w:p>
            <w:pPr>
              <w:pStyle w:val="Compact"/>
              <w:spacing w:after="20" w:before="20"/>
              <w:jc w:val="center"/>
            </w:pPr>
            <w:r>
              <w:rPr>
                <w:b/>
                <w:color w:val="FFFFFF"/>
                <w:sz w:val="19"/>
              </w:rPr>
              <w:t xml:space="preserve">Stage PR, median (5–95 %)</w:t>
            </w:r>
          </w:p>
        </w:tc>
        <w:tc>
          <w:tcPr>
            <w:shd w:val="clear" w:color="auto" w:fill="1F3864"/>
          </w:tcPr>
          <w:p>
            <w:pPr>
              <w:pStyle w:val="Compact"/>
              <w:spacing w:after="20" w:before="20"/>
              <w:jc w:val="center"/>
            </w:pPr>
            <w:r>
              <w:rPr>
                <w:b/>
                <w:color w:val="FFFFFF"/>
                <w:sz w:val="19"/>
              </w:rPr>
              <w:t xml:space="preserve">ΔT₀ [K]</w:t>
            </w:r>
          </w:p>
        </w:tc>
        <w:tc>
          <w:tcPr>
            <w:shd w:val="clear" w:color="auto" w:fill="1F3864"/>
          </w:tcPr>
          <w:p>
            <w:pPr>
              <w:pStyle w:val="Compact"/>
              <w:spacing w:after="20" w:before="20"/>
              <w:jc w:val="center"/>
            </w:pPr>
            <w:r>
              <w:rPr>
                <w:b/>
                <w:color w:val="FFFFFF"/>
                <w:sz w:val="19"/>
              </w:rPr>
              <w:t xml:space="preserve">Exit T₀ [K]</w:t>
            </w:r>
          </w:p>
        </w:tc>
        <w:tc>
          <w:tcPr>
            <w:shd w:val="clear" w:color="auto" w:fill="1F3864"/>
          </w:tcPr>
          <w:p>
            <w:pPr>
              <w:pStyle w:val="Compact"/>
              <w:spacing w:after="20" w:before="20"/>
              <w:jc w:val="center"/>
            </w:pPr>
            <w:r>
              <w:rPr>
                <w:b/>
                <w:color w:val="FFFFFF"/>
                <w:sz w:val="19"/>
              </w:rPr>
              <w:t xml:space="preserve">Exit p₀ [bar]</w:t>
            </w:r>
          </w:p>
        </w:tc>
      </w:tr>
      <w:tr>
        <w:trPr>
          <w:cantSplit/>
        </w:trPr>
        <w:tc>
          <w:tcPr/>
          <w:p>
            <w:pPr>
              <w:pStyle w:val="Compact"/>
              <w:spacing w:after="20" w:before="20"/>
              <w:jc w:val="center"/>
            </w:pPr>
            <w:r>
              <w:rPr>
                <w:sz w:val="19"/>
              </w:rPr>
              <w:t xml:space="preserve">1</w:t>
            </w:r>
          </w:p>
        </w:tc>
        <w:tc>
          <w:tcPr/>
          <w:p>
            <w:pPr>
              <w:pStyle w:val="Compact"/>
              <w:spacing w:after="20" w:before="20"/>
              <w:jc w:val="center"/>
            </w:pPr>
            <w:r>
              <w:rPr>
                <w:sz w:val="19"/>
              </w:rPr>
              <w:t xml:space="preserve">1.348 (1.308–1.383)</w:t>
            </w:r>
          </w:p>
        </w:tc>
        <w:tc>
          <w:tcPr/>
          <w:p>
            <w:pPr>
              <w:pStyle w:val="Compact"/>
              <w:spacing w:after="20" w:before="20"/>
              <w:jc w:val="center"/>
            </w:pPr>
            <w:r>
              <w:rPr>
                <w:sz w:val="19"/>
              </w:rPr>
              <w:t xml:space="preserve">29.8 (26.6–32.7)</w:t>
            </w:r>
          </w:p>
        </w:tc>
        <w:tc>
          <w:tcPr/>
          <w:p>
            <w:pPr>
              <w:pStyle w:val="Compact"/>
              <w:spacing w:after="20" w:before="20"/>
              <w:jc w:val="center"/>
            </w:pPr>
            <w:r>
              <w:rPr>
                <w:sz w:val="19"/>
              </w:rPr>
              <w:t xml:space="preserve">318 (315–321)</w:t>
            </w:r>
          </w:p>
        </w:tc>
        <w:tc>
          <w:tcPr/>
          <w:p>
            <w:pPr>
              <w:pStyle w:val="Compact"/>
              <w:spacing w:after="20" w:before="20"/>
              <w:jc w:val="center"/>
            </w:pPr>
            <w:r>
              <w:rPr>
                <w:sz w:val="19"/>
              </w:rPr>
              <w:t xml:space="preserve">1.37 (1.33–1.40)</w:t>
            </w:r>
          </w:p>
        </w:tc>
      </w:tr>
      <w:tr>
        <w:trPr>
          <w:cantSplit/>
        </w:trPr>
        <w:tc>
          <w:tcPr>
            <w:shd w:val="clear" w:color="auto" w:fill="F2F6FA"/>
          </w:tcPr>
          <w:p>
            <w:pPr>
              <w:pStyle w:val="Compact"/>
              <w:spacing w:after="20" w:before="20"/>
              <w:jc w:val="center"/>
            </w:pPr>
            <w:r>
              <w:rPr>
                <w:sz w:val="19"/>
              </w:rPr>
              <w:t xml:space="preserve">2</w:t>
            </w:r>
          </w:p>
        </w:tc>
        <w:tc>
          <w:tcPr>
            <w:shd w:val="clear" w:color="auto" w:fill="F2F6FA"/>
          </w:tcPr>
          <w:p>
            <w:pPr>
              <w:pStyle w:val="Compact"/>
              <w:spacing w:after="20" w:before="20"/>
              <w:jc w:val="center"/>
            </w:pPr>
            <w:r>
              <w:rPr>
                <w:sz w:val="19"/>
              </w:rPr>
              <w:t xml:space="preserve">1.363 (1.349–1.375)</w:t>
            </w:r>
          </w:p>
        </w:tc>
        <w:tc>
          <w:tcPr>
            <w:shd w:val="clear" w:color="auto" w:fill="F2F6FA"/>
          </w:tcPr>
          <w:p>
            <w:pPr>
              <w:pStyle w:val="Compact"/>
              <w:spacing w:after="20" w:before="20"/>
              <w:jc w:val="center"/>
            </w:pPr>
            <w:r>
              <w:rPr>
                <w:sz w:val="19"/>
              </w:rPr>
              <w:t xml:space="preserve">33.5 (31.6–35.5)</w:t>
            </w:r>
          </w:p>
        </w:tc>
        <w:tc>
          <w:tcPr>
            <w:shd w:val="clear" w:color="auto" w:fill="F2F6FA"/>
          </w:tcPr>
          <w:p>
            <w:pPr>
              <w:pStyle w:val="Compact"/>
              <w:spacing w:after="20" w:before="20"/>
              <w:jc w:val="center"/>
            </w:pPr>
            <w:r>
              <w:rPr>
                <w:sz w:val="19"/>
              </w:rPr>
              <w:t xml:space="preserve">351 (346–356)</w:t>
            </w:r>
          </w:p>
        </w:tc>
        <w:tc>
          <w:tcPr>
            <w:shd w:val="clear" w:color="auto" w:fill="F2F6FA"/>
          </w:tcPr>
          <w:p>
            <w:pPr>
              <w:pStyle w:val="Compact"/>
              <w:spacing w:after="20" w:before="20"/>
              <w:jc w:val="center"/>
            </w:pPr>
            <w:r>
              <w:rPr>
                <w:sz w:val="19"/>
              </w:rPr>
              <w:t xml:space="preserve">1.86 (1.79–1.93)</w:t>
            </w:r>
          </w:p>
        </w:tc>
      </w:tr>
      <w:tr>
        <w:trPr>
          <w:cantSplit/>
        </w:trPr>
        <w:tc>
          <w:tcPr/>
          <w:p>
            <w:pPr>
              <w:pStyle w:val="Compact"/>
              <w:spacing w:after="20" w:before="20"/>
              <w:jc w:val="center"/>
            </w:pPr>
            <w:r>
              <w:rPr>
                <w:sz w:val="19"/>
              </w:rPr>
              <w:t xml:space="preserve">3</w:t>
            </w:r>
          </w:p>
        </w:tc>
        <w:tc>
          <w:tcPr/>
          <w:p>
            <w:pPr>
              <w:pStyle w:val="Compact"/>
              <w:spacing w:after="20" w:before="20"/>
              <w:jc w:val="center"/>
            </w:pPr>
            <w:r>
              <w:rPr>
                <w:sz w:val="19"/>
              </w:rPr>
              <w:t xml:space="preserve">1.342 (1.334–1.352)</w:t>
            </w:r>
          </w:p>
        </w:tc>
        <w:tc>
          <w:tcPr/>
          <w:p>
            <w:pPr>
              <w:pStyle w:val="Compact"/>
              <w:spacing w:after="20" w:before="20"/>
              <w:jc w:val="center"/>
            </w:pPr>
            <w:r>
              <w:rPr>
                <w:sz w:val="19"/>
              </w:rPr>
              <w:t xml:space="preserve">34.5 (33.0–36.0)</w:t>
            </w:r>
          </w:p>
        </w:tc>
        <w:tc>
          <w:tcPr/>
          <w:p>
            <w:pPr>
              <w:pStyle w:val="Compact"/>
              <w:spacing w:after="20" w:before="20"/>
              <w:jc w:val="center"/>
            </w:pPr>
            <w:r>
              <w:rPr>
                <w:sz w:val="19"/>
              </w:rPr>
              <w:t xml:space="preserve">386 (380–392)</w:t>
            </w:r>
          </w:p>
        </w:tc>
        <w:tc>
          <w:tcPr/>
          <w:p>
            <w:pPr>
              <w:pStyle w:val="Compact"/>
              <w:spacing w:after="20" w:before="20"/>
              <w:jc w:val="center"/>
            </w:pPr>
            <w:r>
              <w:rPr>
                <w:sz w:val="19"/>
              </w:rPr>
              <w:t xml:space="preserve">2.50 (2.41–2.57)</w:t>
            </w:r>
          </w:p>
        </w:tc>
      </w:tr>
      <w:tr>
        <w:trPr>
          <w:cantSplit/>
        </w:trPr>
        <w:tc>
          <w:tcPr>
            <w:shd w:val="clear" w:color="auto" w:fill="F2F6FA"/>
          </w:tcPr>
          <w:p>
            <w:pPr>
              <w:pStyle w:val="Compact"/>
              <w:spacing w:after="20" w:before="20"/>
              <w:jc w:val="center"/>
            </w:pPr>
            <w:r>
              <w:rPr>
                <w:sz w:val="19"/>
              </w:rPr>
              <w:t xml:space="preserve">4</w:t>
            </w:r>
          </w:p>
        </w:tc>
        <w:tc>
          <w:tcPr>
            <w:shd w:val="clear" w:color="auto" w:fill="F2F6FA"/>
          </w:tcPr>
          <w:p>
            <w:pPr>
              <w:pStyle w:val="Compact"/>
              <w:spacing w:after="20" w:before="20"/>
              <w:jc w:val="center"/>
            </w:pPr>
            <w:r>
              <w:rPr>
                <w:sz w:val="19"/>
              </w:rPr>
              <w:t xml:space="preserve">1.315 (1.308–1.323)</w:t>
            </w:r>
          </w:p>
        </w:tc>
        <w:tc>
          <w:tcPr>
            <w:shd w:val="clear" w:color="auto" w:fill="F2F6FA"/>
          </w:tcPr>
          <w:p>
            <w:pPr>
              <w:pStyle w:val="Compact"/>
              <w:spacing w:after="20" w:before="20"/>
              <w:jc w:val="center"/>
            </w:pPr>
            <w:r>
              <w:rPr>
                <w:sz w:val="19"/>
              </w:rPr>
              <w:t xml:space="preserve">35.0 (33.5–36.5)</w:t>
            </w:r>
          </w:p>
        </w:tc>
        <w:tc>
          <w:tcPr>
            <w:shd w:val="clear" w:color="auto" w:fill="F2F6FA"/>
          </w:tcPr>
          <w:p>
            <w:pPr>
              <w:pStyle w:val="Compact"/>
              <w:spacing w:after="20" w:before="20"/>
              <w:jc w:val="center"/>
            </w:pPr>
            <w:r>
              <w:rPr>
                <w:sz w:val="19"/>
              </w:rPr>
              <w:t xml:space="preserve">421 (415–428)</w:t>
            </w:r>
          </w:p>
        </w:tc>
        <w:tc>
          <w:tcPr>
            <w:shd w:val="clear" w:color="auto" w:fill="F2F6FA"/>
          </w:tcPr>
          <w:p>
            <w:pPr>
              <w:pStyle w:val="Compact"/>
              <w:spacing w:after="20" w:before="20"/>
              <w:jc w:val="center"/>
            </w:pPr>
            <w:r>
              <w:rPr>
                <w:sz w:val="19"/>
              </w:rPr>
              <w:t xml:space="preserve">3.28 (3.19–3.38)</w:t>
            </w:r>
          </w:p>
        </w:tc>
      </w:tr>
      <w:tr>
        <w:trPr>
          <w:cantSplit/>
        </w:trPr>
        <w:tc>
          <w:tcPr/>
          <w:p>
            <w:pPr>
              <w:pStyle w:val="Compact"/>
              <w:spacing w:after="20" w:before="20"/>
              <w:jc w:val="center"/>
            </w:pPr>
            <w:r>
              <w:rPr>
                <w:sz w:val="19"/>
              </w:rPr>
              <w:t xml:space="preserve">5</w:t>
            </w:r>
          </w:p>
        </w:tc>
        <w:tc>
          <w:tcPr/>
          <w:p>
            <w:pPr>
              <w:pStyle w:val="Compact"/>
              <w:spacing w:after="20" w:before="20"/>
              <w:jc w:val="center"/>
            </w:pPr>
            <w:r>
              <w:rPr>
                <w:sz w:val="19"/>
              </w:rPr>
              <w:t xml:space="preserve">1.292 (1.286–1.299)</w:t>
            </w:r>
          </w:p>
        </w:tc>
        <w:tc>
          <w:tcPr/>
          <w:p>
            <w:pPr>
              <w:pStyle w:val="Compact"/>
              <w:spacing w:after="20" w:before="20"/>
              <w:jc w:val="center"/>
            </w:pPr>
            <w:r>
              <w:rPr>
                <w:sz w:val="19"/>
              </w:rPr>
              <w:t xml:space="preserve">35.4 (33.9–36.9)</w:t>
            </w:r>
          </w:p>
        </w:tc>
        <w:tc>
          <w:tcPr/>
          <w:p>
            <w:pPr>
              <w:pStyle w:val="Compact"/>
              <w:spacing w:after="20" w:before="20"/>
              <w:jc w:val="center"/>
            </w:pPr>
            <w:r>
              <w:rPr>
                <w:sz w:val="19"/>
              </w:rPr>
              <w:t xml:space="preserve">456 (449–464)</w:t>
            </w:r>
          </w:p>
        </w:tc>
        <w:tc>
          <w:tcPr/>
          <w:p>
            <w:pPr>
              <w:pStyle w:val="Compact"/>
              <w:spacing w:after="20" w:before="20"/>
              <w:jc w:val="center"/>
            </w:pPr>
            <w:r>
              <w:rPr>
                <w:sz w:val="19"/>
              </w:rPr>
              <w:t xml:space="preserve">4.24 (4.13–4.35)</w:t>
            </w:r>
          </w:p>
        </w:tc>
      </w:tr>
      <w:tr>
        <w:trPr>
          <w:cantSplit/>
        </w:trPr>
        <w:tc>
          <w:tcPr>
            <w:shd w:val="clear" w:color="auto" w:fill="F2F6FA"/>
          </w:tcPr>
          <w:p>
            <w:pPr>
              <w:pStyle w:val="Compact"/>
              <w:spacing w:after="20" w:before="20"/>
              <w:jc w:val="center"/>
            </w:pPr>
            <w:r>
              <w:rPr>
                <w:sz w:val="19"/>
              </w:rPr>
              <w:t xml:space="preserve">6</w:t>
            </w:r>
          </w:p>
        </w:tc>
        <w:tc>
          <w:tcPr>
            <w:shd w:val="clear" w:color="auto" w:fill="F2F6FA"/>
          </w:tcPr>
          <w:p>
            <w:pPr>
              <w:pStyle w:val="Compact"/>
              <w:spacing w:after="20" w:before="20"/>
              <w:jc w:val="center"/>
            </w:pPr>
            <w:r>
              <w:rPr>
                <w:sz w:val="19"/>
              </w:rPr>
              <w:t xml:space="preserve">1.271 (1.266–1.277)</w:t>
            </w:r>
          </w:p>
        </w:tc>
        <w:tc>
          <w:tcPr>
            <w:shd w:val="clear" w:color="auto" w:fill="F2F6FA"/>
          </w:tcPr>
          <w:p>
            <w:pPr>
              <w:pStyle w:val="Compact"/>
              <w:spacing w:after="20" w:before="20"/>
              <w:jc w:val="center"/>
            </w:pPr>
            <w:r>
              <w:rPr>
                <w:sz w:val="19"/>
              </w:rPr>
              <w:t xml:space="preserve">35.6 (34.1–37.2)</w:t>
            </w:r>
          </w:p>
        </w:tc>
        <w:tc>
          <w:tcPr>
            <w:shd w:val="clear" w:color="auto" w:fill="F2F6FA"/>
          </w:tcPr>
          <w:p>
            <w:pPr>
              <w:pStyle w:val="Compact"/>
              <w:spacing w:after="20" w:before="20"/>
              <w:jc w:val="center"/>
            </w:pPr>
            <w:r>
              <w:rPr>
                <w:sz w:val="19"/>
              </w:rPr>
              <w:t xml:space="preserve">492 (484–501)</w:t>
            </w:r>
          </w:p>
        </w:tc>
        <w:tc>
          <w:tcPr>
            <w:shd w:val="clear" w:color="auto" w:fill="F2F6FA"/>
          </w:tcPr>
          <w:p>
            <w:pPr>
              <w:pStyle w:val="Compact"/>
              <w:spacing w:after="20" w:before="20"/>
              <w:jc w:val="center"/>
            </w:pPr>
            <w:r>
              <w:rPr>
                <w:sz w:val="19"/>
              </w:rPr>
              <w:t xml:space="preserve">5.39 (5.26–5.52)</w:t>
            </w:r>
          </w:p>
        </w:tc>
      </w:tr>
      <w:tr>
        <w:trPr>
          <w:cantSplit/>
        </w:trPr>
        <w:tc>
          <w:tcPr/>
          <w:p>
            <w:pPr>
              <w:pStyle w:val="Compact"/>
              <w:spacing w:after="20" w:before="20"/>
              <w:jc w:val="center"/>
            </w:pPr>
            <w:r>
              <w:rPr>
                <w:sz w:val="19"/>
              </w:rPr>
              <w:t xml:space="preserve">7</w:t>
            </w:r>
          </w:p>
        </w:tc>
        <w:tc>
          <w:tcPr/>
          <w:p>
            <w:pPr>
              <w:pStyle w:val="Compact"/>
              <w:spacing w:after="20" w:before="20"/>
              <w:jc w:val="center"/>
            </w:pPr>
            <w:r>
              <w:rPr>
                <w:sz w:val="19"/>
              </w:rPr>
              <w:t xml:space="preserve">1.252 (1.248–1.257)</w:t>
            </w:r>
          </w:p>
        </w:tc>
        <w:tc>
          <w:tcPr/>
          <w:p>
            <w:pPr>
              <w:pStyle w:val="Compact"/>
              <w:spacing w:after="20" w:before="20"/>
              <w:jc w:val="center"/>
            </w:pPr>
            <w:r>
              <w:rPr>
                <w:sz w:val="19"/>
              </w:rPr>
              <w:t xml:space="preserve">35.7 (34.2–37.3)</w:t>
            </w:r>
          </w:p>
        </w:tc>
        <w:tc>
          <w:tcPr/>
          <w:p>
            <w:pPr>
              <w:pStyle w:val="Compact"/>
              <w:spacing w:after="20" w:before="20"/>
              <w:jc w:val="center"/>
            </w:pPr>
            <w:r>
              <w:rPr>
                <w:sz w:val="19"/>
              </w:rPr>
              <w:t xml:space="preserve">528 (518–538)</w:t>
            </w:r>
          </w:p>
        </w:tc>
        <w:tc>
          <w:tcPr/>
          <w:p>
            <w:pPr>
              <w:pStyle w:val="Compact"/>
              <w:spacing w:after="20" w:before="20"/>
              <w:jc w:val="center"/>
            </w:pPr>
            <w:r>
              <w:rPr>
                <w:sz w:val="19"/>
              </w:rPr>
              <w:t xml:space="preserve">6.75 (6.61–6.90)</w:t>
            </w:r>
          </w:p>
        </w:tc>
      </w:tr>
      <w:tr>
        <w:trPr>
          <w:cantSplit/>
        </w:trPr>
        <w:tc>
          <w:tcPr>
            <w:shd w:val="clear" w:color="auto" w:fill="F2F6FA"/>
          </w:tcPr>
          <w:p>
            <w:pPr>
              <w:pStyle w:val="Compact"/>
              <w:spacing w:after="20" w:before="20"/>
              <w:jc w:val="center"/>
            </w:pPr>
            <w:r>
              <w:rPr>
                <w:sz w:val="19"/>
              </w:rPr>
              <w:t xml:space="preserve">8</w:t>
            </w:r>
          </w:p>
        </w:tc>
        <w:tc>
          <w:tcPr>
            <w:shd w:val="clear" w:color="auto" w:fill="F2F6FA"/>
          </w:tcPr>
          <w:p>
            <w:pPr>
              <w:pStyle w:val="Compact"/>
              <w:spacing w:after="20" w:before="20"/>
              <w:jc w:val="center"/>
            </w:pPr>
            <w:r>
              <w:rPr>
                <w:sz w:val="19"/>
              </w:rPr>
              <w:t xml:space="preserve">1.235 (1.231–1.239)</w:t>
            </w:r>
          </w:p>
        </w:tc>
        <w:tc>
          <w:tcPr>
            <w:shd w:val="clear" w:color="auto" w:fill="F2F6FA"/>
          </w:tcPr>
          <w:p>
            <w:pPr>
              <w:pStyle w:val="Compact"/>
              <w:spacing w:after="20" w:before="20"/>
              <w:jc w:val="center"/>
            </w:pPr>
            <w:r>
              <w:rPr>
                <w:sz w:val="19"/>
              </w:rPr>
              <w:t xml:space="preserve">35.6 (34.1–37.1)</w:t>
            </w:r>
          </w:p>
        </w:tc>
        <w:tc>
          <w:tcPr>
            <w:shd w:val="clear" w:color="auto" w:fill="F2F6FA"/>
          </w:tcPr>
          <w:p>
            <w:pPr>
              <w:pStyle w:val="Compact"/>
              <w:spacing w:after="20" w:before="20"/>
              <w:jc w:val="center"/>
            </w:pPr>
            <w:r>
              <w:rPr>
                <w:sz w:val="19"/>
              </w:rPr>
              <w:t xml:space="preserve">563 (553–575)</w:t>
            </w:r>
          </w:p>
        </w:tc>
        <w:tc>
          <w:tcPr>
            <w:shd w:val="clear" w:color="auto" w:fill="F2F6FA"/>
          </w:tcPr>
          <w:p>
            <w:pPr>
              <w:pStyle w:val="Compact"/>
              <w:spacing w:after="20" w:before="20"/>
              <w:jc w:val="center"/>
            </w:pPr>
            <w:r>
              <w:rPr>
                <w:sz w:val="19"/>
              </w:rPr>
              <w:t xml:space="preserve">8.33 (8.16–8.51)</w:t>
            </w:r>
          </w:p>
        </w:tc>
      </w:tr>
      <w:tr>
        <w:trPr>
          <w:cantSplit/>
        </w:trPr>
        <w:tc>
          <w:tcPr/>
          <w:p>
            <w:pPr>
              <w:pStyle w:val="Compact"/>
              <w:spacing w:after="20" w:before="20"/>
              <w:jc w:val="center"/>
            </w:pPr>
            <w:r>
              <w:rPr>
                <w:sz w:val="19"/>
              </w:rPr>
              <w:t xml:space="preserve">9</w:t>
            </w:r>
          </w:p>
        </w:tc>
        <w:tc>
          <w:tcPr/>
          <w:p>
            <w:pPr>
              <w:pStyle w:val="Compact"/>
              <w:spacing w:after="20" w:before="20"/>
              <w:jc w:val="center"/>
            </w:pPr>
            <w:r>
              <w:rPr>
                <w:sz w:val="19"/>
              </w:rPr>
              <w:t xml:space="preserve">1.218 (1.215–1.222)</w:t>
            </w:r>
          </w:p>
        </w:tc>
        <w:tc>
          <w:tcPr/>
          <w:p>
            <w:pPr>
              <w:pStyle w:val="Compact"/>
              <w:spacing w:after="20" w:before="20"/>
              <w:jc w:val="center"/>
            </w:pPr>
            <w:r>
              <w:rPr>
                <w:sz w:val="19"/>
              </w:rPr>
              <w:t xml:space="preserve">35.2 (33.8–36.7)</w:t>
            </w:r>
          </w:p>
        </w:tc>
        <w:tc>
          <w:tcPr/>
          <w:p>
            <w:pPr>
              <w:pStyle w:val="Compact"/>
              <w:spacing w:after="20" w:before="20"/>
              <w:jc w:val="center"/>
            </w:pPr>
            <w:r>
              <w:rPr>
                <w:sz w:val="19"/>
              </w:rPr>
              <w:t xml:space="preserve">599 (587–611)</w:t>
            </w:r>
          </w:p>
        </w:tc>
        <w:tc>
          <w:tcPr/>
          <w:p>
            <w:pPr>
              <w:pStyle w:val="Compact"/>
              <w:spacing w:after="20" w:before="20"/>
              <w:jc w:val="center"/>
            </w:pPr>
            <w:r>
              <w:rPr>
                <w:sz w:val="19"/>
              </w:rPr>
              <w:t xml:space="preserve">10.15 (9.95–10.35)</w:t>
            </w:r>
          </w:p>
        </w:tc>
      </w:tr>
      <w:tr>
        <w:trPr>
          <w:cantSplit/>
        </w:trPr>
        <w:tc>
          <w:tcPr>
            <w:shd w:val="clear" w:color="auto" w:fill="F2F6FA"/>
          </w:tcPr>
          <w:p>
            <w:pPr>
              <w:pStyle w:val="Compact"/>
              <w:spacing w:after="20" w:before="20"/>
              <w:jc w:val="center"/>
            </w:pPr>
            <w:r>
              <w:rPr>
                <w:sz w:val="19"/>
              </w:rPr>
              <w:t xml:space="preserve">10</w:t>
            </w:r>
          </w:p>
        </w:tc>
        <w:tc>
          <w:tcPr>
            <w:shd w:val="clear" w:color="auto" w:fill="F2F6FA"/>
          </w:tcPr>
          <w:p>
            <w:pPr>
              <w:pStyle w:val="Compact"/>
              <w:spacing w:after="20" w:before="20"/>
              <w:jc w:val="center"/>
            </w:pPr>
            <w:r>
              <w:rPr>
                <w:sz w:val="19"/>
              </w:rPr>
              <w:t xml:space="preserve">1.203 (1.200–1.206)</w:t>
            </w:r>
          </w:p>
        </w:tc>
        <w:tc>
          <w:tcPr>
            <w:shd w:val="clear" w:color="auto" w:fill="F2F6FA"/>
          </w:tcPr>
          <w:p>
            <w:pPr>
              <w:pStyle w:val="Compact"/>
              <w:spacing w:after="20" w:before="20"/>
              <w:jc w:val="center"/>
            </w:pPr>
            <w:r>
              <w:rPr>
                <w:sz w:val="19"/>
              </w:rPr>
              <w:t xml:space="preserve">34.7 (33.3–36.2)</w:t>
            </w:r>
          </w:p>
        </w:tc>
        <w:tc>
          <w:tcPr>
            <w:shd w:val="clear" w:color="auto" w:fill="F2F6FA"/>
          </w:tcPr>
          <w:p>
            <w:pPr>
              <w:pStyle w:val="Compact"/>
              <w:spacing w:after="20" w:before="20"/>
              <w:jc w:val="center"/>
            </w:pPr>
            <w:r>
              <w:rPr>
                <w:sz w:val="19"/>
              </w:rPr>
              <w:t xml:space="preserve">633 (620–647)</w:t>
            </w:r>
          </w:p>
        </w:tc>
        <w:tc>
          <w:tcPr>
            <w:shd w:val="clear" w:color="auto" w:fill="F2F6FA"/>
          </w:tcPr>
          <w:p>
            <w:pPr>
              <w:pStyle w:val="Compact"/>
              <w:spacing w:after="20" w:before="20"/>
              <w:jc w:val="center"/>
            </w:pPr>
            <w:r>
              <w:rPr>
                <w:sz w:val="19"/>
              </w:rPr>
              <w:t xml:space="preserve">12.21 (11.98–12.43)</w:t>
            </w:r>
          </w:p>
        </w:tc>
      </w:tr>
      <w:tr>
        <w:trPr>
          <w:cantSplit/>
        </w:trPr>
        <w:tc>
          <w:tcPr/>
          <w:p>
            <w:pPr>
              <w:pStyle w:val="Compact"/>
              <w:spacing w:after="20" w:before="20"/>
              <w:jc w:val="center"/>
            </w:pPr>
            <w:r>
              <w:rPr>
                <w:sz w:val="19"/>
              </w:rPr>
              <w:t xml:space="preserve">11</w:t>
            </w:r>
          </w:p>
        </w:tc>
        <w:tc>
          <w:tcPr/>
          <w:p>
            <w:pPr>
              <w:pStyle w:val="Compact"/>
              <w:spacing w:after="20" w:before="20"/>
              <w:jc w:val="center"/>
            </w:pPr>
            <w:r>
              <w:rPr>
                <w:sz w:val="19"/>
              </w:rPr>
              <w:t xml:space="preserve">1.188 (1.186–1.191)</w:t>
            </w:r>
          </w:p>
        </w:tc>
        <w:tc>
          <w:tcPr/>
          <w:p>
            <w:pPr>
              <w:pStyle w:val="Compact"/>
              <w:spacing w:after="20" w:before="20"/>
              <w:jc w:val="center"/>
            </w:pPr>
            <w:r>
              <w:rPr>
                <w:sz w:val="19"/>
              </w:rPr>
              <w:t xml:space="preserve">34.0 (32.6–35.4)</w:t>
            </w:r>
          </w:p>
        </w:tc>
        <w:tc>
          <w:tcPr/>
          <w:p>
            <w:pPr>
              <w:pStyle w:val="Compact"/>
              <w:spacing w:after="20" w:before="20"/>
              <w:jc w:val="center"/>
            </w:pPr>
            <w:r>
              <w:rPr>
                <w:sz w:val="19"/>
              </w:rPr>
              <w:t xml:space="preserve">667 (653–683)</w:t>
            </w:r>
          </w:p>
        </w:tc>
        <w:tc>
          <w:tcPr/>
          <w:p>
            <w:pPr>
              <w:pStyle w:val="Compact"/>
              <w:spacing w:after="20" w:before="20"/>
              <w:jc w:val="center"/>
            </w:pPr>
            <w:r>
              <w:rPr>
                <w:sz w:val="19"/>
              </w:rPr>
              <w:t xml:space="preserve">14.51 (14.25–14.77)</w:t>
            </w:r>
          </w:p>
        </w:tc>
      </w:tr>
      <w:tr>
        <w:trPr>
          <w:cantSplit/>
        </w:trPr>
        <w:tc>
          <w:tcPr>
            <w:shd w:val="clear" w:color="auto" w:fill="F2F6FA"/>
          </w:tcPr>
          <w:p>
            <w:pPr>
              <w:pStyle w:val="Compact"/>
              <w:spacing w:after="20" w:before="20"/>
              <w:jc w:val="center"/>
            </w:pPr>
            <w:r>
              <w:rPr>
                <w:sz w:val="19"/>
              </w:rPr>
              <w:t xml:space="preserve">12</w:t>
            </w:r>
          </w:p>
        </w:tc>
        <w:tc>
          <w:tcPr>
            <w:shd w:val="clear" w:color="auto" w:fill="F2F6FA"/>
          </w:tcPr>
          <w:p>
            <w:pPr>
              <w:pStyle w:val="Compact"/>
              <w:spacing w:after="20" w:before="20"/>
              <w:jc w:val="center"/>
            </w:pPr>
            <w:r>
              <w:rPr>
                <w:sz w:val="19"/>
              </w:rPr>
              <w:t xml:space="preserve">1.175 (1.173–1.178)</w:t>
            </w:r>
          </w:p>
        </w:tc>
        <w:tc>
          <w:tcPr>
            <w:shd w:val="clear" w:color="auto" w:fill="F2F6FA"/>
          </w:tcPr>
          <w:p>
            <w:pPr>
              <w:pStyle w:val="Compact"/>
              <w:spacing w:after="20" w:before="20"/>
              <w:jc w:val="center"/>
            </w:pPr>
            <w:r>
              <w:rPr>
                <w:sz w:val="19"/>
              </w:rPr>
              <w:t xml:space="preserve">33.2 (31.9–34.6)</w:t>
            </w:r>
          </w:p>
        </w:tc>
        <w:tc>
          <w:tcPr>
            <w:shd w:val="clear" w:color="auto" w:fill="F2F6FA"/>
          </w:tcPr>
          <w:p>
            <w:pPr>
              <w:pStyle w:val="Compact"/>
              <w:spacing w:after="20" w:before="20"/>
              <w:jc w:val="center"/>
            </w:pPr>
            <w:r>
              <w:rPr>
                <w:sz w:val="19"/>
              </w:rPr>
              <w:t xml:space="preserve">701 (685–717)</w:t>
            </w:r>
          </w:p>
        </w:tc>
        <w:tc>
          <w:tcPr>
            <w:shd w:val="clear" w:color="auto" w:fill="F2F6FA"/>
          </w:tcPr>
          <w:p>
            <w:pPr>
              <w:pStyle w:val="Compact"/>
              <w:spacing w:after="20" w:before="20"/>
              <w:jc w:val="center"/>
            </w:pPr>
            <w:r>
              <w:rPr>
                <w:sz w:val="19"/>
              </w:rPr>
              <w:t xml:space="preserve">17.06 (16.77–17.37)</w:t>
            </w:r>
          </w:p>
        </w:tc>
      </w:tr>
      <w:tr>
        <w:trPr>
          <w:cantSplit/>
        </w:trPr>
        <w:tc>
          <w:tcPr/>
          <w:p>
            <w:pPr>
              <w:pStyle w:val="Compact"/>
              <w:spacing w:after="20" w:before="20"/>
              <w:jc w:val="center"/>
            </w:pPr>
            <w:r>
              <w:rPr>
                <w:sz w:val="19"/>
              </w:rPr>
              <w:t xml:space="preserve">13</w:t>
            </w:r>
          </w:p>
        </w:tc>
        <w:tc>
          <w:tcPr/>
          <w:p>
            <w:pPr>
              <w:pStyle w:val="Compact"/>
              <w:spacing w:after="20" w:before="20"/>
              <w:jc w:val="center"/>
            </w:pPr>
            <w:r>
              <w:rPr>
                <w:sz w:val="19"/>
              </w:rPr>
              <w:t xml:space="preserve">1.163 (1.161–1.166)</w:t>
            </w:r>
          </w:p>
        </w:tc>
        <w:tc>
          <w:tcPr/>
          <w:p>
            <w:pPr>
              <w:pStyle w:val="Compact"/>
              <w:spacing w:after="20" w:before="20"/>
              <w:jc w:val="center"/>
            </w:pPr>
            <w:r>
              <w:rPr>
                <w:sz w:val="19"/>
              </w:rPr>
              <w:t xml:space="preserve">32.4 (31.1–33.7)</w:t>
            </w:r>
          </w:p>
        </w:tc>
        <w:tc>
          <w:tcPr/>
          <w:p>
            <w:pPr>
              <w:pStyle w:val="Compact"/>
              <w:spacing w:after="20" w:before="20"/>
              <w:jc w:val="center"/>
            </w:pPr>
            <w:r>
              <w:rPr>
                <w:sz w:val="19"/>
              </w:rPr>
              <w:t xml:space="preserve">733 (716–751)</w:t>
            </w:r>
          </w:p>
        </w:tc>
        <w:tc>
          <w:tcPr/>
          <w:p>
            <w:pPr>
              <w:pStyle w:val="Compact"/>
              <w:spacing w:after="20" w:before="20"/>
              <w:jc w:val="center"/>
            </w:pPr>
            <w:r>
              <w:rPr>
                <w:sz w:val="19"/>
              </w:rPr>
              <w:t xml:space="preserve">19.85 (19.52–20.21)</w:t>
            </w:r>
          </w:p>
        </w:tc>
      </w:tr>
      <w:tr>
        <w:trPr>
          <w:cantSplit/>
        </w:trPr>
        <w:tc>
          <w:tcPr>
            <w:shd w:val="clear" w:color="auto" w:fill="F2F6FA"/>
          </w:tcPr>
          <w:p>
            <w:pPr>
              <w:pStyle w:val="Compact"/>
              <w:spacing w:after="20" w:before="20"/>
              <w:jc w:val="center"/>
            </w:pPr>
            <w:r>
              <w:rPr>
                <w:sz w:val="19"/>
              </w:rPr>
              <w:t xml:space="preserve">14</w:t>
            </w:r>
          </w:p>
        </w:tc>
        <w:tc>
          <w:tcPr>
            <w:shd w:val="clear" w:color="auto" w:fill="F2F6FA"/>
          </w:tcPr>
          <w:p>
            <w:pPr>
              <w:pStyle w:val="Compact"/>
              <w:spacing w:after="20" w:before="20"/>
              <w:jc w:val="center"/>
            </w:pPr>
            <w:r>
              <w:rPr>
                <w:sz w:val="19"/>
              </w:rPr>
              <w:t xml:space="preserve">1.144 (1.137–1.151)</w:t>
            </w:r>
          </w:p>
        </w:tc>
        <w:tc>
          <w:tcPr>
            <w:shd w:val="clear" w:color="auto" w:fill="F2F6FA"/>
          </w:tcPr>
          <w:p>
            <w:pPr>
              <w:pStyle w:val="Compact"/>
              <w:spacing w:after="20" w:before="20"/>
              <w:jc w:val="center"/>
            </w:pPr>
            <w:r>
              <w:rPr>
                <w:sz w:val="19"/>
              </w:rPr>
              <w:t xml:space="preserve">29.8 (28.2–31.5)</w:t>
            </w:r>
          </w:p>
        </w:tc>
        <w:tc>
          <w:tcPr>
            <w:shd w:val="clear" w:color="auto" w:fill="F2F6FA"/>
          </w:tcPr>
          <w:p>
            <w:pPr>
              <w:pStyle w:val="Compact"/>
              <w:spacing w:after="20" w:before="20"/>
              <w:jc w:val="center"/>
            </w:pPr>
            <w:r>
              <w:rPr>
                <w:sz w:val="19"/>
              </w:rPr>
              <w:t xml:space="preserve">762 (746–782)</w:t>
            </w:r>
          </w:p>
        </w:tc>
        <w:tc>
          <w:tcPr>
            <w:shd w:val="clear" w:color="auto" w:fill="F2F6FA"/>
          </w:tcPr>
          <w:p>
            <w:pPr>
              <w:pStyle w:val="Compact"/>
              <w:spacing w:after="20" w:before="20"/>
              <w:jc w:val="center"/>
            </w:pPr>
            <w:r>
              <w:rPr>
                <w:sz w:val="19"/>
              </w:rPr>
              <w:t xml:space="preserve">22.71 (22.45–22.98)</w:t>
            </w:r>
          </w:p>
        </w:tc>
      </w:tr>
      <w:tr>
        <w:trPr>
          <w:cantSplit/>
        </w:trPr>
        <w:tc>
          <w:tcPr/>
          <w:p>
            <w:pPr>
              <w:pStyle w:val="Compact"/>
              <w:spacing w:after="20" w:before="20"/>
              <w:jc w:val="center"/>
            </w:pPr>
            <w:r>
              <w:rPr>
                <w:sz w:val="19"/>
              </w:rPr>
              <w:t xml:space="preserve">15</w:t>
            </w:r>
          </w:p>
        </w:tc>
        <w:tc>
          <w:tcPr/>
          <w:p>
            <w:pPr>
              <w:pStyle w:val="Compact"/>
              <w:spacing w:after="20" w:before="20"/>
              <w:jc w:val="center"/>
            </w:pPr>
            <w:r>
              <w:rPr>
                <w:sz w:val="19"/>
              </w:rPr>
              <w:t xml:space="preserve">1.116 (1.102–1.128)</w:t>
            </w:r>
          </w:p>
        </w:tc>
        <w:tc>
          <w:tcPr/>
          <w:p>
            <w:pPr>
              <w:pStyle w:val="Compact"/>
              <w:spacing w:after="20" w:before="20"/>
              <w:jc w:val="center"/>
            </w:pPr>
            <w:r>
              <w:rPr>
                <w:sz w:val="19"/>
              </w:rPr>
              <w:t xml:space="preserve">25.5 (22.8–28.4)</w:t>
            </w:r>
          </w:p>
        </w:tc>
        <w:tc>
          <w:tcPr/>
          <w:p>
            <w:pPr>
              <w:pStyle w:val="Compact"/>
              <w:spacing w:after="20" w:before="20"/>
              <w:jc w:val="center"/>
            </w:pPr>
            <w:r>
              <w:rPr>
                <w:sz w:val="19"/>
              </w:rPr>
              <w:t xml:space="preserve">787 (770–808)</w:t>
            </w:r>
          </w:p>
        </w:tc>
        <w:tc>
          <w:tcPr/>
          <w:p>
            <w:pPr>
              <w:pStyle w:val="Compact"/>
              <w:spacing w:after="20" w:before="20"/>
              <w:jc w:val="center"/>
            </w:pPr>
            <w:r>
              <w:rPr>
                <w:sz w:val="19"/>
              </w:rPr>
              <w:t xml:space="preserve">25.33</w:t>
            </w:r>
          </w:p>
        </w:tc>
      </w:tr>
    </w:tbl>
    <w:bookmarkEnd w:id="67"/>
    <w:bookmarkStart w:id="68" w:name="appendix-b-results-for-the-574-mw-rating"/>
    <w:p>
      <w:pPr>
        <w:pStyle w:val="Heading1"/>
      </w:pPr>
      <w:r>
        <w:t xml:space="preserve">Appendix B — Results for the 574 MW rating</w:t>
      </w:r>
    </w:p>
    <w:p>
      <w:pPr>
        <w:pStyle w:val="TableCaption"/>
      </w:pPr>
      <w:r>
        <w:t xml:space="preserve">Table B1. Key results for the larger rating. Note the much higher tip Mach number and root stress: if this is the target machine, the first stage becomes even more demanding.</w:t>
      </w:r>
    </w:p>
    <w:tbl>
      <w:tblPr>
        <w:tblStyle w:val="Table"/>
        <w:tblW w:type="pct" w:w="5000"/>
        <w:tblLook w:firstRow="1" w:lastRow="0" w:firstColumn="0" w:lastColumn="0" w:noHBand="0" w:noVBand="0" w:val="0020"/>
        <w:tblCaption w:val="Table B1. Key results for the larger rating. Note the much higher tip Mach number and root stress: if this is the target machine, the first stage becomes even more demanding."/>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4814"/>
        <w:gridCol w:w="3105"/>
      </w:tblGrid>
      <w:tr>
        <w:trPr>
          <w:tblHeader w:val="true"/>
          <w:tblHeader w:val="true"/>
          <w:cantSplit/>
        </w:trPr>
        <w:tc>
          <w:tcPr>
            <w:shd w:val="clear" w:color="auto" w:fill="1F3864"/>
          </w:tcPr>
          <w:p>
            <w:pPr>
              <w:pStyle w:val="Compact"/>
              <w:spacing w:after="20" w:before="20"/>
              <w:jc w:val="left"/>
            </w:pPr>
            <w:r>
              <w:rPr>
                <w:b/>
                <w:color w:val="FFFFFF"/>
                <w:sz w:val="19"/>
              </w:rPr>
              <w:t xml:space="preserve">Quantity</w:t>
            </w:r>
          </w:p>
        </w:tc>
        <w:tc>
          <w:tcPr>
            <w:shd w:val="clear" w:color="auto" w:fill="1F3864"/>
          </w:tcPr>
          <w:p>
            <w:pPr>
              <w:pStyle w:val="Compact"/>
              <w:spacing w:after="20" w:before="20"/>
              <w:jc w:val="left"/>
            </w:pPr>
            <w:r>
              <w:rPr>
                <w:b/>
                <w:color w:val="FFFFFF"/>
                <w:sz w:val="19"/>
              </w:rPr>
              <w:t xml:space="preserve">Median (5–95 %)</w:t>
            </w:r>
          </w:p>
        </w:tc>
      </w:tr>
      <w:tr>
        <w:trPr>
          <w:cantSplit/>
        </w:trPr>
        <w:tc>
          <w:tcPr/>
          <w:p>
            <w:pPr>
              <w:pStyle w:val="Compact"/>
              <w:spacing w:after="20" w:before="20"/>
              <w:jc w:val="left"/>
            </w:pPr>
            <w:r>
              <w:rPr>
                <w:sz w:val="19"/>
              </w:rPr>
              <w:t xml:space="preserve">Inlet air flow</w:t>
            </w:r>
          </w:p>
        </w:tc>
        <w:tc>
          <w:tcPr/>
          <w:p>
            <w:pPr>
              <w:pStyle w:val="Compact"/>
              <w:spacing w:after="20" w:before="20"/>
              <w:jc w:val="left"/>
            </w:pPr>
            <w:r>
              <w:rPr>
                <w:sz w:val="19"/>
              </w:rPr>
              <w:t xml:space="preserve">996.4 kg/s (995.4–997.4)</w:t>
            </w:r>
          </w:p>
        </w:tc>
      </w:tr>
      <w:tr>
        <w:trPr>
          <w:cantSplit/>
        </w:trPr>
        <w:tc>
          <w:tcPr>
            <w:shd w:val="clear" w:color="auto" w:fill="F2F6FA"/>
          </w:tcPr>
          <w:p>
            <w:pPr>
              <w:pStyle w:val="Compact"/>
              <w:spacing w:after="20" w:before="20"/>
              <w:jc w:val="left"/>
            </w:pPr>
            <w:r>
              <w:rPr>
                <w:sz w:val="19"/>
              </w:rPr>
              <w:t xml:space="preserve">Delivery temperature (PR 25 used as lower bound of</w:t>
            </w:r>
            <w:r>
              <w:rPr>
                <w:sz w:val="19"/>
              </w:rPr>
              <w:t xml:space="preserve"> </w:t>
            </w:r>
            <w:r>
              <w:rPr>
                <w:sz w:val="19"/>
              </w:rPr>
              <w:t xml:space="preserve">“</w:t>
            </w:r>
            <w:r>
              <w:rPr>
                <w:sz w:val="19"/>
              </w:rPr>
              <w:t xml:space="preserve">&gt; 25</w:t>
            </w:r>
            <w:r>
              <w:rPr>
                <w:sz w:val="19"/>
              </w:rPr>
              <w:t xml:space="preserve">”</w:t>
            </w:r>
            <w:r>
              <w:rPr>
                <w:sz w:val="19"/>
              </w:rPr>
              <w:t xml:space="preserve">)</w:t>
            </w:r>
          </w:p>
        </w:tc>
        <w:tc>
          <w:tcPr>
            <w:shd w:val="clear" w:color="auto" w:fill="F2F6FA"/>
          </w:tcPr>
          <w:p>
            <w:pPr>
              <w:pStyle w:val="Compact"/>
              <w:spacing w:after="20" w:before="20"/>
              <w:jc w:val="left"/>
            </w:pPr>
            <w:r>
              <w:rPr>
                <w:sz w:val="19"/>
              </w:rPr>
              <w:t xml:space="preserve">789 K (771–809)</w:t>
            </w:r>
          </w:p>
        </w:tc>
      </w:tr>
      <w:tr>
        <w:trPr>
          <w:cantSplit/>
        </w:trPr>
        <w:tc>
          <w:tcPr/>
          <w:p>
            <w:pPr>
              <w:pStyle w:val="Compact"/>
              <w:spacing w:after="20" w:before="20"/>
              <w:jc w:val="left"/>
            </w:pPr>
            <w:r>
              <w:rPr>
                <w:sz w:val="19"/>
              </w:rPr>
              <w:t xml:space="preserve">Shaft power, full delivery flow</w:t>
            </w:r>
          </w:p>
        </w:tc>
        <w:tc>
          <w:tcPr/>
          <w:p>
            <w:pPr>
              <w:pStyle w:val="Compact"/>
              <w:spacing w:after="20" w:before="20"/>
              <w:jc w:val="left"/>
            </w:pPr>
            <w:r>
              <w:rPr>
                <w:sz w:val="19"/>
              </w:rPr>
              <w:t xml:space="preserve">523 MW (503–545)</w:t>
            </w:r>
          </w:p>
        </w:tc>
      </w:tr>
      <w:tr>
        <w:trPr>
          <w:cantSplit/>
        </w:trPr>
        <w:tc>
          <w:tcPr>
            <w:shd w:val="clear" w:color="auto" w:fill="F2F6FA"/>
          </w:tcPr>
          <w:p>
            <w:pPr>
              <w:pStyle w:val="Compact"/>
              <w:spacing w:after="20" w:before="20"/>
              <w:jc w:val="left"/>
            </w:pPr>
            <w:r>
              <w:rPr>
                <w:sz w:val="19"/>
              </w:rPr>
              <w:t xml:space="preserve">Inlet annulus area</w:t>
            </w:r>
          </w:p>
        </w:tc>
        <w:tc>
          <w:tcPr>
            <w:shd w:val="clear" w:color="auto" w:fill="F2F6FA"/>
          </w:tcPr>
          <w:p>
            <w:pPr>
              <w:pStyle w:val="Compact"/>
              <w:spacing w:after="20" w:before="20"/>
              <w:jc w:val="left"/>
            </w:pPr>
            <w:r>
              <w:rPr>
                <w:sz w:val="19"/>
              </w:rPr>
              <w:t xml:space="preserve">5.37 m² (4.95–5.92)</w:t>
            </w:r>
          </w:p>
        </w:tc>
      </w:tr>
      <w:tr>
        <w:trPr>
          <w:cantSplit/>
        </w:trPr>
        <w:tc>
          <w:tcPr/>
          <w:p>
            <w:pPr>
              <w:pStyle w:val="Compact"/>
              <w:spacing w:after="20" w:before="20"/>
              <w:jc w:val="left"/>
            </w:pPr>
            <w:r>
              <w:rPr>
                <w:sz w:val="19"/>
              </w:rPr>
              <w:t xml:space="preserve">First-rotor tip diameter</w:t>
            </w:r>
          </w:p>
        </w:tc>
        <w:tc>
          <w:tcPr/>
          <w:p>
            <w:pPr>
              <w:pStyle w:val="Compact"/>
              <w:spacing w:after="20" w:before="20"/>
              <w:jc w:val="left"/>
            </w:pPr>
            <w:r>
              <w:rPr>
                <w:sz w:val="19"/>
              </w:rPr>
              <w:t xml:space="preserve">2.99 m (2.80–3.19)</w:t>
            </w:r>
          </w:p>
        </w:tc>
      </w:tr>
      <w:tr>
        <w:trPr>
          <w:cantSplit/>
        </w:trPr>
        <w:tc>
          <w:tcPr>
            <w:shd w:val="clear" w:color="auto" w:fill="F2F6FA"/>
          </w:tcPr>
          <w:p>
            <w:pPr>
              <w:pStyle w:val="Compact"/>
              <w:spacing w:after="20" w:before="20"/>
              <w:jc w:val="left"/>
            </w:pPr>
            <w:r>
              <w:rPr>
                <w:sz w:val="19"/>
              </w:rPr>
              <w:t xml:space="preserve">Tip speed / relative tip Mach</w:t>
            </w:r>
          </w:p>
        </w:tc>
        <w:tc>
          <w:tcPr>
            <w:shd w:val="clear" w:color="auto" w:fill="F2F6FA"/>
          </w:tcPr>
          <w:p>
            <w:pPr>
              <w:pStyle w:val="Compact"/>
              <w:spacing w:after="20" w:before="20"/>
              <w:jc w:val="left"/>
            </w:pPr>
            <w:r>
              <w:rPr>
                <w:sz w:val="19"/>
              </w:rPr>
              <w:t xml:space="preserve">469 m/s (440–502) / 1.51 (1.45–1.58)</w:t>
            </w:r>
          </w:p>
        </w:tc>
      </w:tr>
      <w:tr>
        <w:trPr>
          <w:cantSplit/>
        </w:trPr>
        <w:tc>
          <w:tcPr/>
          <w:p>
            <w:pPr>
              <w:pStyle w:val="Compact"/>
              <w:spacing w:after="20" w:before="20"/>
              <w:jc w:val="left"/>
            </w:pPr>
            <w:r>
              <w:rPr>
                <w:sz w:val="19"/>
              </w:rPr>
              <w:t xml:space="preserve">First-rotor root stress, steel</w:t>
            </w:r>
          </w:p>
        </w:tc>
        <w:tc>
          <w:tcPr/>
          <w:p>
            <w:pPr>
              <w:pStyle w:val="Compact"/>
              <w:spacing w:after="20" w:before="20"/>
              <w:jc w:val="left"/>
            </w:pPr>
            <w:r>
              <w:rPr>
                <w:sz w:val="19"/>
              </w:rPr>
              <w:t xml:space="preserve">411 MPa (354–479)</w:t>
            </w:r>
          </w:p>
        </w:tc>
      </w:tr>
    </w:tbl>
    <w:bookmarkEnd w:id="68"/>
    <w:sectPr>
      <w:headerReference r:id="rId9" w:type="default"/>
      <w:footerReference r:id="rId10" w:type="default"/>
      <w:pgSz w:h="16838" w:w="11906"/>
      <w:pgMar w:bottom="1134" w:left="1304" w:right="1304" w:top="13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E"/>
        <w:sz w:val="18"/>
      </w:rPr>
      <w:t xml:space="preserve">Turbomachinery · Amirkabir University of Technology · Bayati &amp; Bali   |   Page </w:t>
    </w:r>
    <w:r>
      <w:rPr>
        <w:color w:val="55606E"/>
        <w:sz w:val="18"/>
      </w:rPr>
      <w:fldChar w:fldCharType="begin"/>
    </w:r>
    <w:r>
      <w:rPr>
        <w:color w:val="55606E"/>
        <w:sz w:val="18"/>
      </w:rPr>
      <w:instrText xml:space="preserve"> PAGE </w:instrText>
    </w:r>
    <w:r>
      <w:rPr>
        <w:color w:val="55606E"/>
        <w:sz w:val="18"/>
      </w:rPr>
      <w:fldChar w:fldCharType="separate"/>
    </w:r>
    <w:r>
      <w:rPr>
        <w:color w:val="55606E"/>
        <w:sz w:val="18"/>
      </w:rPr>
      <w:t>1</w:t>
    </w:r>
    <w:r>
      <w:rPr>
        <w:color w:val="55606E"/>
        <w:sz w:val="18"/>
      </w:rPr>
      <w:fldChar w:fldCharType="end"/>
    </w:r>
    <w:r>
      <w:rPr>
        <w:color w:val="55606E"/>
        <w:sz w:val="18"/>
      </w:rPr>
      <w:t xml:space="preserve"> of </w:t>
    </w:r>
    <w:r>
      <w:rPr>
        <w:color w:val="55606E"/>
        <w:sz w:val="18"/>
      </w:rPr>
      <w:fldChar w:fldCharType="begin"/>
    </w:r>
    <w:r>
      <w:rPr>
        <w:color w:val="55606E"/>
        <w:sz w:val="18"/>
      </w:rPr>
      <w:instrText xml:space="preserve"> NUMPAGES </w:instrText>
    </w:r>
    <w:r>
      <w:rPr>
        <w:color w:val="55606E"/>
        <w:sz w:val="18"/>
      </w:rPr>
      <w:fldChar w:fldCharType="separate"/>
    </w:r>
    <w:r>
      <w:rPr>
        <w:color w:val="55606E"/>
        <w:sz w:val="18"/>
      </w:rPr>
      <w:t>1</w:t>
    </w:r>
    <w:r>
      <w:rPr>
        <w:color w:val="55606E"/>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06E"/>
        <w:sz w:val="17"/>
      </w:rPr>
      <w:t>M701JAC Axial Compressor — Internal Study Report (not for submission)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sz w:val="22"/>
    </w:rPr>
  </w:style>
  <w:style w:styleId="BodyText" w:type="paragraph">
    <w:name w:val="Body Text"/>
    <w:basedOn w:val="Normal"/>
    <w:link w:val="BodyTextChar"/>
    <w:pPr>
      <w:spacing w:after="120" w:before="0" w:line="276" w:lineRule="auto"/>
      <w:jc w:val="both"/>
    </w:pPr>
    <w:qFormat/>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jc w:val="both"/>
    </w:pPr>
    <w:rPr>
      <w:rFonts w:ascii="Calibri" w:cs="Calibri" w:eastAsia="Calibri" w:hAnsi="Calibri"/>
      <w:sz w:val="22"/>
    </w:rPr>
  </w:style>
  <w:style w:customStyle="1" w:styleId="Compact" w:type="paragraph">
    <w:name w:val="Compact"/>
    <w:basedOn w:val="BodyText"/>
    <w:qFormat/>
    <w:pPr>
      <w:spacing w:after="40" w:before="0" w:line="276" w:lineRule="auto"/>
    </w:pPr>
    <w:rPr>
      <w:rFonts w:ascii="Calibri" w:cs="Calibri" w:eastAsia="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F3864" w:space="2" w:sz="6" w:val="single"/>
      </w:pBdr>
    </w:pPr>
    <w:rPr>
      <w:rFonts w:ascii="Cambria" w:cs="Cambria" w:eastAsia="Cambria" w:hAnsi="Cambria"/>
      <w:b/>
      <w:bCs/>
      <w:i w:val="0"/>
      <w:color w:val="1F3864"/>
      <w:sz w:val="30"/>
      <w:szCs w:val="32"/>
    </w:rPr>
  </w:style>
  <w:style w:styleId="Heading2" w:type="paragraph">
    <w:name w:val="Heading 2"/>
    <w:basedOn w:val="Normal"/>
    <w:next w:val="BodyText"/>
    <w:uiPriority w:val="9"/>
    <w:unhideWhenUsed/>
    <w:qFormat/>
    <w:pPr>
      <w:keepNext/>
      <w:keepLines/>
      <w:spacing w:after="80" w:before="240"/>
      <w:outlineLvl w:val="1"/>
    </w:pPr>
    <w:rPr>
      <w:rFonts w:ascii="Cambria" w:cs="Cambria" w:eastAsia="Cambria" w:hAnsi="Cambria"/>
      <w:b/>
      <w:bCs/>
      <w:i w:val="0"/>
      <w:color w:val="1F3864"/>
      <w:sz w:val="25"/>
      <w:szCs w:val="28"/>
    </w:rPr>
  </w:style>
  <w:style w:styleId="Heading3" w:type="paragraph">
    <w:name w:val="Heading 3"/>
    <w:basedOn w:val="Normal"/>
    <w:next w:val="BodyText"/>
    <w:uiPriority w:val="9"/>
    <w:unhideWhenUsed/>
    <w:qFormat/>
    <w:pPr>
      <w:keepNext/>
      <w:keepLines/>
      <w:spacing w:after="60" w:before="200"/>
      <w:outlineLvl w:val="2"/>
    </w:pPr>
    <w:rPr>
      <w:rFonts w:ascii="Cambria" w:cs="Cambria" w:eastAsia="Cambria" w:hAnsi="Cambria"/>
      <w:b/>
      <w:bCs/>
      <w:i w:val="0"/>
      <w:color w:val="127A8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Calibri" w:cs="Calibri" w:eastAsia="Calibri" w:hAnsi="Calibri"/>
      <w:i/>
      <w:color w:val="55606E"/>
      <w:sz w:val="19"/>
    </w:rPr>
  </w:style>
  <w:style w:customStyle="1" w:styleId="TableCaption" w:type="paragraph">
    <w:name w:val="Table Caption"/>
    <w:basedOn w:val="Caption"/>
    <w:pPr>
      <w:keepNext/>
      <w:spacing w:after="200" w:before="160"/>
      <w:jc w:val="center"/>
    </w:pPr>
    <w:rPr>
      <w:rFonts w:ascii="Calibri" w:cs="Calibri" w:eastAsia="Calibri" w:hAnsi="Calibri"/>
      <w:b/>
      <w:i w:val="0"/>
      <w:color w:val="1F3864"/>
      <w:sz w:val="19"/>
    </w:rPr>
  </w:style>
  <w:style w:customStyle="1" w:styleId="ImageCaption" w:type="paragraph">
    <w:name w:val="Image Caption"/>
    <w:basedOn w:val="Caption"/>
    <w:pPr>
      <w:spacing w:after="200"/>
      <w:jc w:val="center"/>
    </w:pPr>
    <w:rPr>
      <w:rFonts w:ascii="Calibri" w:cs="Calibri" w:eastAsia="Calibri" w:hAnsi="Calibri"/>
      <w:i/>
      <w:color w:val="55606E"/>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eastAsia="Cambria" w:hAnsi="Cambria"/>
      <w:b/>
      <w:bCs w:val="0"/>
      <w:color w:val="1F3864"/>
      <w:sz w:val="30"/>
    </w:rPr>
  </w:style>
  <w:style w:customStyle="1" w:styleId="CoverInstitution" w:type="paragraph">
    <w:name w:val="Cover Institution"/>
    <w:basedOn w:val="Normal"/>
    <w:pPr>
      <w:spacing w:after="40" w:before="800"/>
      <w:jc w:val="center"/>
    </w:pPr>
    <w:rPr>
      <w:rFonts w:ascii="Cambria" w:cs="Cambria" w:eastAsia="Cambria" w:hAnsi="Cambria"/>
      <w:b/>
      <w:i w:val="0"/>
      <w:color w:val="1F3864"/>
      <w:sz w:val="30"/>
    </w:rPr>
  </w:style>
  <w:style w:customStyle="1" w:styleId="CoverCourse" w:type="paragraph">
    <w:name w:val="Cover Course"/>
    <w:basedOn w:val="Normal"/>
    <w:pPr>
      <w:spacing w:after="1400" w:before="0"/>
      <w:jc w:val="center"/>
    </w:pPr>
    <w:rPr>
      <w:rFonts w:ascii="Calibri" w:cs="Calibri" w:eastAsia="Calibri" w:hAnsi="Calibri"/>
      <w:b w:val="0"/>
      <w:i w:val="0"/>
      <w:color w:val="55606E"/>
      <w:sz w:val="23"/>
    </w:rPr>
  </w:style>
  <w:style w:customStyle="1" w:styleId="CoverTitle" w:type="paragraph">
    <w:name w:val="Cover Title"/>
    <w:basedOn w:val="Normal"/>
    <w:pPr>
      <w:spacing w:after="280" w:before="0"/>
      <w:jc w:val="center"/>
    </w:pPr>
    <w:rPr>
      <w:rFonts w:ascii="Cambria" w:cs="Cambria" w:eastAsia="Cambria" w:hAnsi="Cambria"/>
      <w:b/>
      <w:i w:val="0"/>
      <w:color w:val="1F3864"/>
      <w:sz w:val="48"/>
    </w:rPr>
  </w:style>
  <w:style w:customStyle="1" w:styleId="CoverSubtitle" w:type="paragraph">
    <w:name w:val="Cover Subtitle"/>
    <w:basedOn w:val="Normal"/>
    <w:pPr>
      <w:spacing w:after="360" w:before="0"/>
      <w:jc w:val="center"/>
    </w:pPr>
    <w:rPr>
      <w:rFonts w:ascii="Calibri" w:cs="Calibri" w:eastAsia="Calibri" w:hAnsi="Calibri"/>
      <w:b w:val="0"/>
      <w:i w:val="0"/>
      <w:color w:val="127A8A"/>
      <w:sz w:val="26"/>
    </w:rPr>
  </w:style>
  <w:style w:customStyle="1" w:styleId="CoverTarget" w:type="paragraph">
    <w:name w:val="Cover Target"/>
    <w:basedOn w:val="Normal"/>
    <w:pPr>
      <w:spacing w:after="1400" w:before="0"/>
      <w:jc w:val="center"/>
    </w:pPr>
    <w:rPr>
      <w:rFonts w:ascii="Calibri" w:cs="Calibri" w:eastAsia="Calibri" w:hAnsi="Calibri"/>
      <w:b w:val="0"/>
      <w:i/>
      <w:color w:val="1F3864"/>
      <w:sz w:val="24"/>
    </w:rPr>
  </w:style>
  <w:style w:customStyle="1" w:styleId="CoverMeta" w:type="paragraph">
    <w:name w:val="Cover Meta"/>
    <w:basedOn w:val="Normal"/>
    <w:pPr>
      <w:spacing w:after="120" w:before="0"/>
      <w:jc w:val="center"/>
    </w:pPr>
    <w:rPr>
      <w:rFonts w:ascii="Calibri" w:cs="Calibri" w:eastAsia="Calibri" w:hAnsi="Calibri"/>
      <w:b w:val="0"/>
      <w:i w:val="0"/>
      <w:color w:val="222222"/>
      <w:sz w:val="23"/>
    </w:rPr>
  </w:style>
  <w:style w:customStyle="1" w:styleId="CoverNote" w:type="paragraph">
    <w:name w:val="Cover Note"/>
    <w:basedOn w:val="Normal"/>
    <w:pPr>
      <w:spacing w:after="0" w:before="1200"/>
      <w:jc w:val="center"/>
    </w:pPr>
    <w:rPr>
      <w:rFonts w:ascii="Calibri" w:cs="Calibri" w:eastAsia="Calibri" w:hAnsi="Calibri"/>
      <w:b w:val="0"/>
      <w:i/>
      <w:color w:val="55606E"/>
      <w:sz w:val="18"/>
    </w:rPr>
  </w:style>
  <w:style w:customStyle="1" w:styleId="Reference" w:type="paragraph">
    <w:name w:val="Reference"/>
    <w:basedOn w:val="Normal"/>
    <w:pPr>
      <w:spacing w:after="80" w:before="0"/>
      <w:ind w:hanging="510" w:left="510"/>
      <w:jc w:val="left"/>
    </w:pPr>
    <w:rPr>
      <w:rFonts w:ascii="Calibri" w:cs="Calibri" w:eastAsia="Calibri" w:hAnsi="Calibri"/>
      <w:b w:val="0"/>
      <w:i w:val="0"/>
      <w:color w:val="222222"/>
      <w:sz w:val="20"/>
    </w:rPr>
  </w:style>
  <w:style w:customStyle="1" w:styleId="Prompt" w:type="paragraph">
    <w:name w:val="Prompt"/>
    <w:basedOn w:val="Normal"/>
    <w:pPr>
      <w:spacing w:after="120" w:before="0"/>
      <w:ind w:left="454" w:right="454"/>
      <w:jc w:val="both"/>
      <w:shd w:color="auto" w:fill="EEF4F8" w:val="clear"/>
      <w:pBdr>
        <w:left w:color="127A8A" w:space="8" w:sz="18" w:val="single"/>
      </w:pBdr>
    </w:pPr>
    <w:rPr>
      <w:rFonts w:ascii="Calibri" w:cs="Calibri" w:eastAsia="Calibri" w:hAnsi="Calibri"/>
      <w:b w:val="0"/>
      <w:i w:val="0"/>
      <w:color w:val="1D2B3A"/>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7" Type="http://schemas.openxmlformats.org/officeDocument/2006/relationships/image" Target="media/rId37.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47" Type="http://schemas.openxmlformats.org/officeDocument/2006/relationships/image" Target="media/rId47.png"/><Relationship Id="rId41" Type="http://schemas.openxmlformats.org/officeDocument/2006/relationships/image" Target="media/rId41.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Reverse Engineering of an Industrial Axial-Flow Compressor — Project Proposal</dc:title>
  <dc:creator>Alireza Bayati; Melika Bali</dc:creator>
  <cp:keywords>axial compressor; turbomachinery; reverse engineering; AI; MGT-70</cp:keywords>
  <dcterms:created xsi:type="dcterms:W3CDTF">2026-10-28T07:03:53Z</dcterms:created>
  <dcterms:modified xsi:type="dcterms:W3CDTF">2026-10-28T07:03:53Z</dcterms:modified>
  <dc:subject>Turbomachinery course project, Amirkabir University of Technology</dc:subject>
  <dc:description>Prepared with the assistance of Claude (Anthropic).</dc:description>
</cp:coreProperties>
</file>

<file path=docProps/custom.xml><?xml version="1.0" encoding="utf-8"?>
<Properties xmlns="http://schemas.openxmlformats.org/officeDocument/2006/custom-properties" xmlns:vt="http://schemas.openxmlformats.org/officeDocument/2006/docPropsVTypes"/>
</file>