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Arial" w:hAnsi="Arial"/>
          <w:b/>
          <w:i w:val="0"/>
          <w:color w:val="1F2D3D"/>
          <w:sz w:val="40"/>
        </w:rPr>
        <w:t>MRI Görüntülerinden Beyin Tümörü Sınıflandırması</w:t>
      </w:r>
    </w:p>
    <w:p>
      <w:pPr>
        <w:spacing w:after="600"/>
        <w:jc w:val="center"/>
      </w:pPr>
      <w:r>
        <w:rPr>
          <w:rFonts w:ascii="Arial" w:hAnsi="Arial"/>
          <w:b w:val="0"/>
          <w:i/>
          <w:color w:val="2C3E50"/>
          <w:sz w:val="26"/>
        </w:rPr>
        <w:t>Derin Öğrenme ve Transfer Öğrenme Yaklaşımlarının Karşılaştırmalı Analizi</w:t>
      </w:r>
    </w:p>
    <w:p>
      <w:pPr>
        <w:pBdr>
          <w:bottom w:val="single" w:sz="8" w:space="4" w:color="1F2D3D"/>
        </w:pBdr>
        <w:spacing w:after="400"/>
      </w:pPr>
    </w:p>
    <w:p>
      <w:pPr>
        <w:spacing w:after="60"/>
        <w:jc w:val="center"/>
      </w:pPr>
      <w:r>
        <w:rPr>
          <w:rFonts w:ascii="Times New Roman" w:hAnsi="Times New Roman"/>
          <w:b/>
          <w:i w:val="0"/>
          <w:color w:val="000000"/>
          <w:sz w:val="22"/>
        </w:rPr>
        <w:t xml:space="preserve">Yazar: </w:t>
      </w:r>
      <w:r>
        <w:rPr>
          <w:rFonts w:ascii="Times New Roman" w:hAnsi="Times New Roman"/>
          <w:b w:val="0"/>
          <w:i w:val="0"/>
          <w:color w:val="000000"/>
          <w:sz w:val="22"/>
        </w:rPr>
        <w:t>[Adınız Soyadınız]</w:t>
      </w:r>
    </w:p>
    <w:p>
      <w:pPr>
        <w:spacing w:after="60"/>
        <w:jc w:val="center"/>
      </w:pPr>
      <w:r>
        <w:rPr>
          <w:rFonts w:ascii="Times New Roman" w:hAnsi="Times New Roman"/>
          <w:b/>
          <w:i w:val="0"/>
          <w:color w:val="000000"/>
          <w:sz w:val="22"/>
        </w:rPr>
        <w:t xml:space="preserve">Öğrenci No: </w:t>
      </w:r>
      <w:r>
        <w:rPr>
          <w:rFonts w:ascii="Times New Roman" w:hAnsi="Times New Roman"/>
          <w:b w:val="0"/>
          <w:i w:val="0"/>
          <w:color w:val="000000"/>
          <w:sz w:val="22"/>
        </w:rPr>
        <w:t>[Öğrenci Numaranız]</w:t>
      </w:r>
    </w:p>
    <w:p>
      <w:pPr>
        <w:spacing w:after="60"/>
        <w:jc w:val="center"/>
      </w:pPr>
      <w:r>
        <w:rPr>
          <w:rFonts w:ascii="Times New Roman" w:hAnsi="Times New Roman"/>
          <w:b/>
          <w:i w:val="0"/>
          <w:color w:val="000000"/>
          <w:sz w:val="22"/>
        </w:rPr>
        <w:t xml:space="preserve">Program: </w:t>
      </w:r>
      <w:r>
        <w:rPr>
          <w:rFonts w:ascii="Times New Roman" w:hAnsi="Times New Roman"/>
          <w:b w:val="0"/>
          <w:i w:val="0"/>
          <w:color w:val="000000"/>
          <w:sz w:val="22"/>
        </w:rPr>
        <w:t>Yazılım Mühendisliği — Yüksek Lisans</w:t>
      </w:r>
    </w:p>
    <w:p>
      <w:pPr>
        <w:spacing w:after="60"/>
        <w:jc w:val="center"/>
      </w:pPr>
      <w:r>
        <w:rPr>
          <w:rFonts w:ascii="Times New Roman" w:hAnsi="Times New Roman"/>
          <w:b/>
          <w:i w:val="0"/>
          <w:color w:val="000000"/>
          <w:sz w:val="22"/>
        </w:rPr>
        <w:t xml:space="preserve">Ders: </w:t>
      </w:r>
      <w:r>
        <w:rPr>
          <w:rFonts w:ascii="Times New Roman" w:hAnsi="Times New Roman"/>
          <w:b w:val="0"/>
          <w:i w:val="0"/>
          <w:color w:val="000000"/>
          <w:sz w:val="22"/>
        </w:rPr>
        <w:t>Tıbbi Bilişim</w:t>
      </w:r>
    </w:p>
    <w:p>
      <w:pPr>
        <w:spacing w:after="60"/>
        <w:jc w:val="center"/>
      </w:pPr>
      <w:r>
        <w:rPr>
          <w:rFonts w:ascii="Times New Roman" w:hAnsi="Times New Roman"/>
          <w:b/>
          <w:i w:val="0"/>
          <w:color w:val="000000"/>
          <w:sz w:val="22"/>
        </w:rPr>
        <w:t xml:space="preserve">Çerçeve: </w:t>
      </w:r>
      <w:r>
        <w:rPr>
          <w:rFonts w:ascii="Times New Roman" w:hAnsi="Times New Roman"/>
          <w:b w:val="0"/>
          <w:i w:val="0"/>
          <w:color w:val="000000"/>
          <w:sz w:val="22"/>
        </w:rPr>
        <w:t>TensorFlow 2.19.0 / Google Colab (GPU: T4)</w:t>
      </w:r>
    </w:p>
    <w:p>
      <w:pPr>
        <w:spacing w:after="60"/>
        <w:jc w:val="center"/>
      </w:pPr>
      <w:r>
        <w:rPr>
          <w:rFonts w:ascii="Times New Roman" w:hAnsi="Times New Roman"/>
          <w:b/>
          <w:i w:val="0"/>
          <w:color w:val="000000"/>
          <w:sz w:val="22"/>
        </w:rPr>
        <w:t xml:space="preserve">Tarih: </w:t>
      </w:r>
      <w:r>
        <w:rPr>
          <w:rFonts w:ascii="Times New Roman" w:hAnsi="Times New Roman"/>
          <w:b w:val="0"/>
          <w:i w:val="0"/>
          <w:color w:val="000000"/>
          <w:sz w:val="22"/>
        </w:rPr>
        <w:t>2025</w:t>
      </w:r>
    </w:p>
    <w:p>
      <w:r>
        <w:br w:type="page"/>
      </w:r>
    </w:p>
    <w:p>
      <w:pPr>
        <w:spacing w:before="400" w:after="120"/>
        <w:pBdr>
          <w:bottom w:val="single" w:sz="4" w:space="4" w:color="1F2D3D"/>
        </w:pBdr>
      </w:pPr>
      <w:r>
        <w:rPr>
          <w:rFonts w:ascii="Times New Roman" w:hAnsi="Times New Roman"/>
          <w:b/>
          <w:i w:val="0"/>
          <w:color w:val="1F2D3D"/>
          <w:sz w:val="26"/>
        </w:rPr>
        <w:t>1. ÖZET</w:t>
      </w:r>
    </w:p>
    <w:p>
      <w:pPr>
        <w:spacing w:after="80" w:line="360" w:lineRule="exact"/>
        <w:ind w:firstLine="709"/>
        <w:jc w:val="both"/>
      </w:pPr>
      <w:r>
        <w:rPr>
          <w:rFonts w:ascii="Times New Roman" w:hAnsi="Times New Roman"/>
          <w:b w:val="0"/>
          <w:i w:val="0"/>
          <w:color w:val="000000"/>
          <w:sz w:val="22"/>
        </w:rPr>
        <w:t>Bu çalışmada, manyetik rezonans (MRI) görüntülerinden beyin tümörü türünü otomatik olarak belirlemek amacıyla iki farklı derin öğrenme modeli geliştirilmiş ve karşılaştırılmıştır. Çalışmanın amacı, sıfırdan eğitilen bir Evrişimli Sinir Ağı (CNN) ile ön-eğitimli EfficientNetB3 tabanlı transfer öğrenme modelinin gerçek koşullardaki performanslarını ve sınırlılıklarını ortaya koymaktır.</w:t>
      </w:r>
    </w:p>
    <w:p>
      <w:pPr>
        <w:spacing w:after="80" w:line="360" w:lineRule="exact"/>
        <w:ind w:firstLine="709"/>
        <w:jc w:val="both"/>
      </w:pPr>
      <w:r>
        <w:rPr>
          <w:rFonts w:ascii="Times New Roman" w:hAnsi="Times New Roman"/>
          <w:b w:val="0"/>
          <w:i w:val="0"/>
          <w:color w:val="000000"/>
          <w:sz w:val="22"/>
        </w:rPr>
        <w:t>Kaggle'dan erişilen ve dört sınıf içeren Brain Tumor MRI Dataset üzerinde gerçekleştirilen deneylerde, özel CNN modeli test setinde %86.5 doğruluk ve 0.860 F1-skoru elde etmiştir. EfficientNetB3 tabanlı model ise aynı test setinde yalnızca %57.1 doğruluk ile beklenin çok altında bir performans sergilemiştir. Bu bulgu, transfer öğrenmenin kör bir şekilde uygulanmaması gerektiğini ve ön-eğitim stratejisinin veri setine göre dikkatli biçimde ayarlanması gerektiğini göstermektedir.</w:t>
      </w:r>
    </w:p>
    <w:p>
      <w:pPr>
        <w:spacing w:after="80" w:line="360" w:lineRule="exact"/>
        <w:jc w:val="both"/>
      </w:pPr>
      <w:r>
        <w:rPr>
          <w:rFonts w:ascii="Times New Roman" w:hAnsi="Times New Roman"/>
          <w:b w:val="0"/>
          <w:i w:val="0"/>
          <w:color w:val="000000"/>
          <w:sz w:val="22"/>
        </w:rPr>
        <w:t>Anahtar Kelimeler: Beyin Tümörü Sınıflandırması, MRI, CNN, Transfer Öğrenme, EfficientNetB3, TensorFlow, Tıbbi Görüntü Analizi</w:t>
      </w:r>
    </w:p>
    <w:p>
      <w:pPr>
        <w:spacing w:before="400" w:after="120"/>
        <w:pBdr>
          <w:bottom w:val="single" w:sz="4" w:space="4" w:color="1F2D3D"/>
        </w:pBdr>
      </w:pPr>
      <w:r>
        <w:rPr>
          <w:rFonts w:ascii="Times New Roman" w:hAnsi="Times New Roman"/>
          <w:b/>
          <w:i w:val="0"/>
          <w:color w:val="1F2D3D"/>
          <w:sz w:val="26"/>
        </w:rPr>
        <w:t>2. GIRIŞ</w:t>
      </w:r>
    </w:p>
    <w:p>
      <w:pPr>
        <w:spacing w:after="80" w:line="360" w:lineRule="exact"/>
        <w:ind w:firstLine="709"/>
        <w:jc w:val="both"/>
      </w:pPr>
      <w:r>
        <w:rPr>
          <w:rFonts w:ascii="Times New Roman" w:hAnsi="Times New Roman"/>
          <w:b w:val="0"/>
          <w:i w:val="0"/>
          <w:color w:val="000000"/>
          <w:sz w:val="22"/>
        </w:rPr>
        <w:t>Beyin tümörleri, erken teşhis yapılmadığında hızla ilerleyebilen ve yüksek mortalite riski taşıyan nörolojik hastalıklar arasında yer almaktadır. MRI görüntüleri, beyin dokusunu yüksek çözünürlükte görselleştirdiği için tanı sürecinin temelini oluşturmaktadır. Ancak bu görüntülerin yorumlanması; deneyim, zaman ve dikkat gerektiren hassas bir süreçtir.</w:t>
      </w:r>
    </w:p>
    <w:p>
      <w:pPr>
        <w:spacing w:after="80" w:line="360" w:lineRule="exact"/>
        <w:ind w:firstLine="709"/>
        <w:jc w:val="both"/>
      </w:pPr>
      <w:r>
        <w:rPr>
          <w:rFonts w:ascii="Times New Roman" w:hAnsi="Times New Roman"/>
          <w:b w:val="0"/>
          <w:i w:val="0"/>
          <w:color w:val="000000"/>
          <w:sz w:val="22"/>
        </w:rPr>
        <w:t>Derin öğrenme yöntemleri, son yıllarda tıbbi görüntü sınıflandırmada önemli başarılar elde etmiştir. Bu çalışmada, beyin tümörü sınıflandırması için iki farklı yaklaşım denenmiş; sonuçlar karşılaştırmalı olarak analiz edilmiştir. Elde edilen bulgular, hem başarıları hem de karşılaşılan güçlükleri şeffaf biçimde aktarmaktadır.</w:t>
      </w:r>
    </w:p>
    <w:p>
      <w:pPr>
        <w:spacing w:before="240" w:after="80"/>
      </w:pPr>
      <w:r>
        <w:rPr>
          <w:rFonts w:ascii="Times New Roman" w:hAnsi="Times New Roman"/>
          <w:b/>
          <w:i w:val="0"/>
          <w:color w:val="2C3E50"/>
          <w:sz w:val="24"/>
        </w:rPr>
        <w:t>2.1. Çalışmanın Kapsamı ve Katkısı</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Dört sınıflı MRI verisi üzerinde iki modelin gerçek koşullarda karşılaştırılması</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Transfer öğrenmenin veri uyumu olmadan neden başarısız olabileceğinin analizi</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Grad-CAM entegrasyonunun denenmesi ve karşılaşılan teknik güçlüklerin belgelenmesi</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Yeniden üretilebilir, açıklamalı bir Google Colab boru hattının sunulması</w:t>
      </w:r>
    </w:p>
    <w:p>
      <w:pPr>
        <w:spacing w:before="400" w:after="120"/>
        <w:pBdr>
          <w:bottom w:val="single" w:sz="4" w:space="4" w:color="1F2D3D"/>
        </w:pBdr>
      </w:pPr>
      <w:r>
        <w:rPr>
          <w:rFonts w:ascii="Times New Roman" w:hAnsi="Times New Roman"/>
          <w:b/>
          <w:i w:val="0"/>
          <w:color w:val="1F2D3D"/>
          <w:sz w:val="26"/>
        </w:rPr>
        <w:t>3. VERI SETI</w:t>
      </w:r>
    </w:p>
    <w:p>
      <w:pPr>
        <w:spacing w:before="240" w:after="80"/>
      </w:pPr>
      <w:r>
        <w:rPr>
          <w:rFonts w:ascii="Times New Roman" w:hAnsi="Times New Roman"/>
          <w:b/>
          <w:i w:val="0"/>
          <w:color w:val="2C3E50"/>
          <w:sz w:val="24"/>
        </w:rPr>
        <w:t>3.1. Veri Seti Seçimi</w:t>
      </w:r>
    </w:p>
    <w:p>
      <w:pPr>
        <w:spacing w:after="80" w:line="360" w:lineRule="exact"/>
        <w:ind w:firstLine="709"/>
        <w:jc w:val="both"/>
      </w:pPr>
      <w:r>
        <w:rPr>
          <w:rFonts w:ascii="Times New Roman" w:hAnsi="Times New Roman"/>
          <w:b w:val="0"/>
          <w:i w:val="0"/>
          <w:color w:val="000000"/>
          <w:sz w:val="22"/>
        </w:rPr>
        <w:t>Çalışmada, Kaggle platformunda açık erişimli olarak sunulan Brain Tumor MRI Dataset kullanılmıştır (Nickparvar, 2021). Veri seti, T1 ağırlıklı kontrastlı MRI görüntülerinden oluşmakta ve dört sınıf içermektedir: glioma, meningioma, pituitary (hipofiz) tümörü ve notumor (tümörsüz). Veri seti, gerçek klinik görüntüler içermekte olup sınıf dağılımı görece dengelidir.</w:t>
      </w:r>
    </w:p>
    <w:p>
      <w:pPr>
        <w:spacing w:before="240" w:after="80"/>
      </w:pPr>
      <w:r>
        <w:rPr>
          <w:rFonts w:ascii="Times New Roman" w:hAnsi="Times New Roman"/>
          <w:b/>
          <w:i w:val="0"/>
          <w:color w:val="2C3E50"/>
          <w:sz w:val="24"/>
        </w:rPr>
        <w:t>3.2. Veri Dağılımı</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shd w:val="clear" w:color="auto" w:fill="1F2D3D"/>
          </w:tcPr>
          <w:p>
            <w:pPr>
              <w:spacing w:before="60" w:after="60"/>
            </w:pPr>
            <w:r>
              <w:rPr>
                <w:rFonts w:ascii="Times New Roman" w:hAnsi="Times New Roman"/>
                <w:b/>
                <w:color w:val="FFFFFF"/>
                <w:sz w:val="20"/>
              </w:rPr>
              <w:t>Sınıf</w:t>
            </w:r>
          </w:p>
        </w:tc>
        <w:tc>
          <w:tcPr>
            <w:tcW w:type="dxa" w:w="1758"/>
            <w:shd w:val="clear" w:color="auto" w:fill="1F2D3D"/>
          </w:tcPr>
          <w:p>
            <w:pPr>
              <w:spacing w:before="60" w:after="60"/>
            </w:pPr>
            <w:r>
              <w:rPr>
                <w:rFonts w:ascii="Times New Roman" w:hAnsi="Times New Roman"/>
                <w:b/>
                <w:color w:val="FFFFFF"/>
                <w:sz w:val="20"/>
              </w:rPr>
              <w:t>Eğitim</w:t>
            </w:r>
          </w:p>
        </w:tc>
        <w:tc>
          <w:tcPr>
            <w:tcW w:type="dxa" w:w="1758"/>
            <w:shd w:val="clear" w:color="auto" w:fill="1F2D3D"/>
          </w:tcPr>
          <w:p>
            <w:pPr>
              <w:spacing w:before="60" w:after="60"/>
            </w:pPr>
            <w:r>
              <w:rPr>
                <w:rFonts w:ascii="Times New Roman" w:hAnsi="Times New Roman"/>
                <w:b/>
                <w:color w:val="FFFFFF"/>
                <w:sz w:val="20"/>
              </w:rPr>
              <w:t>Doğrulama</w:t>
            </w:r>
          </w:p>
        </w:tc>
        <w:tc>
          <w:tcPr>
            <w:tcW w:type="dxa" w:w="1758"/>
            <w:shd w:val="clear" w:color="auto" w:fill="1F2D3D"/>
          </w:tcPr>
          <w:p>
            <w:pPr>
              <w:spacing w:before="60" w:after="60"/>
            </w:pPr>
            <w:r>
              <w:rPr>
                <w:rFonts w:ascii="Times New Roman" w:hAnsi="Times New Roman"/>
                <w:b/>
                <w:color w:val="FFFFFF"/>
                <w:sz w:val="20"/>
              </w:rPr>
              <w:t>Test</w:t>
            </w:r>
          </w:p>
        </w:tc>
        <w:tc>
          <w:tcPr>
            <w:tcW w:type="dxa" w:w="1758"/>
            <w:shd w:val="clear" w:color="auto" w:fill="1F2D3D"/>
          </w:tcPr>
          <w:p>
            <w:pPr>
              <w:spacing w:before="60" w:after="60"/>
            </w:pPr>
            <w:r>
              <w:rPr>
                <w:rFonts w:ascii="Times New Roman" w:hAnsi="Times New Roman"/>
                <w:b/>
                <w:color w:val="FFFFFF"/>
                <w:sz w:val="20"/>
              </w:rPr>
              <w:t>Toplam</w:t>
            </w:r>
          </w:p>
        </w:tc>
      </w:tr>
      <w:tr>
        <w:tc>
          <w:tcPr>
            <w:tcW w:type="dxa" w:w="1758"/>
          </w:tcPr>
          <w:p>
            <w:pPr>
              <w:spacing w:before="60" w:after="60"/>
            </w:pPr>
            <w:r>
              <w:rPr>
                <w:rFonts w:ascii="Times New Roman" w:hAnsi="Times New Roman"/>
                <w:b w:val="0"/>
                <w:sz w:val="20"/>
              </w:rPr>
              <w:t>Glioma</w:t>
            </w:r>
          </w:p>
        </w:tc>
        <w:tc>
          <w:tcPr>
            <w:tcW w:type="dxa" w:w="1758"/>
          </w:tcPr>
          <w:p>
            <w:pPr>
              <w:spacing w:before="60" w:after="60"/>
            </w:pPr>
            <w:r>
              <w:rPr>
                <w:rFonts w:ascii="Times New Roman" w:hAnsi="Times New Roman"/>
                <w:b w:val="0"/>
                <w:sz w:val="20"/>
              </w:rPr>
              <w:t>~940</w:t>
            </w:r>
          </w:p>
        </w:tc>
        <w:tc>
          <w:tcPr>
            <w:tcW w:type="dxa" w:w="1758"/>
          </w:tcPr>
          <w:p>
            <w:pPr>
              <w:spacing w:before="60" w:after="60"/>
            </w:pPr>
            <w:r>
              <w:rPr>
                <w:rFonts w:ascii="Times New Roman" w:hAnsi="Times New Roman"/>
                <w:b w:val="0"/>
                <w:sz w:val="20"/>
              </w:rPr>
              <w:t>~235</w:t>
            </w:r>
          </w:p>
        </w:tc>
        <w:tc>
          <w:tcPr>
            <w:tcW w:type="dxa" w:w="1758"/>
          </w:tcPr>
          <w:p>
            <w:pPr>
              <w:spacing w:before="60" w:after="60"/>
            </w:pPr>
            <w:r>
              <w:rPr>
                <w:rFonts w:ascii="Times New Roman" w:hAnsi="Times New Roman"/>
                <w:b w:val="0"/>
                <w:sz w:val="20"/>
              </w:rPr>
              <w:t>400</w:t>
            </w:r>
          </w:p>
        </w:tc>
        <w:tc>
          <w:tcPr>
            <w:tcW w:type="dxa" w:w="1758"/>
          </w:tcPr>
          <w:p>
            <w:pPr>
              <w:spacing w:before="60" w:after="60"/>
            </w:pPr>
            <w:r>
              <w:rPr>
                <w:rFonts w:ascii="Times New Roman" w:hAnsi="Times New Roman"/>
                <w:b w:val="0"/>
                <w:sz w:val="20"/>
              </w:rPr>
              <w:t>~1.575</w:t>
            </w:r>
          </w:p>
        </w:tc>
      </w:tr>
      <w:tr>
        <w:tc>
          <w:tcPr>
            <w:tcW w:type="dxa" w:w="1758"/>
          </w:tcPr>
          <w:p>
            <w:pPr>
              <w:spacing w:before="60" w:after="60"/>
            </w:pPr>
            <w:r>
              <w:rPr>
                <w:rFonts w:ascii="Times New Roman" w:hAnsi="Times New Roman"/>
                <w:b w:val="0"/>
                <w:sz w:val="20"/>
              </w:rPr>
              <w:t>Meningioma</w:t>
            </w:r>
          </w:p>
        </w:tc>
        <w:tc>
          <w:tcPr>
            <w:tcW w:type="dxa" w:w="1758"/>
          </w:tcPr>
          <w:p>
            <w:pPr>
              <w:spacing w:before="60" w:after="60"/>
            </w:pPr>
            <w:r>
              <w:rPr>
                <w:rFonts w:ascii="Times New Roman" w:hAnsi="Times New Roman"/>
                <w:b w:val="0"/>
                <w:sz w:val="20"/>
              </w:rPr>
              <w:t>~937</w:t>
            </w:r>
          </w:p>
        </w:tc>
        <w:tc>
          <w:tcPr>
            <w:tcW w:type="dxa" w:w="1758"/>
          </w:tcPr>
          <w:p>
            <w:pPr>
              <w:spacing w:before="60" w:after="60"/>
            </w:pPr>
            <w:r>
              <w:rPr>
                <w:rFonts w:ascii="Times New Roman" w:hAnsi="Times New Roman"/>
                <w:b w:val="0"/>
                <w:sz w:val="20"/>
              </w:rPr>
              <w:t>~234</w:t>
            </w:r>
          </w:p>
        </w:tc>
        <w:tc>
          <w:tcPr>
            <w:tcW w:type="dxa" w:w="1758"/>
          </w:tcPr>
          <w:p>
            <w:pPr>
              <w:spacing w:before="60" w:after="60"/>
            </w:pPr>
            <w:r>
              <w:rPr>
                <w:rFonts w:ascii="Times New Roman" w:hAnsi="Times New Roman"/>
                <w:b w:val="0"/>
                <w:sz w:val="20"/>
              </w:rPr>
              <w:t>400</w:t>
            </w:r>
          </w:p>
        </w:tc>
        <w:tc>
          <w:tcPr>
            <w:tcW w:type="dxa" w:w="1758"/>
          </w:tcPr>
          <w:p>
            <w:pPr>
              <w:spacing w:before="60" w:after="60"/>
            </w:pPr>
            <w:r>
              <w:rPr>
                <w:rFonts w:ascii="Times New Roman" w:hAnsi="Times New Roman"/>
                <w:b w:val="0"/>
                <w:sz w:val="20"/>
              </w:rPr>
              <w:t>~1.571</w:t>
            </w:r>
          </w:p>
        </w:tc>
      </w:tr>
      <w:tr>
        <w:tc>
          <w:tcPr>
            <w:tcW w:type="dxa" w:w="1758"/>
          </w:tcPr>
          <w:p>
            <w:pPr>
              <w:spacing w:before="60" w:after="60"/>
            </w:pPr>
            <w:r>
              <w:rPr>
                <w:rFonts w:ascii="Times New Roman" w:hAnsi="Times New Roman"/>
                <w:b w:val="0"/>
                <w:sz w:val="20"/>
              </w:rPr>
              <w:t>No Tumor</w:t>
            </w:r>
          </w:p>
        </w:tc>
        <w:tc>
          <w:tcPr>
            <w:tcW w:type="dxa" w:w="1758"/>
          </w:tcPr>
          <w:p>
            <w:pPr>
              <w:spacing w:before="60" w:after="60"/>
            </w:pPr>
            <w:r>
              <w:rPr>
                <w:rFonts w:ascii="Times New Roman" w:hAnsi="Times New Roman"/>
                <w:b w:val="0"/>
                <w:sz w:val="20"/>
              </w:rPr>
              <w:t>~902</w:t>
            </w:r>
          </w:p>
        </w:tc>
        <w:tc>
          <w:tcPr>
            <w:tcW w:type="dxa" w:w="1758"/>
          </w:tcPr>
          <w:p>
            <w:pPr>
              <w:spacing w:before="60" w:after="60"/>
            </w:pPr>
            <w:r>
              <w:rPr>
                <w:rFonts w:ascii="Times New Roman" w:hAnsi="Times New Roman"/>
                <w:b w:val="0"/>
                <w:sz w:val="20"/>
              </w:rPr>
              <w:t>~225</w:t>
            </w:r>
          </w:p>
        </w:tc>
        <w:tc>
          <w:tcPr>
            <w:tcW w:type="dxa" w:w="1758"/>
          </w:tcPr>
          <w:p>
            <w:pPr>
              <w:spacing w:before="60" w:after="60"/>
            </w:pPr>
            <w:r>
              <w:rPr>
                <w:rFonts w:ascii="Times New Roman" w:hAnsi="Times New Roman"/>
                <w:b w:val="0"/>
                <w:sz w:val="20"/>
              </w:rPr>
              <w:t>400</w:t>
            </w:r>
          </w:p>
        </w:tc>
        <w:tc>
          <w:tcPr>
            <w:tcW w:type="dxa" w:w="1758"/>
          </w:tcPr>
          <w:p>
            <w:pPr>
              <w:spacing w:before="60" w:after="60"/>
            </w:pPr>
            <w:r>
              <w:rPr>
                <w:rFonts w:ascii="Times New Roman" w:hAnsi="Times New Roman"/>
                <w:b w:val="0"/>
                <w:sz w:val="20"/>
              </w:rPr>
              <w:t>~1.527</w:t>
            </w:r>
          </w:p>
        </w:tc>
      </w:tr>
      <w:tr>
        <w:tc>
          <w:tcPr>
            <w:tcW w:type="dxa" w:w="1758"/>
          </w:tcPr>
          <w:p>
            <w:pPr>
              <w:spacing w:before="60" w:after="60"/>
            </w:pPr>
            <w:r>
              <w:rPr>
                <w:rFonts w:ascii="Times New Roman" w:hAnsi="Times New Roman"/>
                <w:b w:val="0"/>
                <w:sz w:val="20"/>
              </w:rPr>
              <w:t>Pituitary</w:t>
            </w:r>
          </w:p>
        </w:tc>
        <w:tc>
          <w:tcPr>
            <w:tcW w:type="dxa" w:w="1758"/>
          </w:tcPr>
          <w:p>
            <w:pPr>
              <w:spacing w:before="60" w:after="60"/>
            </w:pPr>
            <w:r>
              <w:rPr>
                <w:rFonts w:ascii="Times New Roman" w:hAnsi="Times New Roman"/>
                <w:b w:val="0"/>
                <w:sz w:val="20"/>
              </w:rPr>
              <w:t>~901</w:t>
            </w:r>
          </w:p>
        </w:tc>
        <w:tc>
          <w:tcPr>
            <w:tcW w:type="dxa" w:w="1758"/>
          </w:tcPr>
          <w:p>
            <w:pPr>
              <w:spacing w:before="60" w:after="60"/>
            </w:pPr>
            <w:r>
              <w:rPr>
                <w:rFonts w:ascii="Times New Roman" w:hAnsi="Times New Roman"/>
                <w:b w:val="0"/>
                <w:sz w:val="20"/>
              </w:rPr>
              <w:t>~226</w:t>
            </w:r>
          </w:p>
        </w:tc>
        <w:tc>
          <w:tcPr>
            <w:tcW w:type="dxa" w:w="1758"/>
          </w:tcPr>
          <w:p>
            <w:pPr>
              <w:spacing w:before="60" w:after="60"/>
            </w:pPr>
            <w:r>
              <w:rPr>
                <w:rFonts w:ascii="Times New Roman" w:hAnsi="Times New Roman"/>
                <w:b w:val="0"/>
                <w:sz w:val="20"/>
              </w:rPr>
              <w:t>400</w:t>
            </w:r>
          </w:p>
        </w:tc>
        <w:tc>
          <w:tcPr>
            <w:tcW w:type="dxa" w:w="1758"/>
          </w:tcPr>
          <w:p>
            <w:pPr>
              <w:spacing w:before="60" w:after="60"/>
            </w:pPr>
            <w:r>
              <w:rPr>
                <w:rFonts w:ascii="Times New Roman" w:hAnsi="Times New Roman"/>
                <w:b w:val="0"/>
                <w:sz w:val="20"/>
              </w:rPr>
              <w:t>~1.527</w:t>
            </w:r>
          </w:p>
        </w:tc>
      </w:tr>
      <w:tr>
        <w:tc>
          <w:tcPr>
            <w:tcW w:type="dxa" w:w="1758"/>
            <w:shd w:val="clear" w:color="auto" w:fill="E8E8E8"/>
          </w:tcPr>
          <w:p>
            <w:pPr>
              <w:spacing w:before="60" w:after="60"/>
            </w:pPr>
            <w:r>
              <w:rPr>
                <w:rFonts w:ascii="Times New Roman" w:hAnsi="Times New Roman"/>
                <w:b/>
                <w:sz w:val="20"/>
              </w:rPr>
              <w:t>TOPLAM</w:t>
            </w:r>
          </w:p>
        </w:tc>
        <w:tc>
          <w:tcPr>
            <w:tcW w:type="dxa" w:w="1758"/>
            <w:shd w:val="clear" w:color="auto" w:fill="E8E8E8"/>
          </w:tcPr>
          <w:p>
            <w:pPr>
              <w:spacing w:before="60" w:after="60"/>
            </w:pPr>
            <w:r>
              <w:rPr>
                <w:rFonts w:ascii="Times New Roman" w:hAnsi="Times New Roman"/>
                <w:b/>
                <w:sz w:val="20"/>
              </w:rPr>
              <w:t>4.480</w:t>
            </w:r>
          </w:p>
        </w:tc>
        <w:tc>
          <w:tcPr>
            <w:tcW w:type="dxa" w:w="1758"/>
            <w:shd w:val="clear" w:color="auto" w:fill="E8E8E8"/>
          </w:tcPr>
          <w:p>
            <w:pPr>
              <w:spacing w:before="60" w:after="60"/>
            </w:pPr>
            <w:r>
              <w:rPr>
                <w:rFonts w:ascii="Times New Roman" w:hAnsi="Times New Roman"/>
                <w:b/>
                <w:sz w:val="20"/>
              </w:rPr>
              <w:t>1.120</w:t>
            </w:r>
          </w:p>
        </w:tc>
        <w:tc>
          <w:tcPr>
            <w:tcW w:type="dxa" w:w="1758"/>
            <w:shd w:val="clear" w:color="auto" w:fill="E8E8E8"/>
          </w:tcPr>
          <w:p>
            <w:pPr>
              <w:spacing w:before="60" w:after="60"/>
            </w:pPr>
            <w:r>
              <w:rPr>
                <w:rFonts w:ascii="Times New Roman" w:hAnsi="Times New Roman"/>
                <w:b/>
                <w:sz w:val="20"/>
              </w:rPr>
              <w:t>1.600</w:t>
            </w:r>
          </w:p>
        </w:tc>
        <w:tc>
          <w:tcPr>
            <w:tcW w:type="dxa" w:w="1758"/>
            <w:shd w:val="clear" w:color="auto" w:fill="E8E8E8"/>
          </w:tcPr>
          <w:p>
            <w:pPr>
              <w:spacing w:before="60" w:after="60"/>
            </w:pPr>
            <w:r>
              <w:rPr>
                <w:rFonts w:ascii="Times New Roman" w:hAnsi="Times New Roman"/>
                <w:b/>
                <w:sz w:val="20"/>
              </w:rPr>
              <w:t>~7.200</w:t>
            </w:r>
          </w:p>
        </w:tc>
      </w:tr>
    </w:tbl>
    <w:p>
      <w:pPr>
        <w:spacing w:before="40" w:after="120"/>
        <w:jc w:val="both"/>
      </w:pPr>
      <w:r>
        <w:rPr>
          <w:rFonts w:ascii="Times New Roman" w:hAnsi="Times New Roman"/>
          <w:b w:val="0"/>
          <w:i/>
          <w:color w:val="555555"/>
          <w:sz w:val="18"/>
        </w:rPr>
        <w:t>Tablo 1. Veri setinin sınıf bazlı dağılımı. Doğrulama seti eğitim setinin %20'si ayrılarak oluşturulmuştur.</w:t>
      </w:r>
    </w:p>
    <w:p>
      <w:pPr>
        <w:spacing w:before="400" w:after="120"/>
        <w:pBdr>
          <w:bottom w:val="single" w:sz="4" w:space="4" w:color="1F2D3D"/>
        </w:pBdr>
      </w:pPr>
      <w:r>
        <w:rPr>
          <w:rFonts w:ascii="Times New Roman" w:hAnsi="Times New Roman"/>
          <w:b/>
          <w:i w:val="0"/>
          <w:color w:val="1F2D3D"/>
          <w:sz w:val="26"/>
        </w:rPr>
        <w:t>4. YÖNTEM</w:t>
      </w:r>
    </w:p>
    <w:p>
      <w:pPr>
        <w:spacing w:before="240" w:after="80"/>
      </w:pPr>
      <w:r>
        <w:rPr>
          <w:rFonts w:ascii="Times New Roman" w:hAnsi="Times New Roman"/>
          <w:b/>
          <w:i w:val="0"/>
          <w:color w:val="2C3E50"/>
          <w:sz w:val="24"/>
        </w:rPr>
        <w:t>4.1. Veri Ön İşleme ve Augmentation</w:t>
      </w:r>
    </w:p>
    <w:p>
      <w:pPr>
        <w:spacing w:after="80" w:line="360" w:lineRule="exact"/>
        <w:jc w:val="both"/>
      </w:pPr>
      <w:r>
        <w:rPr>
          <w:rFonts w:ascii="Times New Roman" w:hAnsi="Times New Roman"/>
          <w:b w:val="0"/>
          <w:i w:val="0"/>
          <w:color w:val="000000"/>
          <w:sz w:val="22"/>
        </w:rPr>
        <w:t>Tüm görüntüler 224×224 piksel boyutuna yeniden ölçeklendirilmiş ve piksel değerleri [0, 1] aralığına normalize edilmiştir. Eğitim setine, modelin genelleme kapasitesini artırmak amacıyla aşağıdaki veri artırma teknikleri uygulanmıştır:</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Yatay çevirme (horizontal flip)</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Döndürme ±15°</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Yakınlaştırma/uzaklaştırma ±10%</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Parlaklık değişimi 0.80–1.20 arası</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Kayma dönüşümü (shear: 0.1)</w:t>
      </w:r>
    </w:p>
    <w:p>
      <w:pPr>
        <w:spacing w:after="80" w:line="360" w:lineRule="exact"/>
        <w:jc w:val="both"/>
      </w:pPr>
      <w:r>
        <w:rPr>
          <w:rFonts w:ascii="Times New Roman" w:hAnsi="Times New Roman"/>
          <w:b w:val="0"/>
          <w:i w:val="0"/>
          <w:color w:val="000000"/>
          <w:sz w:val="22"/>
        </w:rPr>
        <w:t>Test seti; augmentation uygulanmadan, yalnızca normalizasyonla kullanılmıştır. Bu yaklaşım, değerlendirme sırasındaki veri sızıntısını önlemektedir.</w:t>
      </w:r>
    </w:p>
    <w:p>
      <w:pPr>
        <w:spacing w:before="240" w:after="80"/>
      </w:pPr>
      <w:r>
        <w:rPr>
          <w:rFonts w:ascii="Times New Roman" w:hAnsi="Times New Roman"/>
          <w:b/>
          <w:i w:val="0"/>
          <w:color w:val="2C3E50"/>
          <w:sz w:val="24"/>
        </w:rPr>
        <w:t>4.2. Model A — Özel CNN</w:t>
      </w:r>
    </w:p>
    <w:p>
      <w:pPr>
        <w:spacing w:after="80" w:line="360" w:lineRule="exact"/>
        <w:ind w:firstLine="709"/>
        <w:jc w:val="both"/>
      </w:pPr>
      <w:r>
        <w:rPr>
          <w:rFonts w:ascii="Times New Roman" w:hAnsi="Times New Roman"/>
          <w:b w:val="0"/>
          <w:i w:val="0"/>
          <w:color w:val="000000"/>
          <w:sz w:val="22"/>
        </w:rPr>
        <w:t>İlk model, sıfırdan tasarlanmış üç bloklu bir CNN mimarisinden oluşmaktadır. Her blok; Conv2D → BatchNormalization → ReLU → MaxPooling2D → Dropout katmanlarını içermektedir. Filtre sayıları 32 → 64 → 128 şeklinde artmakta; bu sayede alt düzey özelliklerden (kenar, doku) üst düzey yapılara (tümör morfolojisi) hiyerarşik bir öğrenme gerçekleşmektedir.</w:t>
      </w:r>
    </w:p>
    <w:p>
      <w:pPr>
        <w:spacing w:after="80" w:line="360" w:lineRule="exact"/>
        <w:jc w:val="both"/>
      </w:pPr>
      <w:r>
        <w:rPr>
          <w:rFonts w:ascii="Times New Roman" w:hAnsi="Times New Roman"/>
          <w:b w:val="0"/>
          <w:i w:val="0"/>
          <w:color w:val="000000"/>
          <w:sz w:val="22"/>
        </w:rPr>
        <w:t>Sınıflandırıcı baş kısmında Global Average Pooling → Dense(256) → Dropout(0.5) → Softmax katmanları yer almaktadır. Toplam parametre sayısı 323.876 olup model TensorFlow 2.19.0 ile derlenmiştir.</w:t>
      </w:r>
    </w:p>
    <w:p>
      <w:pPr>
        <w:spacing w:before="240" w:after="80"/>
      </w:pPr>
      <w:r>
        <w:rPr>
          <w:rFonts w:ascii="Times New Roman" w:hAnsi="Times New Roman"/>
          <w:b/>
          <w:i w:val="0"/>
          <w:color w:val="2C3E50"/>
          <w:sz w:val="24"/>
        </w:rPr>
        <w:t>4.3. Model B — EfficientNetB3 Transfer Öğrenme</w:t>
      </w:r>
    </w:p>
    <w:p>
      <w:pPr>
        <w:spacing w:after="80" w:line="360" w:lineRule="exact"/>
        <w:ind w:firstLine="709"/>
        <w:jc w:val="both"/>
      </w:pPr>
      <w:r>
        <w:rPr>
          <w:rFonts w:ascii="Times New Roman" w:hAnsi="Times New Roman"/>
          <w:b w:val="0"/>
          <w:i w:val="0"/>
          <w:color w:val="000000"/>
          <w:sz w:val="22"/>
        </w:rPr>
        <w:t>İkinci model, ImageNet üzerinde ön-eğitimli EfficientNetB3'ü taban ağ olarak kullanmaktadır. Eğitim iki aşamada planlanmıştır: Aşama 1'de taban ağ dondurularak yalnızca baş katmanlar eğitilmiş (10 epoch, LR=1e-3); Aşama 2'de son 30 katman çözülerek düşük öğrenme hızıyla ince ayar yapılmıştır (20 epoch, LR=1e-5).</w:t>
      </w:r>
    </w:p>
    <w:p>
      <w:pPr>
        <w:spacing w:before="240" w:after="80"/>
      </w:pPr>
      <w:r>
        <w:rPr>
          <w:rFonts w:ascii="Times New Roman" w:hAnsi="Times New Roman"/>
          <w:b/>
          <w:i w:val="0"/>
          <w:color w:val="2C3E50"/>
          <w:sz w:val="24"/>
        </w:rPr>
        <w:t>4.4. Eğitim Protokolü</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2C3E50"/>
          </w:tcPr>
          <w:p>
            <w:pPr>
              <w:spacing w:before="60" w:after="60"/>
            </w:pPr>
            <w:r>
              <w:rPr>
                <w:rFonts w:ascii="Times New Roman" w:hAnsi="Times New Roman"/>
                <w:b/>
                <w:color w:val="FFFFFF"/>
                <w:sz w:val="20"/>
              </w:rPr>
              <w:t>Parametre</w:t>
            </w:r>
          </w:p>
        </w:tc>
        <w:tc>
          <w:tcPr>
            <w:tcW w:type="dxa" w:w="2929"/>
            <w:shd w:val="clear" w:color="auto" w:fill="2C3E50"/>
          </w:tcPr>
          <w:p>
            <w:pPr>
              <w:spacing w:before="60" w:after="60"/>
            </w:pPr>
            <w:r>
              <w:rPr>
                <w:rFonts w:ascii="Times New Roman" w:hAnsi="Times New Roman"/>
                <w:b/>
                <w:color w:val="FFFFFF"/>
                <w:sz w:val="20"/>
              </w:rPr>
              <w:t>Model A (CNN)</w:t>
            </w:r>
          </w:p>
        </w:tc>
        <w:tc>
          <w:tcPr>
            <w:tcW w:type="dxa" w:w="2929"/>
            <w:shd w:val="clear" w:color="auto" w:fill="2C3E50"/>
          </w:tcPr>
          <w:p>
            <w:pPr>
              <w:spacing w:before="60" w:after="60"/>
            </w:pPr>
            <w:r>
              <w:rPr>
                <w:rFonts w:ascii="Times New Roman" w:hAnsi="Times New Roman"/>
                <w:b/>
                <w:color w:val="FFFFFF"/>
                <w:sz w:val="20"/>
              </w:rPr>
              <w:t>Model B (EfficientNetB3)</w:t>
            </w:r>
          </w:p>
        </w:tc>
      </w:tr>
      <w:tr>
        <w:tc>
          <w:tcPr>
            <w:tcW w:type="dxa" w:w="2929"/>
          </w:tcPr>
          <w:p>
            <w:pPr>
              <w:spacing w:before="60" w:after="60"/>
            </w:pPr>
            <w:r>
              <w:rPr>
                <w:rFonts w:ascii="Times New Roman" w:hAnsi="Times New Roman"/>
                <w:b w:val="0"/>
                <w:sz w:val="20"/>
              </w:rPr>
              <w:t>Optimizer</w:t>
            </w:r>
          </w:p>
        </w:tc>
        <w:tc>
          <w:tcPr>
            <w:tcW w:type="dxa" w:w="2929"/>
          </w:tcPr>
          <w:p>
            <w:pPr>
              <w:spacing w:before="60" w:after="60"/>
            </w:pPr>
            <w:r>
              <w:rPr>
                <w:rFonts w:ascii="Times New Roman" w:hAnsi="Times New Roman"/>
                <w:b w:val="0"/>
                <w:sz w:val="20"/>
              </w:rPr>
              <w:t>Adam</w:t>
            </w:r>
          </w:p>
        </w:tc>
        <w:tc>
          <w:tcPr>
            <w:tcW w:type="dxa" w:w="2929"/>
          </w:tcPr>
          <w:p>
            <w:pPr>
              <w:spacing w:before="60" w:after="60"/>
            </w:pPr>
            <w:r>
              <w:rPr>
                <w:rFonts w:ascii="Times New Roman" w:hAnsi="Times New Roman"/>
                <w:b w:val="0"/>
                <w:sz w:val="20"/>
              </w:rPr>
              <w:t>Adam</w:t>
            </w:r>
          </w:p>
        </w:tc>
      </w:tr>
      <w:tr>
        <w:tc>
          <w:tcPr>
            <w:tcW w:type="dxa" w:w="2929"/>
          </w:tcPr>
          <w:p>
            <w:pPr>
              <w:spacing w:before="60" w:after="60"/>
            </w:pPr>
            <w:r>
              <w:rPr>
                <w:rFonts w:ascii="Times New Roman" w:hAnsi="Times New Roman"/>
                <w:b w:val="0"/>
                <w:sz w:val="20"/>
              </w:rPr>
              <w:t>Başlangıç LR</w:t>
            </w:r>
          </w:p>
        </w:tc>
        <w:tc>
          <w:tcPr>
            <w:tcW w:type="dxa" w:w="2929"/>
          </w:tcPr>
          <w:p>
            <w:pPr>
              <w:spacing w:before="60" w:after="60"/>
            </w:pPr>
            <w:r>
              <w:rPr>
                <w:rFonts w:ascii="Times New Roman" w:hAnsi="Times New Roman"/>
                <w:b w:val="0"/>
                <w:sz w:val="20"/>
              </w:rPr>
              <w:t>1 × 10⁻³</w:t>
            </w:r>
          </w:p>
        </w:tc>
        <w:tc>
          <w:tcPr>
            <w:tcW w:type="dxa" w:w="2929"/>
          </w:tcPr>
          <w:p>
            <w:pPr>
              <w:spacing w:before="60" w:after="60"/>
            </w:pPr>
            <w:r>
              <w:rPr>
                <w:rFonts w:ascii="Times New Roman" w:hAnsi="Times New Roman"/>
                <w:b w:val="0"/>
                <w:sz w:val="20"/>
              </w:rPr>
              <w:t>1 × 10⁻³ / 1 × 10⁻⁵</w:t>
            </w:r>
          </w:p>
        </w:tc>
      </w:tr>
      <w:tr>
        <w:tc>
          <w:tcPr>
            <w:tcW w:type="dxa" w:w="2929"/>
          </w:tcPr>
          <w:p>
            <w:pPr>
              <w:spacing w:before="60" w:after="60"/>
            </w:pPr>
            <w:r>
              <w:rPr>
                <w:rFonts w:ascii="Times New Roman" w:hAnsi="Times New Roman"/>
                <w:b w:val="0"/>
                <w:sz w:val="20"/>
              </w:rPr>
              <w:t>Kayıp Fonksiyonu</w:t>
            </w:r>
          </w:p>
        </w:tc>
        <w:tc>
          <w:tcPr>
            <w:tcW w:type="dxa" w:w="2929"/>
          </w:tcPr>
          <w:p>
            <w:pPr>
              <w:spacing w:before="60" w:after="60"/>
            </w:pPr>
            <w:r>
              <w:rPr>
                <w:rFonts w:ascii="Times New Roman" w:hAnsi="Times New Roman"/>
                <w:b w:val="0"/>
                <w:sz w:val="20"/>
              </w:rPr>
              <w:t>Categorical Cross-Entropy</w:t>
            </w:r>
          </w:p>
        </w:tc>
        <w:tc>
          <w:tcPr>
            <w:tcW w:type="dxa" w:w="2929"/>
          </w:tcPr>
          <w:p>
            <w:pPr>
              <w:spacing w:before="60" w:after="60"/>
            </w:pPr>
            <w:r>
              <w:rPr>
                <w:rFonts w:ascii="Times New Roman" w:hAnsi="Times New Roman"/>
                <w:b w:val="0"/>
                <w:sz w:val="20"/>
              </w:rPr>
              <w:t>Categorical Cross-Entropy</w:t>
            </w:r>
          </w:p>
        </w:tc>
      </w:tr>
      <w:tr>
        <w:tc>
          <w:tcPr>
            <w:tcW w:type="dxa" w:w="2929"/>
          </w:tcPr>
          <w:p>
            <w:pPr>
              <w:spacing w:before="60" w:after="60"/>
            </w:pPr>
            <w:r>
              <w:rPr>
                <w:rFonts w:ascii="Times New Roman" w:hAnsi="Times New Roman"/>
                <w:b w:val="0"/>
                <w:sz w:val="20"/>
              </w:rPr>
              <w:t>Batch Boyutu</w:t>
            </w:r>
          </w:p>
        </w:tc>
        <w:tc>
          <w:tcPr>
            <w:tcW w:type="dxa" w:w="2929"/>
          </w:tcPr>
          <w:p>
            <w:pPr>
              <w:spacing w:before="60" w:after="60"/>
            </w:pPr>
            <w:r>
              <w:rPr>
                <w:rFonts w:ascii="Times New Roman" w:hAnsi="Times New Roman"/>
                <w:b w:val="0"/>
                <w:sz w:val="20"/>
              </w:rPr>
              <w:t>32</w:t>
            </w:r>
          </w:p>
        </w:tc>
        <w:tc>
          <w:tcPr>
            <w:tcW w:type="dxa" w:w="2929"/>
          </w:tcPr>
          <w:p>
            <w:pPr>
              <w:spacing w:before="60" w:after="60"/>
            </w:pPr>
            <w:r>
              <w:rPr>
                <w:rFonts w:ascii="Times New Roman" w:hAnsi="Times New Roman"/>
                <w:b w:val="0"/>
                <w:sz w:val="20"/>
              </w:rPr>
              <w:t>32</w:t>
            </w:r>
          </w:p>
        </w:tc>
      </w:tr>
      <w:tr>
        <w:tc>
          <w:tcPr>
            <w:tcW w:type="dxa" w:w="2929"/>
          </w:tcPr>
          <w:p>
            <w:pPr>
              <w:spacing w:before="60" w:after="60"/>
            </w:pPr>
            <w:r>
              <w:rPr>
                <w:rFonts w:ascii="Times New Roman" w:hAnsi="Times New Roman"/>
                <w:b w:val="0"/>
                <w:sz w:val="20"/>
              </w:rPr>
              <w:t>Maks. Epoch</w:t>
            </w:r>
          </w:p>
        </w:tc>
        <w:tc>
          <w:tcPr>
            <w:tcW w:type="dxa" w:w="2929"/>
          </w:tcPr>
          <w:p>
            <w:pPr>
              <w:spacing w:before="60" w:after="60"/>
            </w:pPr>
            <w:r>
              <w:rPr>
                <w:rFonts w:ascii="Times New Roman" w:hAnsi="Times New Roman"/>
                <w:b w:val="0"/>
                <w:sz w:val="20"/>
              </w:rPr>
              <w:t>30</w:t>
            </w:r>
          </w:p>
        </w:tc>
        <w:tc>
          <w:tcPr>
            <w:tcW w:type="dxa" w:w="2929"/>
          </w:tcPr>
          <w:p>
            <w:pPr>
              <w:spacing w:before="60" w:after="60"/>
            </w:pPr>
            <w:r>
              <w:rPr>
                <w:rFonts w:ascii="Times New Roman" w:hAnsi="Times New Roman"/>
                <w:b w:val="0"/>
                <w:sz w:val="20"/>
              </w:rPr>
              <w:t>10 + 20</w:t>
            </w:r>
          </w:p>
        </w:tc>
      </w:tr>
      <w:tr>
        <w:tc>
          <w:tcPr>
            <w:tcW w:type="dxa" w:w="2929"/>
          </w:tcPr>
          <w:p>
            <w:pPr>
              <w:spacing w:before="60" w:after="60"/>
            </w:pPr>
            <w:r>
              <w:rPr>
                <w:rFonts w:ascii="Times New Roman" w:hAnsi="Times New Roman"/>
                <w:b w:val="0"/>
                <w:sz w:val="20"/>
              </w:rPr>
              <w:t>Early Stopping</w:t>
            </w:r>
          </w:p>
        </w:tc>
        <w:tc>
          <w:tcPr>
            <w:tcW w:type="dxa" w:w="2929"/>
          </w:tcPr>
          <w:p>
            <w:pPr>
              <w:spacing w:before="60" w:after="60"/>
            </w:pPr>
            <w:r>
              <w:rPr>
                <w:rFonts w:ascii="Times New Roman" w:hAnsi="Times New Roman"/>
                <w:b w:val="0"/>
                <w:sz w:val="20"/>
              </w:rPr>
              <w:t>patience=7</w:t>
            </w:r>
          </w:p>
        </w:tc>
        <w:tc>
          <w:tcPr>
            <w:tcW w:type="dxa" w:w="2929"/>
          </w:tcPr>
          <w:p>
            <w:pPr>
              <w:spacing w:before="60" w:after="60"/>
            </w:pPr>
            <w:r>
              <w:rPr>
                <w:rFonts w:ascii="Times New Roman" w:hAnsi="Times New Roman"/>
                <w:b w:val="0"/>
                <w:sz w:val="20"/>
              </w:rPr>
              <w:t>patience=7</w:t>
            </w:r>
          </w:p>
        </w:tc>
      </w:tr>
      <w:tr>
        <w:tc>
          <w:tcPr>
            <w:tcW w:type="dxa" w:w="2929"/>
          </w:tcPr>
          <w:p>
            <w:pPr>
              <w:spacing w:before="60" w:after="60"/>
            </w:pPr>
            <w:r>
              <w:rPr>
                <w:rFonts w:ascii="Times New Roman" w:hAnsi="Times New Roman"/>
                <w:b w:val="0"/>
                <w:sz w:val="20"/>
              </w:rPr>
              <w:t>ReduceLROnPlateau</w:t>
            </w:r>
          </w:p>
        </w:tc>
        <w:tc>
          <w:tcPr>
            <w:tcW w:type="dxa" w:w="2929"/>
          </w:tcPr>
          <w:p>
            <w:pPr>
              <w:spacing w:before="60" w:after="60"/>
            </w:pPr>
            <w:r>
              <w:rPr>
                <w:rFonts w:ascii="Times New Roman" w:hAnsi="Times New Roman"/>
                <w:b w:val="0"/>
                <w:sz w:val="20"/>
              </w:rPr>
              <w:t>patience=4, factor=0.5</w:t>
            </w:r>
          </w:p>
        </w:tc>
        <w:tc>
          <w:tcPr>
            <w:tcW w:type="dxa" w:w="2929"/>
          </w:tcPr>
          <w:p>
            <w:pPr>
              <w:spacing w:before="60" w:after="60"/>
            </w:pPr>
            <w:r>
              <w:rPr>
                <w:rFonts w:ascii="Times New Roman" w:hAnsi="Times New Roman"/>
                <w:b w:val="0"/>
                <w:sz w:val="20"/>
              </w:rPr>
              <w:t>patience=4, factor=0.5</w:t>
            </w:r>
          </w:p>
        </w:tc>
      </w:tr>
    </w:tbl>
    <w:p>
      <w:pPr>
        <w:spacing w:before="40" w:after="120"/>
        <w:jc w:val="both"/>
      </w:pPr>
      <w:r>
        <w:rPr>
          <w:rFonts w:ascii="Times New Roman" w:hAnsi="Times New Roman"/>
          <w:b w:val="0"/>
          <w:i/>
          <w:color w:val="555555"/>
          <w:sz w:val="18"/>
        </w:rPr>
        <w:t>Tablo 2. Her iki model için eğitim protokolü karşılaştırması.</w:t>
      </w:r>
    </w:p>
    <w:p>
      <w:pPr>
        <w:spacing w:before="400" w:after="120"/>
        <w:pBdr>
          <w:bottom w:val="single" w:sz="4" w:space="4" w:color="1F2D3D"/>
        </w:pBdr>
      </w:pPr>
      <w:r>
        <w:rPr>
          <w:rFonts w:ascii="Times New Roman" w:hAnsi="Times New Roman"/>
          <w:b/>
          <w:i w:val="0"/>
          <w:color w:val="1F2D3D"/>
          <w:sz w:val="26"/>
        </w:rPr>
        <w:t>5. SONUÇLAR</w:t>
      </w:r>
    </w:p>
    <w:p>
      <w:pPr>
        <w:spacing w:before="240" w:after="80"/>
      </w:pPr>
      <w:r>
        <w:rPr>
          <w:rFonts w:ascii="Times New Roman" w:hAnsi="Times New Roman"/>
          <w:b/>
          <w:i w:val="0"/>
          <w:color w:val="2C3E50"/>
          <w:sz w:val="24"/>
        </w:rPr>
        <w:t>5.1. Genel Performans Karşılaştırması</w:t>
      </w:r>
    </w:p>
    <w:p>
      <w:pPr>
        <w:spacing w:after="80" w:line="360" w:lineRule="exact"/>
        <w:ind w:firstLine="709"/>
        <w:jc w:val="both"/>
      </w:pPr>
      <w:r>
        <w:rPr>
          <w:rFonts w:ascii="Times New Roman" w:hAnsi="Times New Roman"/>
          <w:b w:val="0"/>
          <w:i w:val="0"/>
          <w:color w:val="000000"/>
          <w:sz w:val="22"/>
        </w:rPr>
        <w:t>Tablo 3, her iki modelin test setindeki genel performans metriklerini göstermektedir. Özel CNN modeli tüm metriklerde EfficientNetB3 modelini belirgin biçimde geride bırakmıştır. Bu beklenmedik sonuç, transfer öğrenmenin veri setine uygun biçimde yapılandırılmaması durumunda yetersiz kalabileceğini ortaya koymaktadır.</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val="clear" w:color="auto" w:fill="1F2D3D"/>
          </w:tcPr>
          <w:p>
            <w:pPr>
              <w:spacing w:before="60" w:after="60"/>
            </w:pPr>
            <w:r>
              <w:rPr>
                <w:rFonts w:ascii="Times New Roman" w:hAnsi="Times New Roman"/>
                <w:b/>
                <w:color w:val="FFFFFF"/>
                <w:sz w:val="20"/>
              </w:rPr>
              <w:t>Metrik</w:t>
            </w:r>
          </w:p>
        </w:tc>
        <w:tc>
          <w:tcPr>
            <w:tcW w:type="dxa" w:w="2197"/>
            <w:shd w:val="clear" w:color="auto" w:fill="1F2D3D"/>
          </w:tcPr>
          <w:p>
            <w:pPr>
              <w:spacing w:before="60" w:after="60"/>
            </w:pPr>
            <w:r>
              <w:rPr>
                <w:rFonts w:ascii="Times New Roman" w:hAnsi="Times New Roman"/>
                <w:b/>
                <w:color w:val="FFFFFF"/>
                <w:sz w:val="20"/>
              </w:rPr>
              <w:t>Özel CNN</w:t>
            </w:r>
          </w:p>
        </w:tc>
        <w:tc>
          <w:tcPr>
            <w:tcW w:type="dxa" w:w="2197"/>
            <w:shd w:val="clear" w:color="auto" w:fill="1F2D3D"/>
          </w:tcPr>
          <w:p>
            <w:pPr>
              <w:spacing w:before="60" w:after="60"/>
            </w:pPr>
            <w:r>
              <w:rPr>
                <w:rFonts w:ascii="Times New Roman" w:hAnsi="Times New Roman"/>
                <w:b/>
                <w:color w:val="FFFFFF"/>
                <w:sz w:val="20"/>
              </w:rPr>
              <w:t>EfficientNetB3 Transfer</w:t>
            </w:r>
          </w:p>
        </w:tc>
        <w:tc>
          <w:tcPr>
            <w:tcW w:type="dxa" w:w="2197"/>
            <w:shd w:val="clear" w:color="auto" w:fill="1F2D3D"/>
          </w:tcPr>
          <w:p>
            <w:pPr>
              <w:spacing w:before="60" w:after="60"/>
            </w:pPr>
            <w:r>
              <w:rPr>
                <w:rFonts w:ascii="Times New Roman" w:hAnsi="Times New Roman"/>
                <w:b/>
                <w:color w:val="FFFFFF"/>
                <w:sz w:val="20"/>
              </w:rPr>
              <w:t>Fark</w:t>
            </w:r>
          </w:p>
        </w:tc>
      </w:tr>
      <w:tr>
        <w:tc>
          <w:tcPr>
            <w:tcW w:type="dxa" w:w="2197"/>
          </w:tcPr>
          <w:p>
            <w:pPr>
              <w:spacing w:before="60" w:after="60"/>
            </w:pPr>
            <w:r>
              <w:rPr>
                <w:rFonts w:ascii="Times New Roman" w:hAnsi="Times New Roman"/>
                <w:b w:val="0"/>
                <w:sz w:val="20"/>
              </w:rPr>
              <w:t>Accuracy</w:t>
            </w:r>
          </w:p>
        </w:tc>
        <w:tc>
          <w:tcPr>
            <w:tcW w:type="dxa" w:w="2197"/>
          </w:tcPr>
          <w:p>
            <w:pPr>
              <w:spacing w:before="60" w:after="60"/>
            </w:pPr>
            <w:r>
              <w:rPr>
                <w:rFonts w:ascii="Times New Roman" w:hAnsi="Times New Roman"/>
                <w:b w:val="0"/>
                <w:sz w:val="20"/>
              </w:rPr>
              <w:t>86.50%</w:t>
            </w:r>
          </w:p>
        </w:tc>
        <w:tc>
          <w:tcPr>
            <w:tcW w:type="dxa" w:w="2197"/>
          </w:tcPr>
          <w:p>
            <w:pPr>
              <w:spacing w:before="60" w:after="60"/>
            </w:pPr>
            <w:r>
              <w:rPr>
                <w:rFonts w:ascii="Times New Roman" w:hAnsi="Times New Roman"/>
                <w:b w:val="0"/>
                <w:sz w:val="20"/>
              </w:rPr>
              <w:t>57.12%</w:t>
            </w:r>
          </w:p>
        </w:tc>
        <w:tc>
          <w:tcPr>
            <w:tcW w:type="dxa" w:w="2197"/>
          </w:tcPr>
          <w:p>
            <w:pPr>
              <w:spacing w:before="60" w:after="60"/>
            </w:pPr>
            <w:r>
              <w:rPr>
                <w:rFonts w:ascii="Times New Roman" w:hAnsi="Times New Roman"/>
                <w:b w:val="0"/>
                <w:color w:val="C0392B"/>
                <w:sz w:val="20"/>
              </w:rPr>
              <w:t>−29.38 pp</w:t>
            </w:r>
          </w:p>
        </w:tc>
      </w:tr>
      <w:tr>
        <w:tc>
          <w:tcPr>
            <w:tcW w:type="dxa" w:w="2197"/>
          </w:tcPr>
          <w:p>
            <w:pPr>
              <w:spacing w:before="60" w:after="60"/>
            </w:pPr>
            <w:r>
              <w:rPr>
                <w:rFonts w:ascii="Times New Roman" w:hAnsi="Times New Roman"/>
                <w:b w:val="0"/>
                <w:sz w:val="20"/>
              </w:rPr>
              <w:t>Precision</w:t>
            </w:r>
          </w:p>
        </w:tc>
        <w:tc>
          <w:tcPr>
            <w:tcW w:type="dxa" w:w="2197"/>
          </w:tcPr>
          <w:p>
            <w:pPr>
              <w:spacing w:before="60" w:after="60"/>
            </w:pPr>
            <w:r>
              <w:rPr>
                <w:rFonts w:ascii="Times New Roman" w:hAnsi="Times New Roman"/>
                <w:b w:val="0"/>
                <w:sz w:val="20"/>
              </w:rPr>
              <w:t>0.875</w:t>
            </w:r>
          </w:p>
        </w:tc>
        <w:tc>
          <w:tcPr>
            <w:tcW w:type="dxa" w:w="2197"/>
          </w:tcPr>
          <w:p>
            <w:pPr>
              <w:spacing w:before="60" w:after="60"/>
            </w:pPr>
            <w:r>
              <w:rPr>
                <w:rFonts w:ascii="Times New Roman" w:hAnsi="Times New Roman"/>
                <w:b w:val="0"/>
                <w:sz w:val="20"/>
              </w:rPr>
              <w:t>0.582</w:t>
            </w:r>
          </w:p>
        </w:tc>
        <w:tc>
          <w:tcPr>
            <w:tcW w:type="dxa" w:w="2197"/>
          </w:tcPr>
          <w:p>
            <w:pPr>
              <w:spacing w:before="60" w:after="60"/>
            </w:pPr>
            <w:r>
              <w:rPr>
                <w:rFonts w:ascii="Times New Roman" w:hAnsi="Times New Roman"/>
                <w:b w:val="0"/>
                <w:color w:val="C0392B"/>
                <w:sz w:val="20"/>
              </w:rPr>
              <w:t>−0.293</w:t>
            </w:r>
          </w:p>
        </w:tc>
      </w:tr>
      <w:tr>
        <w:tc>
          <w:tcPr>
            <w:tcW w:type="dxa" w:w="2197"/>
          </w:tcPr>
          <w:p>
            <w:pPr>
              <w:spacing w:before="60" w:after="60"/>
            </w:pPr>
            <w:r>
              <w:rPr>
                <w:rFonts w:ascii="Times New Roman" w:hAnsi="Times New Roman"/>
                <w:b w:val="0"/>
                <w:sz w:val="20"/>
              </w:rPr>
              <w:t>Recall</w:t>
            </w:r>
          </w:p>
        </w:tc>
        <w:tc>
          <w:tcPr>
            <w:tcW w:type="dxa" w:w="2197"/>
          </w:tcPr>
          <w:p>
            <w:pPr>
              <w:spacing w:before="60" w:after="60"/>
            </w:pPr>
            <w:r>
              <w:rPr>
                <w:rFonts w:ascii="Times New Roman" w:hAnsi="Times New Roman"/>
                <w:b w:val="0"/>
                <w:sz w:val="20"/>
              </w:rPr>
              <w:t>0.865</w:t>
            </w:r>
          </w:p>
        </w:tc>
        <w:tc>
          <w:tcPr>
            <w:tcW w:type="dxa" w:w="2197"/>
          </w:tcPr>
          <w:p>
            <w:pPr>
              <w:spacing w:before="60" w:after="60"/>
            </w:pPr>
            <w:r>
              <w:rPr>
                <w:rFonts w:ascii="Times New Roman" w:hAnsi="Times New Roman"/>
                <w:b w:val="0"/>
                <w:sz w:val="20"/>
              </w:rPr>
              <w:t>0.571</w:t>
            </w:r>
          </w:p>
        </w:tc>
        <w:tc>
          <w:tcPr>
            <w:tcW w:type="dxa" w:w="2197"/>
          </w:tcPr>
          <w:p>
            <w:pPr>
              <w:spacing w:before="60" w:after="60"/>
            </w:pPr>
            <w:r>
              <w:rPr>
                <w:rFonts w:ascii="Times New Roman" w:hAnsi="Times New Roman"/>
                <w:b w:val="0"/>
                <w:color w:val="C0392B"/>
                <w:sz w:val="20"/>
              </w:rPr>
              <w:t>−0.294</w:t>
            </w:r>
          </w:p>
        </w:tc>
      </w:tr>
      <w:tr>
        <w:tc>
          <w:tcPr>
            <w:tcW w:type="dxa" w:w="2197"/>
          </w:tcPr>
          <w:p>
            <w:pPr>
              <w:spacing w:before="60" w:after="60"/>
            </w:pPr>
            <w:r>
              <w:rPr>
                <w:rFonts w:ascii="Times New Roman" w:hAnsi="Times New Roman"/>
                <w:b w:val="0"/>
                <w:sz w:val="20"/>
              </w:rPr>
              <w:t>F1-Score</w:t>
            </w:r>
          </w:p>
        </w:tc>
        <w:tc>
          <w:tcPr>
            <w:tcW w:type="dxa" w:w="2197"/>
          </w:tcPr>
          <w:p>
            <w:pPr>
              <w:spacing w:before="60" w:after="60"/>
            </w:pPr>
            <w:r>
              <w:rPr>
                <w:rFonts w:ascii="Times New Roman" w:hAnsi="Times New Roman"/>
                <w:b w:val="0"/>
                <w:sz w:val="20"/>
              </w:rPr>
              <w:t>0.860</w:t>
            </w:r>
          </w:p>
        </w:tc>
        <w:tc>
          <w:tcPr>
            <w:tcW w:type="dxa" w:w="2197"/>
          </w:tcPr>
          <w:p>
            <w:pPr>
              <w:spacing w:before="60" w:after="60"/>
            </w:pPr>
            <w:r>
              <w:rPr>
                <w:rFonts w:ascii="Times New Roman" w:hAnsi="Times New Roman"/>
                <w:b w:val="0"/>
                <w:sz w:val="20"/>
              </w:rPr>
              <w:t>0.563</w:t>
            </w:r>
          </w:p>
        </w:tc>
        <w:tc>
          <w:tcPr>
            <w:tcW w:type="dxa" w:w="2197"/>
          </w:tcPr>
          <w:p>
            <w:pPr>
              <w:spacing w:before="60" w:after="60"/>
            </w:pPr>
            <w:r>
              <w:rPr>
                <w:rFonts w:ascii="Times New Roman" w:hAnsi="Times New Roman"/>
                <w:b w:val="0"/>
                <w:color w:val="C0392B"/>
                <w:sz w:val="20"/>
              </w:rPr>
              <w:t>−0.297</w:t>
            </w:r>
          </w:p>
        </w:tc>
      </w:tr>
    </w:tbl>
    <w:p>
      <w:pPr>
        <w:spacing w:before="40" w:after="120"/>
        <w:jc w:val="both"/>
      </w:pPr>
      <w:r>
        <w:rPr>
          <w:rFonts w:ascii="Times New Roman" w:hAnsi="Times New Roman"/>
          <w:b w:val="0"/>
          <w:i/>
          <w:color w:val="555555"/>
          <w:sz w:val="18"/>
        </w:rPr>
        <w:t>Tablo 3. Test seti performans metrikleri (1.600 görüntü, 4 sınıf). pp: yüzde puan.</w:t>
      </w:r>
    </w:p>
    <w:p>
      <w:pPr>
        <w:spacing w:before="240" w:after="80"/>
      </w:pPr>
      <w:r>
        <w:rPr>
          <w:rFonts w:ascii="Times New Roman" w:hAnsi="Times New Roman"/>
          <w:b/>
          <w:i w:val="0"/>
          <w:color w:val="2C3E50"/>
          <w:sz w:val="24"/>
        </w:rPr>
        <w:t>5.2. Model A — Özel CNN: Sınıf Bazlı Sonuçlar</w:t>
      </w:r>
    </w:p>
    <w:p>
      <w:pPr>
        <w:spacing w:after="80" w:line="360" w:lineRule="exact"/>
        <w:ind w:firstLine="709"/>
        <w:jc w:val="both"/>
      </w:pPr>
      <w:r>
        <w:rPr>
          <w:rFonts w:ascii="Times New Roman" w:hAnsi="Times New Roman"/>
          <w:b w:val="0"/>
          <w:i w:val="0"/>
          <w:color w:val="000000"/>
          <w:sz w:val="22"/>
        </w:rPr>
        <w:t>Özel CNN modeli, 30 epoch boyunca eğitilmiş ve erken durdurma tetiklenmemiştir. Bu durum, modelin eğitim süresince sürekli iyileştiğini göstermektedir. Son epoch'ta eğitim doğruluğu %94.71'e ulaşmış; doğrulama doğruluğu ise %93.21 ile zirve yapmıştır.</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shd w:val="clear" w:color="auto" w:fill="1F2D3D"/>
          </w:tcPr>
          <w:p>
            <w:pPr>
              <w:spacing w:before="60" w:after="60"/>
            </w:pPr>
            <w:r>
              <w:rPr>
                <w:rFonts w:ascii="Times New Roman" w:hAnsi="Times New Roman"/>
                <w:b/>
                <w:color w:val="FFFFFF"/>
                <w:sz w:val="20"/>
              </w:rPr>
              <w:t>Sınıf</w:t>
            </w:r>
          </w:p>
        </w:tc>
        <w:tc>
          <w:tcPr>
            <w:tcW w:type="dxa" w:w="1758"/>
            <w:shd w:val="clear" w:color="auto" w:fill="1F2D3D"/>
          </w:tcPr>
          <w:p>
            <w:pPr>
              <w:spacing w:before="60" w:after="60"/>
            </w:pPr>
            <w:r>
              <w:rPr>
                <w:rFonts w:ascii="Times New Roman" w:hAnsi="Times New Roman"/>
                <w:b/>
                <w:color w:val="FFFFFF"/>
                <w:sz w:val="20"/>
              </w:rPr>
              <w:t>Precision</w:t>
            </w:r>
          </w:p>
        </w:tc>
        <w:tc>
          <w:tcPr>
            <w:tcW w:type="dxa" w:w="1758"/>
            <w:shd w:val="clear" w:color="auto" w:fill="1F2D3D"/>
          </w:tcPr>
          <w:p>
            <w:pPr>
              <w:spacing w:before="60" w:after="60"/>
            </w:pPr>
            <w:r>
              <w:rPr>
                <w:rFonts w:ascii="Times New Roman" w:hAnsi="Times New Roman"/>
                <w:b/>
                <w:color w:val="FFFFFF"/>
                <w:sz w:val="20"/>
              </w:rPr>
              <w:t>Recall</w:t>
            </w:r>
          </w:p>
        </w:tc>
        <w:tc>
          <w:tcPr>
            <w:tcW w:type="dxa" w:w="1758"/>
            <w:shd w:val="clear" w:color="auto" w:fill="1F2D3D"/>
          </w:tcPr>
          <w:p>
            <w:pPr>
              <w:spacing w:before="60" w:after="60"/>
            </w:pPr>
            <w:r>
              <w:rPr>
                <w:rFonts w:ascii="Times New Roman" w:hAnsi="Times New Roman"/>
                <w:b/>
                <w:color w:val="FFFFFF"/>
                <w:sz w:val="20"/>
              </w:rPr>
              <w:t>F1-Score</w:t>
            </w:r>
          </w:p>
        </w:tc>
        <w:tc>
          <w:tcPr>
            <w:tcW w:type="dxa" w:w="1758"/>
            <w:shd w:val="clear" w:color="auto" w:fill="1F2D3D"/>
          </w:tcPr>
          <w:p>
            <w:pPr>
              <w:spacing w:before="60" w:after="60"/>
            </w:pPr>
            <w:r>
              <w:rPr>
                <w:rFonts w:ascii="Times New Roman" w:hAnsi="Times New Roman"/>
                <w:b/>
                <w:color w:val="FFFFFF"/>
                <w:sz w:val="20"/>
              </w:rPr>
              <w:t>Destek</w:t>
            </w:r>
          </w:p>
        </w:tc>
      </w:tr>
      <w:tr>
        <w:tc>
          <w:tcPr>
            <w:tcW w:type="dxa" w:w="1758"/>
          </w:tcPr>
          <w:p>
            <w:pPr>
              <w:spacing w:before="60" w:after="60"/>
            </w:pPr>
            <w:r>
              <w:rPr>
                <w:rFonts w:ascii="Times New Roman" w:hAnsi="Times New Roman"/>
                <w:b w:val="0"/>
                <w:sz w:val="20"/>
              </w:rPr>
              <w:t>Glioma</w:t>
            </w:r>
          </w:p>
        </w:tc>
        <w:tc>
          <w:tcPr>
            <w:tcW w:type="dxa" w:w="1758"/>
          </w:tcPr>
          <w:p>
            <w:pPr>
              <w:spacing w:before="60" w:after="60"/>
            </w:pPr>
            <w:r>
              <w:rPr>
                <w:rFonts w:ascii="Times New Roman" w:hAnsi="Times New Roman"/>
                <w:b w:val="0"/>
                <w:sz w:val="20"/>
              </w:rPr>
              <w:t>0.97</w:t>
            </w:r>
          </w:p>
        </w:tc>
        <w:tc>
          <w:tcPr>
            <w:tcW w:type="dxa" w:w="1758"/>
          </w:tcPr>
          <w:p>
            <w:pPr>
              <w:spacing w:before="60" w:after="60"/>
            </w:pPr>
            <w:r>
              <w:rPr>
                <w:rFonts w:ascii="Times New Roman" w:hAnsi="Times New Roman"/>
                <w:b w:val="0"/>
                <w:sz w:val="20"/>
              </w:rPr>
              <w:t>0.67</w:t>
            </w:r>
          </w:p>
        </w:tc>
        <w:tc>
          <w:tcPr>
            <w:tcW w:type="dxa" w:w="1758"/>
          </w:tcPr>
          <w:p>
            <w:pPr>
              <w:spacing w:before="60" w:after="60"/>
            </w:pPr>
            <w:r>
              <w:rPr>
                <w:rFonts w:ascii="Times New Roman" w:hAnsi="Times New Roman"/>
                <w:b w:val="0"/>
                <w:sz w:val="20"/>
              </w:rPr>
              <w:t>0.79</w:t>
            </w:r>
          </w:p>
        </w:tc>
        <w:tc>
          <w:tcPr>
            <w:tcW w:type="dxa" w:w="1758"/>
          </w:tcPr>
          <w:p>
            <w:pPr>
              <w:spacing w:before="60" w:after="60"/>
            </w:pPr>
            <w:r>
              <w:rPr>
                <w:rFonts w:ascii="Times New Roman" w:hAnsi="Times New Roman"/>
                <w:b w:val="0"/>
                <w:sz w:val="20"/>
              </w:rPr>
              <w:t>400</w:t>
            </w:r>
          </w:p>
        </w:tc>
      </w:tr>
      <w:tr>
        <w:tc>
          <w:tcPr>
            <w:tcW w:type="dxa" w:w="1758"/>
          </w:tcPr>
          <w:p>
            <w:pPr>
              <w:spacing w:before="60" w:after="60"/>
            </w:pPr>
            <w:r>
              <w:rPr>
                <w:rFonts w:ascii="Times New Roman" w:hAnsi="Times New Roman"/>
                <w:b w:val="0"/>
                <w:sz w:val="20"/>
              </w:rPr>
              <w:t>Meningioma</w:t>
            </w:r>
          </w:p>
        </w:tc>
        <w:tc>
          <w:tcPr>
            <w:tcW w:type="dxa" w:w="1758"/>
          </w:tcPr>
          <w:p>
            <w:pPr>
              <w:spacing w:before="60" w:after="60"/>
            </w:pPr>
            <w:r>
              <w:rPr>
                <w:rFonts w:ascii="Times New Roman" w:hAnsi="Times New Roman"/>
                <w:b w:val="0"/>
                <w:sz w:val="20"/>
              </w:rPr>
              <w:t>0.84</w:t>
            </w:r>
          </w:p>
        </w:tc>
        <w:tc>
          <w:tcPr>
            <w:tcW w:type="dxa" w:w="1758"/>
          </w:tcPr>
          <w:p>
            <w:pPr>
              <w:spacing w:before="60" w:after="60"/>
            </w:pPr>
            <w:r>
              <w:rPr>
                <w:rFonts w:ascii="Times New Roman" w:hAnsi="Times New Roman"/>
                <w:b w:val="0"/>
                <w:sz w:val="20"/>
              </w:rPr>
              <w:t>0.79</w:t>
            </w:r>
          </w:p>
        </w:tc>
        <w:tc>
          <w:tcPr>
            <w:tcW w:type="dxa" w:w="1758"/>
          </w:tcPr>
          <w:p>
            <w:pPr>
              <w:spacing w:before="60" w:after="60"/>
            </w:pPr>
            <w:r>
              <w:rPr>
                <w:rFonts w:ascii="Times New Roman" w:hAnsi="Times New Roman"/>
                <w:b w:val="0"/>
                <w:sz w:val="20"/>
              </w:rPr>
              <w:t>0.82</w:t>
            </w:r>
          </w:p>
        </w:tc>
        <w:tc>
          <w:tcPr>
            <w:tcW w:type="dxa" w:w="1758"/>
          </w:tcPr>
          <w:p>
            <w:pPr>
              <w:spacing w:before="60" w:after="60"/>
            </w:pPr>
            <w:r>
              <w:rPr>
                <w:rFonts w:ascii="Times New Roman" w:hAnsi="Times New Roman"/>
                <w:b w:val="0"/>
                <w:sz w:val="20"/>
              </w:rPr>
              <w:t>400</w:t>
            </w:r>
          </w:p>
        </w:tc>
      </w:tr>
      <w:tr>
        <w:tc>
          <w:tcPr>
            <w:tcW w:type="dxa" w:w="1758"/>
          </w:tcPr>
          <w:p>
            <w:pPr>
              <w:spacing w:before="60" w:after="60"/>
            </w:pPr>
            <w:r>
              <w:rPr>
                <w:rFonts w:ascii="Times New Roman" w:hAnsi="Times New Roman"/>
                <w:b w:val="0"/>
                <w:sz w:val="20"/>
              </w:rPr>
              <w:t>No Tumor</w:t>
            </w:r>
          </w:p>
        </w:tc>
        <w:tc>
          <w:tcPr>
            <w:tcW w:type="dxa" w:w="1758"/>
          </w:tcPr>
          <w:p>
            <w:pPr>
              <w:spacing w:before="60" w:after="60"/>
            </w:pPr>
            <w:r>
              <w:rPr>
                <w:rFonts w:ascii="Times New Roman" w:hAnsi="Times New Roman"/>
                <w:b w:val="0"/>
                <w:sz w:val="20"/>
              </w:rPr>
              <w:t>0.86</w:t>
            </w:r>
          </w:p>
        </w:tc>
        <w:tc>
          <w:tcPr>
            <w:tcW w:type="dxa" w:w="1758"/>
          </w:tcPr>
          <w:p>
            <w:pPr>
              <w:spacing w:before="60" w:after="60"/>
            </w:pPr>
            <w:r>
              <w:rPr>
                <w:rFonts w:ascii="Times New Roman" w:hAnsi="Times New Roman"/>
                <w:b w:val="0"/>
                <w:sz w:val="20"/>
              </w:rPr>
              <w:t>1.00</w:t>
            </w:r>
          </w:p>
        </w:tc>
        <w:tc>
          <w:tcPr>
            <w:tcW w:type="dxa" w:w="1758"/>
          </w:tcPr>
          <w:p>
            <w:pPr>
              <w:spacing w:before="60" w:after="60"/>
            </w:pPr>
            <w:r>
              <w:rPr>
                <w:rFonts w:ascii="Times New Roman" w:hAnsi="Times New Roman"/>
                <w:b w:val="0"/>
                <w:sz w:val="20"/>
              </w:rPr>
              <w:t>0.93</w:t>
            </w:r>
          </w:p>
        </w:tc>
        <w:tc>
          <w:tcPr>
            <w:tcW w:type="dxa" w:w="1758"/>
          </w:tcPr>
          <w:p>
            <w:pPr>
              <w:spacing w:before="60" w:after="60"/>
            </w:pPr>
            <w:r>
              <w:rPr>
                <w:rFonts w:ascii="Times New Roman" w:hAnsi="Times New Roman"/>
                <w:b w:val="0"/>
                <w:sz w:val="20"/>
              </w:rPr>
              <w:t>400</w:t>
            </w:r>
          </w:p>
        </w:tc>
      </w:tr>
      <w:tr>
        <w:tc>
          <w:tcPr>
            <w:tcW w:type="dxa" w:w="1758"/>
          </w:tcPr>
          <w:p>
            <w:pPr>
              <w:spacing w:before="60" w:after="60"/>
            </w:pPr>
            <w:r>
              <w:rPr>
                <w:rFonts w:ascii="Times New Roman" w:hAnsi="Times New Roman"/>
                <w:b w:val="0"/>
                <w:sz w:val="20"/>
              </w:rPr>
              <w:t>Pituitary</w:t>
            </w:r>
          </w:p>
        </w:tc>
        <w:tc>
          <w:tcPr>
            <w:tcW w:type="dxa" w:w="1758"/>
          </w:tcPr>
          <w:p>
            <w:pPr>
              <w:spacing w:before="60" w:after="60"/>
            </w:pPr>
            <w:r>
              <w:rPr>
                <w:rFonts w:ascii="Times New Roman" w:hAnsi="Times New Roman"/>
                <w:b w:val="0"/>
                <w:sz w:val="20"/>
              </w:rPr>
              <w:t>0.83</w:t>
            </w:r>
          </w:p>
        </w:tc>
        <w:tc>
          <w:tcPr>
            <w:tcW w:type="dxa" w:w="1758"/>
          </w:tcPr>
          <w:p>
            <w:pPr>
              <w:spacing w:before="60" w:after="60"/>
            </w:pPr>
            <w:r>
              <w:rPr>
                <w:rFonts w:ascii="Times New Roman" w:hAnsi="Times New Roman"/>
                <w:b w:val="0"/>
                <w:sz w:val="20"/>
              </w:rPr>
              <w:t>1.00</w:t>
            </w:r>
          </w:p>
        </w:tc>
        <w:tc>
          <w:tcPr>
            <w:tcW w:type="dxa" w:w="1758"/>
          </w:tcPr>
          <w:p>
            <w:pPr>
              <w:spacing w:before="60" w:after="60"/>
            </w:pPr>
            <w:r>
              <w:rPr>
                <w:rFonts w:ascii="Times New Roman" w:hAnsi="Times New Roman"/>
                <w:b w:val="0"/>
                <w:sz w:val="20"/>
              </w:rPr>
              <w:t>0.90</w:t>
            </w:r>
          </w:p>
        </w:tc>
        <w:tc>
          <w:tcPr>
            <w:tcW w:type="dxa" w:w="1758"/>
          </w:tcPr>
          <w:p>
            <w:pPr>
              <w:spacing w:before="60" w:after="60"/>
            </w:pPr>
            <w:r>
              <w:rPr>
                <w:rFonts w:ascii="Times New Roman" w:hAnsi="Times New Roman"/>
                <w:b w:val="0"/>
                <w:sz w:val="20"/>
              </w:rPr>
              <w:t>400</w:t>
            </w:r>
          </w:p>
        </w:tc>
      </w:tr>
      <w:tr>
        <w:tc>
          <w:tcPr>
            <w:tcW w:type="dxa" w:w="1758"/>
            <w:shd w:val="clear" w:color="auto" w:fill="E8E8E8"/>
          </w:tcPr>
          <w:p>
            <w:pPr>
              <w:spacing w:before="60" w:after="60"/>
            </w:pPr>
            <w:r>
              <w:rPr>
                <w:rFonts w:ascii="Times New Roman" w:hAnsi="Times New Roman"/>
                <w:b/>
                <w:sz w:val="20"/>
              </w:rPr>
              <w:t>Ağ. Ort.</w:t>
            </w:r>
          </w:p>
        </w:tc>
        <w:tc>
          <w:tcPr>
            <w:tcW w:type="dxa" w:w="1758"/>
            <w:shd w:val="clear" w:color="auto" w:fill="E8E8E8"/>
          </w:tcPr>
          <w:p>
            <w:pPr>
              <w:spacing w:before="60" w:after="60"/>
            </w:pPr>
            <w:r>
              <w:rPr>
                <w:rFonts w:ascii="Times New Roman" w:hAnsi="Times New Roman"/>
                <w:b/>
                <w:sz w:val="20"/>
              </w:rPr>
              <w:t>0.88</w:t>
            </w:r>
          </w:p>
        </w:tc>
        <w:tc>
          <w:tcPr>
            <w:tcW w:type="dxa" w:w="1758"/>
            <w:shd w:val="clear" w:color="auto" w:fill="E8E8E8"/>
          </w:tcPr>
          <w:p>
            <w:pPr>
              <w:spacing w:before="60" w:after="60"/>
            </w:pPr>
            <w:r>
              <w:rPr>
                <w:rFonts w:ascii="Times New Roman" w:hAnsi="Times New Roman"/>
                <w:b/>
                <w:sz w:val="20"/>
              </w:rPr>
              <w:t>0.87</w:t>
            </w:r>
          </w:p>
        </w:tc>
        <w:tc>
          <w:tcPr>
            <w:tcW w:type="dxa" w:w="1758"/>
            <w:shd w:val="clear" w:color="auto" w:fill="E8E8E8"/>
          </w:tcPr>
          <w:p>
            <w:pPr>
              <w:spacing w:before="60" w:after="60"/>
            </w:pPr>
            <w:r>
              <w:rPr>
                <w:rFonts w:ascii="Times New Roman" w:hAnsi="Times New Roman"/>
                <w:b/>
                <w:sz w:val="20"/>
              </w:rPr>
              <w:t>0.86</w:t>
            </w:r>
          </w:p>
        </w:tc>
        <w:tc>
          <w:tcPr>
            <w:tcW w:type="dxa" w:w="1758"/>
            <w:shd w:val="clear" w:color="auto" w:fill="E8E8E8"/>
          </w:tcPr>
          <w:p>
            <w:pPr>
              <w:spacing w:before="60" w:after="60"/>
            </w:pPr>
            <w:r>
              <w:rPr>
                <w:rFonts w:ascii="Times New Roman" w:hAnsi="Times New Roman"/>
                <w:b/>
                <w:sz w:val="20"/>
              </w:rPr>
              <w:t>1.600</w:t>
            </w:r>
          </w:p>
        </w:tc>
      </w:tr>
    </w:tbl>
    <w:p>
      <w:pPr>
        <w:spacing w:before="40" w:after="120"/>
        <w:jc w:val="both"/>
      </w:pPr>
      <w:r>
        <w:rPr>
          <w:rFonts w:ascii="Times New Roman" w:hAnsi="Times New Roman"/>
          <w:b w:val="0"/>
          <w:i/>
          <w:color w:val="555555"/>
          <w:sz w:val="18"/>
        </w:rPr>
        <w:t>Tablo 4. Özel CNN modelinin sınıf bazlı classification report sonuçları.</w:t>
      </w:r>
    </w:p>
    <w:p>
      <w:pPr>
        <w:spacing w:after="80" w:line="360" w:lineRule="exact"/>
        <w:ind w:firstLine="709"/>
        <w:jc w:val="both"/>
      </w:pPr>
      <w:r>
        <w:rPr>
          <w:rFonts w:ascii="Times New Roman" w:hAnsi="Times New Roman"/>
          <w:b w:val="0"/>
          <w:i w:val="0"/>
          <w:color w:val="000000"/>
          <w:sz w:val="22"/>
        </w:rPr>
        <w:t>Sınıf bazlı analiz ilgi çekici bir örüntü ortaya koymaktadır: Glioma sınıfı en yüksek precision değerine (0.97) sahipken recall değeri oldukça düşük kalmıştır (0.67). Bu, modelin glioma tahminlerini oldukça temkinli yaptığını, yani gerçek glioma vakalarının önemli bir bölümünü kaçırdığını göstermektedir. Buna karşın notumor ve pituitary sınıflarında recall 1.00'a ulaşmış; model bu iki sınıfı hiç kaçırmamıştır.</w:t>
      </w:r>
    </w:p>
    <w:p>
      <w:pPr>
        <w:spacing w:before="240" w:after="80"/>
      </w:pPr>
      <w:r>
        <w:rPr>
          <w:rFonts w:ascii="Times New Roman" w:hAnsi="Times New Roman"/>
          <w:b/>
          <w:i w:val="0"/>
          <w:color w:val="2C3E50"/>
          <w:sz w:val="24"/>
        </w:rPr>
        <w:t>5.3. Model B — EfficientNetB3: Sınıf Bazlı Sonuçlar</w:t>
      </w:r>
    </w:p>
    <w:p>
      <w:pPr>
        <w:spacing w:after="80" w:line="360" w:lineRule="exact"/>
        <w:ind w:firstLine="709"/>
        <w:jc w:val="both"/>
      </w:pPr>
      <w:r>
        <w:rPr>
          <w:rFonts w:ascii="Times New Roman" w:hAnsi="Times New Roman"/>
          <w:b w:val="0"/>
          <w:i w:val="0"/>
          <w:color w:val="000000"/>
          <w:sz w:val="22"/>
        </w:rPr>
        <w:t>EfficientNetB3 modeli hem Aşama 1 hem de Aşama 2 boyunca beklenmedik biçimde düşük performans sergilemiştir. Aşama 1'de doğrulama doğruluğu en iyi haliyle %47.32'de kalmış; Aşama 2 fine-tuning sonrasında ise test setinde yalnızca %57.12 doğruluk elde edilmiştir.</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shd w:val="clear" w:color="auto" w:fill="1F2D3D"/>
          </w:tcPr>
          <w:p>
            <w:pPr>
              <w:spacing w:before="60" w:after="60"/>
            </w:pPr>
            <w:r>
              <w:rPr>
                <w:rFonts w:ascii="Times New Roman" w:hAnsi="Times New Roman"/>
                <w:b/>
                <w:color w:val="FFFFFF"/>
                <w:sz w:val="20"/>
              </w:rPr>
              <w:t>Sınıf</w:t>
            </w:r>
          </w:p>
        </w:tc>
        <w:tc>
          <w:tcPr>
            <w:tcW w:type="dxa" w:w="1758"/>
            <w:shd w:val="clear" w:color="auto" w:fill="1F2D3D"/>
          </w:tcPr>
          <w:p>
            <w:pPr>
              <w:spacing w:before="60" w:after="60"/>
            </w:pPr>
            <w:r>
              <w:rPr>
                <w:rFonts w:ascii="Times New Roman" w:hAnsi="Times New Roman"/>
                <w:b/>
                <w:color w:val="FFFFFF"/>
                <w:sz w:val="20"/>
              </w:rPr>
              <w:t>Precision</w:t>
            </w:r>
          </w:p>
        </w:tc>
        <w:tc>
          <w:tcPr>
            <w:tcW w:type="dxa" w:w="1758"/>
            <w:shd w:val="clear" w:color="auto" w:fill="1F2D3D"/>
          </w:tcPr>
          <w:p>
            <w:pPr>
              <w:spacing w:before="60" w:after="60"/>
            </w:pPr>
            <w:r>
              <w:rPr>
                <w:rFonts w:ascii="Times New Roman" w:hAnsi="Times New Roman"/>
                <w:b/>
                <w:color w:val="FFFFFF"/>
                <w:sz w:val="20"/>
              </w:rPr>
              <w:t>Recall</w:t>
            </w:r>
          </w:p>
        </w:tc>
        <w:tc>
          <w:tcPr>
            <w:tcW w:type="dxa" w:w="1758"/>
            <w:shd w:val="clear" w:color="auto" w:fill="1F2D3D"/>
          </w:tcPr>
          <w:p>
            <w:pPr>
              <w:spacing w:before="60" w:after="60"/>
            </w:pPr>
            <w:r>
              <w:rPr>
                <w:rFonts w:ascii="Times New Roman" w:hAnsi="Times New Roman"/>
                <w:b/>
                <w:color w:val="FFFFFF"/>
                <w:sz w:val="20"/>
              </w:rPr>
              <w:t>F1-Score</w:t>
            </w:r>
          </w:p>
        </w:tc>
        <w:tc>
          <w:tcPr>
            <w:tcW w:type="dxa" w:w="1758"/>
            <w:shd w:val="clear" w:color="auto" w:fill="1F2D3D"/>
          </w:tcPr>
          <w:p>
            <w:pPr>
              <w:spacing w:before="60" w:after="60"/>
            </w:pPr>
            <w:r>
              <w:rPr>
                <w:rFonts w:ascii="Times New Roman" w:hAnsi="Times New Roman"/>
                <w:b/>
                <w:color w:val="FFFFFF"/>
                <w:sz w:val="20"/>
              </w:rPr>
              <w:t>Destek</w:t>
            </w:r>
          </w:p>
        </w:tc>
      </w:tr>
      <w:tr>
        <w:tc>
          <w:tcPr>
            <w:tcW w:type="dxa" w:w="1758"/>
          </w:tcPr>
          <w:p>
            <w:pPr>
              <w:spacing w:before="60" w:after="60"/>
            </w:pPr>
            <w:r>
              <w:rPr>
                <w:rFonts w:ascii="Times New Roman" w:hAnsi="Times New Roman"/>
                <w:b w:val="0"/>
                <w:sz w:val="20"/>
              </w:rPr>
              <w:t>Glioma</w:t>
            </w:r>
          </w:p>
        </w:tc>
        <w:tc>
          <w:tcPr>
            <w:tcW w:type="dxa" w:w="1758"/>
          </w:tcPr>
          <w:p>
            <w:pPr>
              <w:spacing w:before="60" w:after="60"/>
            </w:pPr>
            <w:r>
              <w:rPr>
                <w:rFonts w:ascii="Times New Roman" w:hAnsi="Times New Roman"/>
                <w:b w:val="0"/>
                <w:sz w:val="20"/>
              </w:rPr>
              <w:t>0.50</w:t>
            </w:r>
          </w:p>
        </w:tc>
        <w:tc>
          <w:tcPr>
            <w:tcW w:type="dxa" w:w="1758"/>
          </w:tcPr>
          <w:p>
            <w:pPr>
              <w:spacing w:before="60" w:after="60"/>
            </w:pPr>
            <w:r>
              <w:rPr>
                <w:rFonts w:ascii="Times New Roman" w:hAnsi="Times New Roman"/>
                <w:b w:val="0"/>
                <w:sz w:val="20"/>
              </w:rPr>
              <w:t>0.66</w:t>
            </w:r>
          </w:p>
        </w:tc>
        <w:tc>
          <w:tcPr>
            <w:tcW w:type="dxa" w:w="1758"/>
          </w:tcPr>
          <w:p>
            <w:pPr>
              <w:spacing w:before="60" w:after="60"/>
            </w:pPr>
            <w:r>
              <w:rPr>
                <w:rFonts w:ascii="Times New Roman" w:hAnsi="Times New Roman"/>
                <w:b w:val="0"/>
                <w:sz w:val="20"/>
              </w:rPr>
              <w:t>0.57</w:t>
            </w:r>
          </w:p>
        </w:tc>
        <w:tc>
          <w:tcPr>
            <w:tcW w:type="dxa" w:w="1758"/>
          </w:tcPr>
          <w:p>
            <w:pPr>
              <w:spacing w:before="60" w:after="60"/>
            </w:pPr>
            <w:r>
              <w:rPr>
                <w:rFonts w:ascii="Times New Roman" w:hAnsi="Times New Roman"/>
                <w:b w:val="0"/>
                <w:sz w:val="20"/>
              </w:rPr>
              <w:t>400</w:t>
            </w:r>
          </w:p>
        </w:tc>
      </w:tr>
      <w:tr>
        <w:tc>
          <w:tcPr>
            <w:tcW w:type="dxa" w:w="1758"/>
          </w:tcPr>
          <w:p>
            <w:pPr>
              <w:spacing w:before="60" w:after="60"/>
            </w:pPr>
            <w:r>
              <w:rPr>
                <w:rFonts w:ascii="Times New Roman" w:hAnsi="Times New Roman"/>
                <w:b w:val="0"/>
                <w:sz w:val="20"/>
              </w:rPr>
              <w:t>Meningioma</w:t>
            </w:r>
          </w:p>
        </w:tc>
        <w:tc>
          <w:tcPr>
            <w:tcW w:type="dxa" w:w="1758"/>
          </w:tcPr>
          <w:p>
            <w:pPr>
              <w:spacing w:before="60" w:after="60"/>
            </w:pPr>
            <w:r>
              <w:rPr>
                <w:rFonts w:ascii="Times New Roman" w:hAnsi="Times New Roman"/>
                <w:b w:val="0"/>
                <w:sz w:val="20"/>
              </w:rPr>
              <w:t>0.53</w:t>
            </w:r>
          </w:p>
        </w:tc>
        <w:tc>
          <w:tcPr>
            <w:tcW w:type="dxa" w:w="1758"/>
          </w:tcPr>
          <w:p>
            <w:pPr>
              <w:spacing w:before="60" w:after="60"/>
            </w:pPr>
            <w:r>
              <w:rPr>
                <w:rFonts w:ascii="Times New Roman" w:hAnsi="Times New Roman"/>
                <w:b w:val="0"/>
                <w:sz w:val="20"/>
              </w:rPr>
              <w:t>0.30</w:t>
            </w:r>
          </w:p>
        </w:tc>
        <w:tc>
          <w:tcPr>
            <w:tcW w:type="dxa" w:w="1758"/>
          </w:tcPr>
          <w:p>
            <w:pPr>
              <w:spacing w:before="60" w:after="60"/>
            </w:pPr>
            <w:r>
              <w:rPr>
                <w:rFonts w:ascii="Times New Roman" w:hAnsi="Times New Roman"/>
                <w:b w:val="0"/>
                <w:sz w:val="20"/>
              </w:rPr>
              <w:t>0.39</w:t>
            </w:r>
          </w:p>
        </w:tc>
        <w:tc>
          <w:tcPr>
            <w:tcW w:type="dxa" w:w="1758"/>
          </w:tcPr>
          <w:p>
            <w:pPr>
              <w:spacing w:before="60" w:after="60"/>
            </w:pPr>
            <w:r>
              <w:rPr>
                <w:rFonts w:ascii="Times New Roman" w:hAnsi="Times New Roman"/>
                <w:b w:val="0"/>
                <w:sz w:val="20"/>
              </w:rPr>
              <w:t>400</w:t>
            </w:r>
          </w:p>
        </w:tc>
      </w:tr>
      <w:tr>
        <w:tc>
          <w:tcPr>
            <w:tcW w:type="dxa" w:w="1758"/>
          </w:tcPr>
          <w:p>
            <w:pPr>
              <w:spacing w:before="60" w:after="60"/>
            </w:pPr>
            <w:r>
              <w:rPr>
                <w:rFonts w:ascii="Times New Roman" w:hAnsi="Times New Roman"/>
                <w:b w:val="0"/>
                <w:sz w:val="20"/>
              </w:rPr>
              <w:t>No Tumor</w:t>
            </w:r>
          </w:p>
        </w:tc>
        <w:tc>
          <w:tcPr>
            <w:tcW w:type="dxa" w:w="1758"/>
          </w:tcPr>
          <w:p>
            <w:pPr>
              <w:spacing w:before="60" w:after="60"/>
            </w:pPr>
            <w:r>
              <w:rPr>
                <w:rFonts w:ascii="Times New Roman" w:hAnsi="Times New Roman"/>
                <w:b w:val="0"/>
                <w:sz w:val="20"/>
              </w:rPr>
              <w:t>0.77</w:t>
            </w:r>
          </w:p>
        </w:tc>
        <w:tc>
          <w:tcPr>
            <w:tcW w:type="dxa" w:w="1758"/>
          </w:tcPr>
          <w:p>
            <w:pPr>
              <w:spacing w:before="60" w:after="60"/>
            </w:pPr>
            <w:r>
              <w:rPr>
                <w:rFonts w:ascii="Times New Roman" w:hAnsi="Times New Roman"/>
                <w:b w:val="0"/>
                <w:sz w:val="20"/>
              </w:rPr>
              <w:t>0.65</w:t>
            </w:r>
          </w:p>
        </w:tc>
        <w:tc>
          <w:tcPr>
            <w:tcW w:type="dxa" w:w="1758"/>
          </w:tcPr>
          <w:p>
            <w:pPr>
              <w:spacing w:before="60" w:after="60"/>
            </w:pPr>
            <w:r>
              <w:rPr>
                <w:rFonts w:ascii="Times New Roman" w:hAnsi="Times New Roman"/>
                <w:b w:val="0"/>
                <w:sz w:val="20"/>
              </w:rPr>
              <w:t>0.70</w:t>
            </w:r>
          </w:p>
        </w:tc>
        <w:tc>
          <w:tcPr>
            <w:tcW w:type="dxa" w:w="1758"/>
          </w:tcPr>
          <w:p>
            <w:pPr>
              <w:spacing w:before="60" w:after="60"/>
            </w:pPr>
            <w:r>
              <w:rPr>
                <w:rFonts w:ascii="Times New Roman" w:hAnsi="Times New Roman"/>
                <w:b w:val="0"/>
                <w:sz w:val="20"/>
              </w:rPr>
              <w:t>400</w:t>
            </w:r>
          </w:p>
        </w:tc>
      </w:tr>
      <w:tr>
        <w:tc>
          <w:tcPr>
            <w:tcW w:type="dxa" w:w="1758"/>
          </w:tcPr>
          <w:p>
            <w:pPr>
              <w:spacing w:before="60" w:after="60"/>
            </w:pPr>
            <w:r>
              <w:rPr>
                <w:rFonts w:ascii="Times New Roman" w:hAnsi="Times New Roman"/>
                <w:b w:val="0"/>
                <w:sz w:val="20"/>
              </w:rPr>
              <w:t>Pituitary</w:t>
            </w:r>
          </w:p>
        </w:tc>
        <w:tc>
          <w:tcPr>
            <w:tcW w:type="dxa" w:w="1758"/>
          </w:tcPr>
          <w:p>
            <w:pPr>
              <w:spacing w:before="60" w:after="60"/>
            </w:pPr>
            <w:r>
              <w:rPr>
                <w:rFonts w:ascii="Times New Roman" w:hAnsi="Times New Roman"/>
                <w:b w:val="0"/>
                <w:sz w:val="20"/>
              </w:rPr>
              <w:t>0.54</w:t>
            </w:r>
          </w:p>
        </w:tc>
        <w:tc>
          <w:tcPr>
            <w:tcW w:type="dxa" w:w="1758"/>
          </w:tcPr>
          <w:p>
            <w:pPr>
              <w:spacing w:before="60" w:after="60"/>
            </w:pPr>
            <w:r>
              <w:rPr>
                <w:rFonts w:ascii="Times New Roman" w:hAnsi="Times New Roman"/>
                <w:b w:val="0"/>
                <w:sz w:val="20"/>
              </w:rPr>
              <w:t>0.68</w:t>
            </w:r>
          </w:p>
        </w:tc>
        <w:tc>
          <w:tcPr>
            <w:tcW w:type="dxa" w:w="1758"/>
          </w:tcPr>
          <w:p>
            <w:pPr>
              <w:spacing w:before="60" w:after="60"/>
            </w:pPr>
            <w:r>
              <w:rPr>
                <w:rFonts w:ascii="Times New Roman" w:hAnsi="Times New Roman"/>
                <w:b w:val="0"/>
                <w:sz w:val="20"/>
              </w:rPr>
              <w:t>0.60</w:t>
            </w:r>
          </w:p>
        </w:tc>
        <w:tc>
          <w:tcPr>
            <w:tcW w:type="dxa" w:w="1758"/>
          </w:tcPr>
          <w:p>
            <w:pPr>
              <w:spacing w:before="60" w:after="60"/>
            </w:pPr>
            <w:r>
              <w:rPr>
                <w:rFonts w:ascii="Times New Roman" w:hAnsi="Times New Roman"/>
                <w:b w:val="0"/>
                <w:sz w:val="20"/>
              </w:rPr>
              <w:t>400</w:t>
            </w:r>
          </w:p>
        </w:tc>
      </w:tr>
      <w:tr>
        <w:tc>
          <w:tcPr>
            <w:tcW w:type="dxa" w:w="1758"/>
            <w:shd w:val="clear" w:color="auto" w:fill="E8E8E8"/>
          </w:tcPr>
          <w:p>
            <w:pPr>
              <w:spacing w:before="60" w:after="60"/>
            </w:pPr>
            <w:r>
              <w:rPr>
                <w:rFonts w:ascii="Times New Roman" w:hAnsi="Times New Roman"/>
                <w:b/>
                <w:sz w:val="20"/>
              </w:rPr>
              <w:t>Ağ. Ort.</w:t>
            </w:r>
          </w:p>
        </w:tc>
        <w:tc>
          <w:tcPr>
            <w:tcW w:type="dxa" w:w="1758"/>
            <w:shd w:val="clear" w:color="auto" w:fill="E8E8E8"/>
          </w:tcPr>
          <w:p>
            <w:pPr>
              <w:spacing w:before="60" w:after="60"/>
            </w:pPr>
            <w:r>
              <w:rPr>
                <w:rFonts w:ascii="Times New Roman" w:hAnsi="Times New Roman"/>
                <w:b/>
                <w:sz w:val="20"/>
              </w:rPr>
              <w:t>0.58</w:t>
            </w:r>
          </w:p>
        </w:tc>
        <w:tc>
          <w:tcPr>
            <w:tcW w:type="dxa" w:w="1758"/>
            <w:shd w:val="clear" w:color="auto" w:fill="E8E8E8"/>
          </w:tcPr>
          <w:p>
            <w:pPr>
              <w:spacing w:before="60" w:after="60"/>
            </w:pPr>
            <w:r>
              <w:rPr>
                <w:rFonts w:ascii="Times New Roman" w:hAnsi="Times New Roman"/>
                <w:b/>
                <w:sz w:val="20"/>
              </w:rPr>
              <w:t>0.57</w:t>
            </w:r>
          </w:p>
        </w:tc>
        <w:tc>
          <w:tcPr>
            <w:tcW w:type="dxa" w:w="1758"/>
            <w:shd w:val="clear" w:color="auto" w:fill="E8E8E8"/>
          </w:tcPr>
          <w:p>
            <w:pPr>
              <w:spacing w:before="60" w:after="60"/>
            </w:pPr>
            <w:r>
              <w:rPr>
                <w:rFonts w:ascii="Times New Roman" w:hAnsi="Times New Roman"/>
                <w:b/>
                <w:sz w:val="20"/>
              </w:rPr>
              <w:t>0.56</w:t>
            </w:r>
          </w:p>
        </w:tc>
        <w:tc>
          <w:tcPr>
            <w:tcW w:type="dxa" w:w="1758"/>
            <w:shd w:val="clear" w:color="auto" w:fill="E8E8E8"/>
          </w:tcPr>
          <w:p>
            <w:pPr>
              <w:spacing w:before="60" w:after="60"/>
            </w:pPr>
            <w:r>
              <w:rPr>
                <w:rFonts w:ascii="Times New Roman" w:hAnsi="Times New Roman"/>
                <w:b/>
                <w:sz w:val="20"/>
              </w:rPr>
              <w:t>1.600</w:t>
            </w:r>
          </w:p>
        </w:tc>
      </w:tr>
    </w:tbl>
    <w:p>
      <w:pPr>
        <w:spacing w:before="40" w:after="120"/>
        <w:jc w:val="both"/>
      </w:pPr>
      <w:r>
        <w:rPr>
          <w:rFonts w:ascii="Times New Roman" w:hAnsi="Times New Roman"/>
          <w:b w:val="0"/>
          <w:i/>
          <w:color w:val="555555"/>
          <w:sz w:val="18"/>
        </w:rPr>
        <w:t>Tablo 5. EfficientNetB3 Transfer Learning modelinin sınıf bazlı classification report sonuçları.</w:t>
      </w:r>
    </w:p>
    <w:p>
      <w:pPr>
        <w:spacing w:before="240" w:after="80"/>
      </w:pPr>
      <w:r>
        <w:rPr>
          <w:rFonts w:ascii="Times New Roman" w:hAnsi="Times New Roman"/>
          <w:b/>
          <w:i w:val="0"/>
          <w:color w:val="2C3E50"/>
          <w:sz w:val="24"/>
        </w:rPr>
        <w:t>5.4. Eğitim Süreci — Gözlemlenen Epoch Verileri</w:t>
      </w:r>
    </w:p>
    <w:p>
      <w:pPr>
        <w:spacing w:after="80" w:line="360" w:lineRule="exact"/>
        <w:jc w:val="both"/>
      </w:pPr>
      <w:r>
        <w:rPr>
          <w:rFonts w:ascii="Times New Roman" w:hAnsi="Times New Roman"/>
          <w:b w:val="0"/>
          <w:i w:val="0"/>
          <w:color w:val="000000"/>
          <w:sz w:val="22"/>
        </w:rPr>
        <w:t>Aşağıdaki tabloda, iki modelin eğitim sürecindeki önemli epoch geçişleri özetlenmektedir. Veriler doğrudan Colab çıktısından alınmıştır.</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val="clear" w:color="auto" w:fill="2C3E50"/>
          </w:tcPr>
          <w:p>
            <w:pPr>
              <w:spacing w:before="60" w:after="60"/>
            </w:pPr>
            <w:r>
              <w:rPr>
                <w:rFonts w:ascii="Times New Roman" w:hAnsi="Times New Roman"/>
                <w:b/>
                <w:color w:val="FFFFFF"/>
                <w:sz w:val="20"/>
              </w:rPr>
              <w:t>Epoch</w:t>
            </w:r>
          </w:p>
        </w:tc>
        <w:tc>
          <w:tcPr>
            <w:tcW w:type="dxa" w:w="2197"/>
            <w:shd w:val="clear" w:color="auto" w:fill="2C3E50"/>
          </w:tcPr>
          <w:p>
            <w:pPr>
              <w:spacing w:before="60" w:after="60"/>
            </w:pPr>
            <w:r>
              <w:rPr>
                <w:rFonts w:ascii="Times New Roman" w:hAnsi="Times New Roman"/>
                <w:b/>
                <w:color w:val="FFFFFF"/>
                <w:sz w:val="20"/>
              </w:rPr>
              <w:t>CNN Train Acc.</w:t>
            </w:r>
          </w:p>
        </w:tc>
        <w:tc>
          <w:tcPr>
            <w:tcW w:type="dxa" w:w="2197"/>
            <w:shd w:val="clear" w:color="auto" w:fill="2C3E50"/>
          </w:tcPr>
          <w:p>
            <w:pPr>
              <w:spacing w:before="60" w:after="60"/>
            </w:pPr>
            <w:r>
              <w:rPr>
                <w:rFonts w:ascii="Times New Roman" w:hAnsi="Times New Roman"/>
                <w:b/>
                <w:color w:val="FFFFFF"/>
                <w:sz w:val="20"/>
              </w:rPr>
              <w:t>CNN Val Acc.</w:t>
            </w:r>
          </w:p>
        </w:tc>
        <w:tc>
          <w:tcPr>
            <w:tcW w:type="dxa" w:w="2197"/>
            <w:shd w:val="clear" w:color="auto" w:fill="2C3E50"/>
          </w:tcPr>
          <w:p>
            <w:pPr>
              <w:spacing w:before="60" w:after="60"/>
            </w:pPr>
            <w:r>
              <w:rPr>
                <w:rFonts w:ascii="Times New Roman" w:hAnsi="Times New Roman"/>
                <w:b/>
                <w:color w:val="FFFFFF"/>
                <w:sz w:val="20"/>
              </w:rPr>
              <w:t>CNN Val Loss</w:t>
            </w:r>
          </w:p>
        </w:tc>
      </w:tr>
      <w:tr>
        <w:tc>
          <w:tcPr>
            <w:tcW w:type="dxa" w:w="2197"/>
          </w:tcPr>
          <w:p>
            <w:pPr>
              <w:spacing w:before="60" w:after="60"/>
            </w:pPr>
            <w:r>
              <w:rPr>
                <w:rFonts w:ascii="Times New Roman" w:hAnsi="Times New Roman"/>
                <w:b w:val="0"/>
                <w:sz w:val="20"/>
              </w:rPr>
              <w:t>1</w:t>
            </w:r>
          </w:p>
        </w:tc>
        <w:tc>
          <w:tcPr>
            <w:tcW w:type="dxa" w:w="2197"/>
          </w:tcPr>
          <w:p>
            <w:pPr>
              <w:spacing w:before="60" w:after="60"/>
            </w:pPr>
            <w:r>
              <w:rPr>
                <w:rFonts w:ascii="Times New Roman" w:hAnsi="Times New Roman"/>
                <w:b w:val="0"/>
                <w:sz w:val="20"/>
              </w:rPr>
              <w:t>0.618</w:t>
            </w:r>
          </w:p>
        </w:tc>
        <w:tc>
          <w:tcPr>
            <w:tcW w:type="dxa" w:w="2197"/>
          </w:tcPr>
          <w:p>
            <w:pPr>
              <w:spacing w:before="60" w:after="60"/>
            </w:pPr>
            <w:r>
              <w:rPr>
                <w:rFonts w:ascii="Times New Roman" w:hAnsi="Times New Roman"/>
                <w:b w:val="0"/>
                <w:sz w:val="20"/>
              </w:rPr>
              <w:t>0.288</w:t>
            </w:r>
          </w:p>
        </w:tc>
        <w:tc>
          <w:tcPr>
            <w:tcW w:type="dxa" w:w="2197"/>
          </w:tcPr>
          <w:p>
            <w:pPr>
              <w:spacing w:before="60" w:after="60"/>
            </w:pPr>
            <w:r>
              <w:rPr>
                <w:rFonts w:ascii="Times New Roman" w:hAnsi="Times New Roman"/>
                <w:b w:val="0"/>
                <w:sz w:val="20"/>
              </w:rPr>
              <w:t>1.510</w:t>
            </w:r>
          </w:p>
        </w:tc>
      </w:tr>
      <w:tr>
        <w:tc>
          <w:tcPr>
            <w:tcW w:type="dxa" w:w="2197"/>
          </w:tcPr>
          <w:p>
            <w:pPr>
              <w:spacing w:before="60" w:after="60"/>
            </w:pPr>
            <w:r>
              <w:rPr>
                <w:rFonts w:ascii="Times New Roman" w:hAnsi="Times New Roman"/>
                <w:b w:val="0"/>
                <w:sz w:val="20"/>
              </w:rPr>
              <w:t>5</w:t>
            </w:r>
          </w:p>
        </w:tc>
        <w:tc>
          <w:tcPr>
            <w:tcW w:type="dxa" w:w="2197"/>
          </w:tcPr>
          <w:p>
            <w:pPr>
              <w:spacing w:before="60" w:after="60"/>
            </w:pPr>
            <w:r>
              <w:rPr>
                <w:rFonts w:ascii="Times New Roman" w:hAnsi="Times New Roman"/>
                <w:b w:val="0"/>
                <w:sz w:val="20"/>
              </w:rPr>
              <w:t>0.785</w:t>
            </w:r>
          </w:p>
        </w:tc>
        <w:tc>
          <w:tcPr>
            <w:tcW w:type="dxa" w:w="2197"/>
          </w:tcPr>
          <w:p>
            <w:pPr>
              <w:spacing w:before="60" w:after="60"/>
            </w:pPr>
            <w:r>
              <w:rPr>
                <w:rFonts w:ascii="Times New Roman" w:hAnsi="Times New Roman"/>
                <w:b w:val="0"/>
                <w:sz w:val="20"/>
              </w:rPr>
              <w:t>0.646</w:t>
            </w:r>
          </w:p>
        </w:tc>
        <w:tc>
          <w:tcPr>
            <w:tcW w:type="dxa" w:w="2197"/>
          </w:tcPr>
          <w:p>
            <w:pPr>
              <w:spacing w:before="60" w:after="60"/>
            </w:pPr>
            <w:r>
              <w:rPr>
                <w:rFonts w:ascii="Times New Roman" w:hAnsi="Times New Roman"/>
                <w:b w:val="0"/>
                <w:sz w:val="20"/>
              </w:rPr>
              <w:t>1.035</w:t>
            </w:r>
          </w:p>
        </w:tc>
      </w:tr>
      <w:tr>
        <w:tc>
          <w:tcPr>
            <w:tcW w:type="dxa" w:w="2197"/>
          </w:tcPr>
          <w:p>
            <w:pPr>
              <w:spacing w:before="60" w:after="60"/>
            </w:pPr>
            <w:r>
              <w:rPr>
                <w:rFonts w:ascii="Times New Roman" w:hAnsi="Times New Roman"/>
                <w:b w:val="0"/>
                <w:sz w:val="20"/>
              </w:rPr>
              <w:t>8</w:t>
            </w:r>
          </w:p>
        </w:tc>
        <w:tc>
          <w:tcPr>
            <w:tcW w:type="dxa" w:w="2197"/>
          </w:tcPr>
          <w:p>
            <w:pPr>
              <w:spacing w:before="60" w:after="60"/>
            </w:pPr>
            <w:r>
              <w:rPr>
                <w:rFonts w:ascii="Times New Roman" w:hAnsi="Times New Roman"/>
                <w:b w:val="0"/>
                <w:sz w:val="20"/>
              </w:rPr>
              <w:t>0.835</w:t>
            </w:r>
          </w:p>
        </w:tc>
        <w:tc>
          <w:tcPr>
            <w:tcW w:type="dxa" w:w="2197"/>
          </w:tcPr>
          <w:p>
            <w:pPr>
              <w:spacing w:before="60" w:after="60"/>
            </w:pPr>
            <w:r>
              <w:rPr>
                <w:rFonts w:ascii="Times New Roman" w:hAnsi="Times New Roman"/>
                <w:b w:val="0"/>
                <w:sz w:val="20"/>
              </w:rPr>
              <w:t>0.788</w:t>
            </w:r>
          </w:p>
        </w:tc>
        <w:tc>
          <w:tcPr>
            <w:tcW w:type="dxa" w:w="2197"/>
          </w:tcPr>
          <w:p>
            <w:pPr>
              <w:spacing w:before="60" w:after="60"/>
            </w:pPr>
            <w:r>
              <w:rPr>
                <w:rFonts w:ascii="Times New Roman" w:hAnsi="Times New Roman"/>
                <w:b w:val="0"/>
                <w:sz w:val="20"/>
              </w:rPr>
              <w:t>0.591</w:t>
            </w:r>
          </w:p>
        </w:tc>
      </w:tr>
      <w:tr>
        <w:tc>
          <w:tcPr>
            <w:tcW w:type="dxa" w:w="2197"/>
          </w:tcPr>
          <w:p>
            <w:pPr>
              <w:spacing w:before="60" w:after="60"/>
            </w:pPr>
            <w:r>
              <w:rPr>
                <w:rFonts w:ascii="Times New Roman" w:hAnsi="Times New Roman"/>
                <w:b w:val="0"/>
                <w:sz w:val="20"/>
              </w:rPr>
              <w:t>15</w:t>
            </w:r>
          </w:p>
        </w:tc>
        <w:tc>
          <w:tcPr>
            <w:tcW w:type="dxa" w:w="2197"/>
          </w:tcPr>
          <w:p>
            <w:pPr>
              <w:spacing w:before="60" w:after="60"/>
            </w:pPr>
            <w:r>
              <w:rPr>
                <w:rFonts w:ascii="Times New Roman" w:hAnsi="Times New Roman"/>
                <w:b w:val="0"/>
                <w:sz w:val="20"/>
              </w:rPr>
              <w:t>0.885</w:t>
            </w:r>
          </w:p>
        </w:tc>
        <w:tc>
          <w:tcPr>
            <w:tcW w:type="dxa" w:w="2197"/>
          </w:tcPr>
          <w:p>
            <w:pPr>
              <w:spacing w:before="60" w:after="60"/>
            </w:pPr>
            <w:r>
              <w:rPr>
                <w:rFonts w:ascii="Times New Roman" w:hAnsi="Times New Roman"/>
                <w:b w:val="0"/>
                <w:sz w:val="20"/>
              </w:rPr>
              <w:t>0.845</w:t>
            </w:r>
          </w:p>
        </w:tc>
        <w:tc>
          <w:tcPr>
            <w:tcW w:type="dxa" w:w="2197"/>
          </w:tcPr>
          <w:p>
            <w:pPr>
              <w:spacing w:before="60" w:after="60"/>
            </w:pPr>
            <w:r>
              <w:rPr>
                <w:rFonts w:ascii="Times New Roman" w:hAnsi="Times New Roman"/>
                <w:b w:val="0"/>
                <w:sz w:val="20"/>
              </w:rPr>
              <w:t>0.407</w:t>
            </w:r>
          </w:p>
        </w:tc>
      </w:tr>
      <w:tr>
        <w:tc>
          <w:tcPr>
            <w:tcW w:type="dxa" w:w="2197"/>
          </w:tcPr>
          <w:p>
            <w:pPr>
              <w:spacing w:before="60" w:after="60"/>
            </w:pPr>
            <w:r>
              <w:rPr>
                <w:rFonts w:ascii="Times New Roman" w:hAnsi="Times New Roman"/>
                <w:b w:val="0"/>
                <w:sz w:val="20"/>
              </w:rPr>
              <w:t>18</w:t>
            </w:r>
          </w:p>
        </w:tc>
        <w:tc>
          <w:tcPr>
            <w:tcW w:type="dxa" w:w="2197"/>
          </w:tcPr>
          <w:p>
            <w:pPr>
              <w:spacing w:before="60" w:after="60"/>
            </w:pPr>
            <w:r>
              <w:rPr>
                <w:rFonts w:ascii="Times New Roman" w:hAnsi="Times New Roman"/>
                <w:b w:val="0"/>
                <w:sz w:val="20"/>
              </w:rPr>
              <w:t>0.900</w:t>
            </w:r>
          </w:p>
        </w:tc>
        <w:tc>
          <w:tcPr>
            <w:tcW w:type="dxa" w:w="2197"/>
          </w:tcPr>
          <w:p>
            <w:pPr>
              <w:spacing w:before="60" w:after="60"/>
            </w:pPr>
            <w:r>
              <w:rPr>
                <w:rFonts w:ascii="Times New Roman" w:hAnsi="Times New Roman"/>
                <w:b w:val="0"/>
                <w:sz w:val="20"/>
              </w:rPr>
              <w:t>0.883</w:t>
            </w:r>
          </w:p>
        </w:tc>
        <w:tc>
          <w:tcPr>
            <w:tcW w:type="dxa" w:w="2197"/>
          </w:tcPr>
          <w:p>
            <w:pPr>
              <w:spacing w:before="60" w:after="60"/>
            </w:pPr>
            <w:r>
              <w:rPr>
                <w:rFonts w:ascii="Times New Roman" w:hAnsi="Times New Roman"/>
                <w:b w:val="0"/>
                <w:sz w:val="20"/>
              </w:rPr>
              <w:t>0.276</w:t>
            </w:r>
          </w:p>
        </w:tc>
      </w:tr>
      <w:tr>
        <w:tc>
          <w:tcPr>
            <w:tcW w:type="dxa" w:w="2197"/>
          </w:tcPr>
          <w:p>
            <w:pPr>
              <w:spacing w:before="60" w:after="60"/>
            </w:pPr>
            <w:r>
              <w:rPr>
                <w:rFonts w:ascii="Times New Roman" w:hAnsi="Times New Roman"/>
                <w:b w:val="0"/>
                <w:sz w:val="20"/>
              </w:rPr>
              <w:t>23</w:t>
            </w:r>
          </w:p>
        </w:tc>
        <w:tc>
          <w:tcPr>
            <w:tcW w:type="dxa" w:w="2197"/>
          </w:tcPr>
          <w:p>
            <w:pPr>
              <w:spacing w:before="60" w:after="60"/>
            </w:pPr>
            <w:r>
              <w:rPr>
                <w:rFonts w:ascii="Times New Roman" w:hAnsi="Times New Roman"/>
                <w:b w:val="0"/>
                <w:sz w:val="20"/>
              </w:rPr>
              <w:t>0.921</w:t>
            </w:r>
          </w:p>
        </w:tc>
        <w:tc>
          <w:tcPr>
            <w:tcW w:type="dxa" w:w="2197"/>
          </w:tcPr>
          <w:p>
            <w:pPr>
              <w:spacing w:before="60" w:after="60"/>
            </w:pPr>
            <w:r>
              <w:rPr>
                <w:rFonts w:ascii="Times New Roman" w:hAnsi="Times New Roman"/>
                <w:b w:val="0"/>
                <w:sz w:val="20"/>
              </w:rPr>
              <w:t>0.921</w:t>
            </w:r>
          </w:p>
        </w:tc>
        <w:tc>
          <w:tcPr>
            <w:tcW w:type="dxa" w:w="2197"/>
          </w:tcPr>
          <w:p>
            <w:pPr>
              <w:spacing w:before="60" w:after="60"/>
            </w:pPr>
            <w:r>
              <w:rPr>
                <w:rFonts w:ascii="Times New Roman" w:hAnsi="Times New Roman"/>
                <w:b w:val="0"/>
                <w:sz w:val="20"/>
              </w:rPr>
              <w:t>0.207</w:t>
            </w:r>
          </w:p>
        </w:tc>
      </w:tr>
      <w:tr>
        <w:tc>
          <w:tcPr>
            <w:tcW w:type="dxa" w:w="2197"/>
          </w:tcPr>
          <w:p>
            <w:pPr>
              <w:spacing w:before="60" w:after="60"/>
            </w:pPr>
            <w:r>
              <w:rPr>
                <w:rFonts w:ascii="Times New Roman" w:hAnsi="Times New Roman"/>
                <w:b w:val="0"/>
                <w:sz w:val="20"/>
              </w:rPr>
              <w:t>30</w:t>
            </w:r>
          </w:p>
        </w:tc>
        <w:tc>
          <w:tcPr>
            <w:tcW w:type="dxa" w:w="2197"/>
          </w:tcPr>
          <w:p>
            <w:pPr>
              <w:spacing w:before="60" w:after="60"/>
            </w:pPr>
            <w:r>
              <w:rPr>
                <w:rFonts w:ascii="Times New Roman" w:hAnsi="Times New Roman"/>
                <w:b w:val="0"/>
                <w:sz w:val="20"/>
              </w:rPr>
              <w:t>0.947</w:t>
            </w:r>
          </w:p>
        </w:tc>
        <w:tc>
          <w:tcPr>
            <w:tcW w:type="dxa" w:w="2197"/>
          </w:tcPr>
          <w:p>
            <w:pPr>
              <w:spacing w:before="60" w:after="60"/>
            </w:pPr>
            <w:r>
              <w:rPr>
                <w:rFonts w:ascii="Times New Roman" w:hAnsi="Times New Roman"/>
                <w:b w:val="0"/>
                <w:sz w:val="20"/>
              </w:rPr>
              <w:t>0.932</w:t>
            </w:r>
          </w:p>
        </w:tc>
        <w:tc>
          <w:tcPr>
            <w:tcW w:type="dxa" w:w="2197"/>
          </w:tcPr>
          <w:p>
            <w:pPr>
              <w:spacing w:before="60" w:after="60"/>
            </w:pPr>
            <w:r>
              <w:rPr>
                <w:rFonts w:ascii="Times New Roman" w:hAnsi="Times New Roman"/>
                <w:b w:val="0"/>
                <w:sz w:val="20"/>
              </w:rPr>
              <w:t>0.180</w:t>
            </w:r>
          </w:p>
        </w:tc>
      </w:tr>
    </w:tbl>
    <w:p>
      <w:pPr>
        <w:spacing w:before="40" w:after="120"/>
        <w:jc w:val="both"/>
      </w:pPr>
      <w:r>
        <w:rPr>
          <w:rFonts w:ascii="Times New Roman" w:hAnsi="Times New Roman"/>
          <w:b w:val="0"/>
          <w:i/>
          <w:color w:val="555555"/>
          <w:sz w:val="18"/>
        </w:rPr>
        <w:t>Tablo 6. Özel CNN modelinin seçilmiş epoch noktalarındaki eğitim metrikleri.</w:t>
      </w:r>
    </w:p>
    <w:p>
      <w:pPr>
        <w:spacing w:before="400" w:after="120"/>
        <w:pBdr>
          <w:bottom w:val="single" w:sz="4" w:space="4" w:color="1F2D3D"/>
        </w:pBdr>
      </w:pPr>
      <w:r>
        <w:rPr>
          <w:rFonts w:ascii="Times New Roman" w:hAnsi="Times New Roman"/>
          <w:b/>
          <w:i w:val="0"/>
          <w:color w:val="1F2D3D"/>
          <w:sz w:val="26"/>
        </w:rPr>
        <w:t>6. TARTIŞMA</w:t>
      </w:r>
    </w:p>
    <w:p>
      <w:pPr>
        <w:spacing w:before="240" w:after="80"/>
      </w:pPr>
      <w:r>
        <w:rPr>
          <w:rFonts w:ascii="Times New Roman" w:hAnsi="Times New Roman"/>
          <w:b/>
          <w:i w:val="0"/>
          <w:color w:val="2C3E50"/>
          <w:sz w:val="24"/>
        </w:rPr>
        <w:t>6.1. Özel CNN'in Başarısı</w:t>
      </w:r>
    </w:p>
    <w:p>
      <w:pPr>
        <w:spacing w:after="80" w:line="360" w:lineRule="exact"/>
        <w:ind w:firstLine="709"/>
        <w:jc w:val="both"/>
      </w:pPr>
      <w:r>
        <w:rPr>
          <w:rFonts w:ascii="Times New Roman" w:hAnsi="Times New Roman"/>
          <w:b w:val="0"/>
          <w:i w:val="0"/>
          <w:color w:val="000000"/>
          <w:sz w:val="22"/>
        </w:rPr>
        <w:t>Özel CNN modeli, 30 epoch boyunca istikrarlı bir şekilde iyileşmiş ve test setinde %86.5 doğruluk ile güçlü bir sonuç elde etmiştir. Modelin başarısında birkaç etken öne çıkmaktadır:</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Batch Normalization'ın eğitim kararlılığını artırması</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Adaptif öğrenme hızı (ReduceLROnPlateau) sayesinde platolardan çıkılması</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Augmentation ile modelin yeni varyasyonlara karşı dirençli hale gelmesi</w:t>
      </w:r>
    </w:p>
    <w:p>
      <w:pPr>
        <w:spacing w:after="80" w:line="360" w:lineRule="exact"/>
        <w:ind w:firstLine="709"/>
        <w:jc w:val="both"/>
      </w:pPr>
      <w:r>
        <w:rPr>
          <w:rFonts w:ascii="Times New Roman" w:hAnsi="Times New Roman"/>
          <w:b w:val="0"/>
          <w:i w:val="0"/>
          <w:color w:val="000000"/>
          <w:sz w:val="22"/>
        </w:rPr>
        <w:t>Sınıf bazlı analizde, glioma'nın recall değerinin düşük (0.67) olması dikkat çekicidir. Glioma, diğer tümör türleriyle görsel örtüşme gösterebilen heterojen bir yapıya sahiptir. Bu bulgu, klinik kullanım açısından önemli bir uyarıdır: yüksek genel doğruluk, tüm sınıflarda eşit yeterliliği garanti etmez.</w:t>
      </w:r>
    </w:p>
    <w:p>
      <w:pPr>
        <w:spacing w:before="240" w:after="80"/>
      </w:pPr>
      <w:r>
        <w:rPr>
          <w:rFonts w:ascii="Times New Roman" w:hAnsi="Times New Roman"/>
          <w:b/>
          <w:i w:val="0"/>
          <w:color w:val="2C3E50"/>
          <w:sz w:val="24"/>
        </w:rPr>
        <w:t>6.2. EfficientNetB3'ün Beklenmedik Başarısızlığı</w:t>
      </w:r>
    </w:p>
    <w:p>
      <w:pPr>
        <w:spacing w:after="80" w:line="360" w:lineRule="exact"/>
        <w:ind w:firstLine="709"/>
        <w:jc w:val="both"/>
      </w:pPr>
      <w:r>
        <w:rPr>
          <w:rFonts w:ascii="Times New Roman" w:hAnsi="Times New Roman"/>
          <w:b w:val="0"/>
          <w:i w:val="0"/>
          <w:color w:val="000000"/>
          <w:sz w:val="22"/>
        </w:rPr>
        <w:t>EfficientNetB3 tabanlı modelin %57.12 gibi düşük bir doğrulukla kalmasının birkaç makul açıklaması vardır:</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Alan uyumsuzluğu (domain mismatch): ImageNet doğal görüntülerden oluşmakta olup MRI görüntülerinin gri tonlu, simetrik ve medikal yapısına uzaktır. Bu nedenle ön-eğitimli özellikler doğrudan transfer edilemeyebilir.</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Aşama 1 yetersizliği: Taban ağ dondurulmuş halde 10 epoch eğitilmiş, ancak doğrulama doğruluğu en fazla %47'ye ulaşabilmiştir. Bu başlangıç noktası zayıf olduğundan Aşama 2 fine-tuning yetersiz kalmıştır.</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Öğrenme hızı ve veri uyumsuzluğu: 1e-5 gibi çok düşük bir öğrenme hızı, özellikle taban ağ kötü bir başlangıç noktasından geliyorsa yetersiz güncellemeye yol açmaktadır.</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Epoch sayısı kısıtı: EfficientNetB3 gibi büyük modeller çok daha fazla epoch gerektirebilir. 10+20 epoch, modelin yakınsaması için yeterli olmayabilir.</w:t>
      </w:r>
    </w:p>
    <w:p>
      <w:pPr>
        <w:spacing w:after="80" w:line="360" w:lineRule="exact"/>
        <w:ind w:firstLine="709"/>
        <w:jc w:val="both"/>
      </w:pPr>
      <w:r>
        <w:rPr>
          <w:rFonts w:ascii="Times New Roman" w:hAnsi="Times New Roman"/>
          <w:b w:val="0"/>
          <w:i w:val="0"/>
          <w:color w:val="000000"/>
          <w:sz w:val="22"/>
        </w:rPr>
        <w:t>Bu bulgular, transfer öğrenmenin her durumda optimum sonucu vermediğini açıkça ortaya koymaktadır. Özellikle medikal görüntüleme alanında, ön-eğitim veri setinin hedef veri setine benzerliği kritik bir faktördür. Bu konuda ImageNet yerine medikal görüntüler (örn. RadImageNet) üzerinde ön-eğitimli modeller daha uygun bir başlangıç noktası sunabilir.</w:t>
      </w:r>
    </w:p>
    <w:p>
      <w:pPr>
        <w:spacing w:before="240" w:after="80"/>
      </w:pPr>
      <w:r>
        <w:rPr>
          <w:rFonts w:ascii="Times New Roman" w:hAnsi="Times New Roman"/>
          <w:b/>
          <w:i w:val="0"/>
          <w:color w:val="2C3E50"/>
          <w:sz w:val="24"/>
        </w:rPr>
        <w:t>6.3. Grad-CAM Denemesi</w:t>
      </w:r>
    </w:p>
    <w:p>
      <w:pPr>
        <w:spacing w:after="80" w:line="360" w:lineRule="exact"/>
        <w:ind w:firstLine="709"/>
        <w:jc w:val="both"/>
      </w:pPr>
      <w:r>
        <w:rPr>
          <w:rFonts w:ascii="Times New Roman" w:hAnsi="Times New Roman"/>
          <w:b w:val="0"/>
          <w:i w:val="0"/>
          <w:color w:val="000000"/>
          <w:sz w:val="22"/>
        </w:rPr>
        <w:t>Grad-CAM görselleştirmesi denenmiş, ancak EfficientNetB3'ün iç içe geçmiş model yapısı nedeniyle doğrudan katman erişimi sağlanamamıştır. Hata mesajı (No such layer: top_conv), katmanın sarmalayıcı model içinde kaldığını göstermektedir. Bu kısıtlama, iç model nesnesi açık bir şekilde referanslanarak aşılabilir; ancak bu düzeltme bu çalışma kapsamında gerçekleştirilememiştir.</w:t>
      </w:r>
    </w:p>
    <w:p>
      <w:pPr>
        <w:spacing w:before="400" w:after="120"/>
        <w:pBdr>
          <w:bottom w:val="single" w:sz="4" w:space="4" w:color="1F2D3D"/>
        </w:pBdr>
      </w:pPr>
      <w:r>
        <w:rPr>
          <w:rFonts w:ascii="Times New Roman" w:hAnsi="Times New Roman"/>
          <w:b/>
          <w:i w:val="0"/>
          <w:color w:val="1F2D3D"/>
          <w:sz w:val="26"/>
        </w:rPr>
        <w:t>7. SONUÇ</w:t>
      </w:r>
    </w:p>
    <w:p>
      <w:pPr>
        <w:spacing w:after="80" w:line="360" w:lineRule="exact"/>
        <w:ind w:firstLine="709"/>
        <w:jc w:val="both"/>
      </w:pPr>
      <w:r>
        <w:rPr>
          <w:rFonts w:ascii="Times New Roman" w:hAnsi="Times New Roman"/>
          <w:b w:val="0"/>
          <w:i w:val="0"/>
          <w:color w:val="000000"/>
          <w:sz w:val="22"/>
        </w:rPr>
        <w:t>Bu çalışmada, MRI görüntülerinden beyin tümörü sınıflandırması için iki farklı derin öğrenme modeli tasarlanmış ve Google Colab ortamında GPU desteğiyle eğitilmiştir. Elde edilen sonuçlar birkaç önemli çıkarım sunmaktadır:</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Sıfırdan tasarlanan özel CNN modeli, sınırlı parametre sayısına (323.876) rağmen test setinde %86.5 doğruluk elde ederek güçlü bir performans sergilemiştir.</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EfficientNetB3 tabanlı transfer öğrenme modeli, alan uyumsuzluğu ve yetersiz ön-eğitim yapılandırması nedeniyle %57.1 doğrulukla beklenenin çok altında kalmıştır. Bu sonuç, ön-eğitimli modellerin tıbbi görüntüleme alanında dikkatli biçimde uyarlanması gerektiğini vurgulamaktadır.</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Glioma sınıfındaki düşük recall değeri, genel doğruluğun klinik yeterliliği garanti etmediğini, sınıf bazlı değerlendirmenin zorunluluğunu ortaya koymuştur.</w:t>
      </w:r>
    </w:p>
    <w:p>
      <w:pPr>
        <w:spacing w:after="80" w:line="360" w:lineRule="exact"/>
        <w:ind w:firstLine="709"/>
        <w:jc w:val="both"/>
      </w:pPr>
      <w:r>
        <w:rPr>
          <w:rFonts w:ascii="Times New Roman" w:hAnsi="Times New Roman"/>
          <w:b w:val="0"/>
          <w:i w:val="0"/>
          <w:color w:val="000000"/>
          <w:sz w:val="22"/>
        </w:rPr>
        <w:t>Bu çalışma; gerçek bir eğitim sürecinin hem başarılarını hem de güçlüklerini şeffaflıkla belgelemesi bakımından değerli bir akademik katkı sunmaktadır. Başarısız transfer öğrenme denemesinin analizi, benzer çalışmalar için önemli bir rehber niteliği taşımaktadır.</w:t>
      </w:r>
    </w:p>
    <w:p>
      <w:pPr>
        <w:spacing w:before="400" w:after="120"/>
        <w:pBdr>
          <w:bottom w:val="single" w:sz="4" w:space="4" w:color="1F2D3D"/>
        </w:pBdr>
      </w:pPr>
      <w:r>
        <w:rPr>
          <w:rFonts w:ascii="Times New Roman" w:hAnsi="Times New Roman"/>
          <w:b/>
          <w:i w:val="0"/>
          <w:color w:val="1F2D3D"/>
          <w:sz w:val="26"/>
        </w:rPr>
        <w:t>8. GELECEK ÇALIŞMALAR</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RadImageNet gibi medikal görüntüler üzerinde ön-eğitimli modellerin denenmesi</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EfficientNetB3 eğitim süresinin ve Aşama 1 epoch sayısının artırılması</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Grad-CAM uygulamasının iç model referansı kullanılarak düzeltilmesi</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Glioma recall değerini artırmak için sınıf ağırlıklandırması (class weighting) kullanımı</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VGG16 ve ResNet50 gibi alternatif transfer öğrenme mimarilerinin karşılaştırılması</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3D MRI dilimleri kullanılarak hacimsel özelliklerden yararlanılması</w:t>
      </w:r>
    </w:p>
    <w:p>
      <w:pPr>
        <w:spacing w:after="60" w:line="320" w:lineRule="exact"/>
        <w:ind w:left="680" w:hanging="283"/>
        <w:jc w:val="both"/>
      </w:pPr>
      <w:r>
        <w:rPr>
          <w:rFonts w:ascii="Times New Roman" w:hAnsi="Times New Roman"/>
          <w:b/>
          <w:i w:val="0"/>
          <w:color w:val="1F2D3D"/>
          <w:sz w:val="22"/>
        </w:rPr>
        <w:t xml:space="preserve">— </w:t>
      </w:r>
      <w:r>
        <w:rPr>
          <w:rFonts w:ascii="Times New Roman" w:hAnsi="Times New Roman"/>
          <w:b w:val="0"/>
          <w:i w:val="0"/>
          <w:color w:val="000000"/>
          <w:sz w:val="22"/>
        </w:rPr>
        <w:t>Prospektif bir klinik değerlendirme çalışması ile gerçek dünya geçerliliğinin test edilmesi</w:t>
      </w:r>
    </w:p>
    <w:p>
      <w:pPr>
        <w:spacing w:before="400" w:after="120"/>
        <w:pBdr>
          <w:bottom w:val="single" w:sz="4" w:space="4" w:color="1F2D3D"/>
        </w:pBdr>
      </w:pPr>
      <w:r>
        <w:rPr>
          <w:rFonts w:ascii="Times New Roman" w:hAnsi="Times New Roman"/>
          <w:b/>
          <w:i w:val="0"/>
          <w:color w:val="1F2D3D"/>
          <w:sz w:val="26"/>
        </w:rPr>
        <w:t>9. KAYNAKLAR</w:t>
      </w:r>
    </w:p>
    <w:p>
      <w:pPr>
        <w:spacing w:after="80" w:line="320" w:lineRule="exact"/>
        <w:ind w:left="567" w:hanging="567"/>
        <w:jc w:val="both"/>
      </w:pPr>
      <w:r>
        <w:rPr>
          <w:rFonts w:ascii="Times New Roman" w:hAnsi="Times New Roman"/>
          <w:b w:val="0"/>
          <w:i w:val="0"/>
          <w:color w:val="000000"/>
          <w:sz w:val="20"/>
        </w:rPr>
        <w:t>[1] Abiwinanda, N. ve ark. (2019). Brain tumor classification using convolutional neural network. World Congress on Medical Physics and Biomedical Engineering. Springer, Singapore.</w:t>
      </w:r>
    </w:p>
    <w:p>
      <w:pPr>
        <w:spacing w:after="80" w:line="320" w:lineRule="exact"/>
        <w:ind w:left="567" w:hanging="567"/>
        <w:jc w:val="both"/>
      </w:pPr>
      <w:r>
        <w:rPr>
          <w:rFonts w:ascii="Times New Roman" w:hAnsi="Times New Roman"/>
          <w:b w:val="0"/>
          <w:i w:val="0"/>
          <w:color w:val="000000"/>
          <w:sz w:val="20"/>
        </w:rPr>
        <w:t>[2] Deepak, S. &amp; Ameer, P.M. (2019). Brain tumor classification using deep CNN features via transfer learning. Computers in Biology and Medicine, 111, 103345.</w:t>
      </w:r>
    </w:p>
    <w:p>
      <w:pPr>
        <w:spacing w:after="80" w:line="320" w:lineRule="exact"/>
        <w:ind w:left="567" w:hanging="567"/>
        <w:jc w:val="both"/>
      </w:pPr>
      <w:r>
        <w:rPr>
          <w:rFonts w:ascii="Times New Roman" w:hAnsi="Times New Roman"/>
          <w:b w:val="0"/>
          <w:i w:val="0"/>
          <w:color w:val="000000"/>
          <w:sz w:val="20"/>
        </w:rPr>
        <w:t>[3] He, K. ve ark. (2016). Deep residual learning for image recognition. CVPR, 770-778.</w:t>
      </w:r>
    </w:p>
    <w:p>
      <w:pPr>
        <w:spacing w:after="80" w:line="320" w:lineRule="exact"/>
        <w:ind w:left="567" w:hanging="567"/>
        <w:jc w:val="both"/>
      </w:pPr>
      <w:r>
        <w:rPr>
          <w:rFonts w:ascii="Times New Roman" w:hAnsi="Times New Roman"/>
          <w:b w:val="0"/>
          <w:i w:val="0"/>
          <w:color w:val="000000"/>
          <w:sz w:val="20"/>
        </w:rPr>
        <w:t>[4] Mei, X. ve ark. (2021). RadImageNet: An open radiologic deep learning research dataset for effective transfer learning. Radiology: Artificial Intelligence, 4(5).</w:t>
      </w:r>
    </w:p>
    <w:p>
      <w:pPr>
        <w:spacing w:after="80" w:line="320" w:lineRule="exact"/>
        <w:ind w:left="567" w:hanging="567"/>
        <w:jc w:val="both"/>
      </w:pPr>
      <w:r>
        <w:rPr>
          <w:rFonts w:ascii="Times New Roman" w:hAnsi="Times New Roman"/>
          <w:b w:val="0"/>
          <w:i w:val="0"/>
          <w:color w:val="000000"/>
          <w:sz w:val="20"/>
        </w:rPr>
        <w:t>[5] Nickparvar, M. (2021). Brain Tumor MRI Dataset. Kaggle. https://www.kaggle.com/datasets/masoudnickparvar/brain-tumor-mri-dataset</w:t>
      </w:r>
    </w:p>
    <w:p>
      <w:pPr>
        <w:spacing w:after="80" w:line="320" w:lineRule="exact"/>
        <w:ind w:left="567" w:hanging="567"/>
        <w:jc w:val="both"/>
      </w:pPr>
      <w:r>
        <w:rPr>
          <w:rFonts w:ascii="Times New Roman" w:hAnsi="Times New Roman"/>
          <w:b w:val="0"/>
          <w:i w:val="0"/>
          <w:color w:val="000000"/>
          <w:sz w:val="20"/>
        </w:rPr>
        <w:t>[6] Selvaraju, R.R. ve ark. (2017). Grad-CAM: Visual explanations from deep networks via gradient-based localization. ICCV, 618-626.</w:t>
      </w:r>
    </w:p>
    <w:p>
      <w:pPr>
        <w:spacing w:after="80" w:line="320" w:lineRule="exact"/>
        <w:ind w:left="567" w:hanging="567"/>
        <w:jc w:val="both"/>
      </w:pPr>
      <w:r>
        <w:rPr>
          <w:rFonts w:ascii="Times New Roman" w:hAnsi="Times New Roman"/>
          <w:b w:val="0"/>
          <w:i w:val="0"/>
          <w:color w:val="000000"/>
          <w:sz w:val="20"/>
        </w:rPr>
        <w:t>[7] Tan, M. &amp; Le, Q. (2019). EfficientNet: Rethinking model scaling for convolutional neural networks. ICML, 6105-6114.</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