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C95F5B"/>
          <w:sz w:val="20"/>
        </w:rPr>
        <w:t>AULA-IA · SESIÓN 4</w:t>
      </w:r>
    </w:p>
    <w:p>
      <w:pPr>
        <w:spacing w:after="120"/>
      </w:pPr>
      <w:r>
        <w:rPr>
          <w:rFonts w:ascii="Arial" w:hAnsi="Arial"/>
          <w:b/>
          <w:color w:val="37306B"/>
          <w:sz w:val="48"/>
        </w:rPr>
        <w:t>Evaluar para mejorar:</w:t>
        <w:br/>
        <w:t>diagnóstico, retroalimentación y análisis de evidencias con IA</w:t>
      </w:r>
    </w:p>
    <w:p>
      <w:pPr>
        <w:spacing w:after="280"/>
      </w:pPr>
      <w:r>
        <w:rPr>
          <w:rFonts w:ascii="Arial" w:hAnsi="Arial"/>
          <w:color w:val="68637A"/>
          <w:sz w:val="26"/>
        </w:rPr>
        <w:t>Nivelación opcional para construir una primera retroalimentación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FF1D5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60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min</w:t>
            </w:r>
          </w:p>
        </w:tc>
        <w:tc>
          <w:tcPr>
            <w:tcW w:type="dxa" w:w="3120"/>
            <w:shd w:fill="EEE9F7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6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pasos</w:t>
            </w:r>
          </w:p>
        </w:tc>
        <w:tc>
          <w:tcPr>
            <w:tcW w:type="dxa" w:w="3120"/>
            <w:shd w:fill="FFF1D5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efecto en acreditación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9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5F5B"/>
                <w:sz w:val="22"/>
              </w:rPr>
              <w:t>02 · Cuadernillo de preparación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Paquete exclusivo de la Sesión 4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Arial" w:hAnsi="Arial"/>
          <w:color w:val="68637A"/>
          <w:sz w:val="19"/>
        </w:rPr>
        <w:t>Red de Docentes Transdisciplinares</w:t>
        <w:br/>
        <w:t>AULA-IA: del diálogo con IA al diseño docente con propósito</w:t>
        <w:br/>
        <w:t>Versión de producción pedagógica · 5 de agosto de 2026</w:t>
      </w: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1D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6D4AA2"/>
                <w:sz w:val="22"/>
              </w:rPr>
              <w:t>Importante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Esta ruta registra avance, pero no acredita. Al terminar, abre la Sesión 4 principal y registra nuevamente la asistencia con el mismo correo.</w:t>
            </w:r>
          </w:p>
        </w:tc>
      </w:tr>
    </w:tbl>
    <w:p>
      <w:pPr>
        <w:spacing w:after="40"/>
      </w:pPr>
    </w:p>
    <w:p>
      <w:pPr>
        <w:pStyle w:val="Heading1"/>
      </w:pPr>
      <w:r>
        <w:t>Agenda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1008"/>
        <w:gridCol w:w="2880"/>
        <w:gridCol w:w="4320"/>
      </w:tblGrid>
      <w:tr>
        <w:trPr>
          <w:tblHeader w:val="true"/>
        </w:trPr>
        <w:tc>
          <w:tcPr>
            <w:tcW w:type="dxa" w:w="1152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Minutos</w:t>
            </w:r>
          </w:p>
        </w:tc>
        <w:tc>
          <w:tcPr>
            <w:tcW w:type="dxa" w:w="1008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Duración</w:t>
            </w:r>
          </w:p>
        </w:tc>
        <w:tc>
          <w:tcPr>
            <w:tcW w:type="dxa" w:w="2880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Bloque</w:t>
            </w:r>
          </w:p>
        </w:tc>
        <w:tc>
          <w:tcPr>
            <w:tcW w:type="dxa" w:w="4320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Producto</w:t>
            </w:r>
          </w:p>
        </w:tc>
      </w:tr>
      <w:tr>
        <w:tc>
          <w:tcPr>
            <w:tcW w:type="dxa" w:w="1152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0-5</w:t>
            </w:r>
          </w:p>
        </w:tc>
        <w:tc>
          <w:tcPr>
            <w:tcW w:type="dxa" w:w="1008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5</w:t>
            </w:r>
          </w:p>
        </w:tc>
        <w:tc>
          <w:tcPr>
            <w:tcW w:type="dxa" w:w="288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Ingreso y registro</w:t>
            </w:r>
          </w:p>
        </w:tc>
        <w:tc>
          <w:tcPr>
            <w:tcW w:type="dxa" w:w="432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Confirmación de preparación independiente</w:t>
            </w:r>
          </w:p>
        </w:tc>
      </w:tr>
      <w:tr>
        <w:tc>
          <w:tcPr>
            <w:tcW w:type="dxa" w:w="1152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5-15</w:t>
            </w:r>
          </w:p>
        </w:tc>
        <w:tc>
          <w:tcPr>
            <w:tcW w:type="dxa" w:w="1008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10</w:t>
            </w:r>
          </w:p>
        </w:tc>
        <w:tc>
          <w:tcPr>
            <w:tcW w:type="dxa" w:w="288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Tres propósitos de evaluación</w:t>
            </w:r>
          </w:p>
        </w:tc>
        <w:tc>
          <w:tcPr>
            <w:tcW w:type="dxa" w:w="432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Diagnóstica, formativa y sumativa clasificadas</w:t>
            </w:r>
          </w:p>
        </w:tc>
      </w:tr>
      <w:tr>
        <w:tc>
          <w:tcPr>
            <w:tcW w:type="dxa" w:w="1152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15-30</w:t>
            </w:r>
          </w:p>
        </w:tc>
        <w:tc>
          <w:tcPr>
            <w:tcW w:type="dxa" w:w="1008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15</w:t>
            </w:r>
          </w:p>
        </w:tc>
        <w:tc>
          <w:tcPr>
            <w:tcW w:type="dxa" w:w="288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Demostración guiada</w:t>
            </w:r>
          </w:p>
        </w:tc>
        <w:tc>
          <w:tcPr>
            <w:tcW w:type="dxa" w:w="432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Evidencia, criterio y siguiente paso comentados</w:t>
            </w:r>
          </w:p>
        </w:tc>
      </w:tr>
      <w:tr>
        <w:tc>
          <w:tcPr>
            <w:tcW w:type="dxa" w:w="1152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30-50</w:t>
            </w:r>
          </w:p>
        </w:tc>
        <w:tc>
          <w:tcPr>
            <w:tcW w:type="dxa" w:w="1008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20</w:t>
            </w:r>
          </w:p>
        </w:tc>
        <w:tc>
          <w:tcPr>
            <w:tcW w:type="dxa" w:w="288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Construcción acompañada</w:t>
            </w:r>
          </w:p>
        </w:tc>
        <w:tc>
          <w:tcPr>
            <w:tcW w:type="dxa" w:w="432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Prompt básico y retroalimentación revisable</w:t>
            </w:r>
          </w:p>
        </w:tc>
      </w:tr>
      <w:tr>
        <w:tc>
          <w:tcPr>
            <w:tcW w:type="dxa" w:w="1152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50-55</w:t>
            </w:r>
          </w:p>
        </w:tc>
        <w:tc>
          <w:tcPr>
            <w:tcW w:type="dxa" w:w="1008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5</w:t>
            </w:r>
          </w:p>
        </w:tc>
        <w:tc>
          <w:tcPr>
            <w:tcW w:type="dxa" w:w="288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CAVIA ligera</w:t>
            </w:r>
          </w:p>
        </w:tc>
        <w:tc>
          <w:tcPr>
            <w:tcW w:type="dxa" w:w="432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Una corrección docente justificada</w:t>
            </w:r>
          </w:p>
        </w:tc>
      </w:tr>
      <w:tr>
        <w:tc>
          <w:tcPr>
            <w:tcW w:type="dxa" w:w="1152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55-60</w:t>
            </w:r>
          </w:p>
        </w:tc>
        <w:tc>
          <w:tcPr>
            <w:tcW w:type="dxa" w:w="1008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5</w:t>
            </w:r>
          </w:p>
        </w:tc>
        <w:tc>
          <w:tcPr>
            <w:tcW w:type="dxa" w:w="288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Guardado y transición</w:t>
            </w:r>
          </w:p>
        </w:tc>
        <w:tc>
          <w:tcPr>
            <w:tcW w:type="dxa" w:w="432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Código de preparación y acceso a la principal</w:t>
            </w:r>
          </w:p>
        </w:tc>
      </w:tr>
    </w:tbl>
    <w:p>
      <w:pPr>
        <w:spacing w:after="60"/>
      </w:pPr>
    </w:p>
    <w:p>
      <w:pPr>
        <w:pStyle w:val="Heading1"/>
      </w:pPr>
      <w:r>
        <w:t>1. Clasifica el propósito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888"/>
        <w:gridCol w:w="3816"/>
      </w:tblGrid>
      <w:tr>
        <w:trPr>
          <w:tblHeader w:val="true"/>
        </w:trPr>
        <w:tc>
          <w:tcPr>
            <w:tcW w:type="dxa" w:w="1656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3888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3816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Decisión</w:t>
            </w:r>
          </w:p>
        </w:tc>
      </w:tr>
      <w:tr>
        <w:tc>
          <w:tcPr>
            <w:tcW w:type="dxa" w:w="165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Diagnóstica</w:t>
            </w:r>
          </w:p>
        </w:tc>
        <w:tc>
          <w:tcPr>
            <w:tcW w:type="dxa" w:w="3888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¿Desde dónde empezamos?</w:t>
            </w:r>
          </w:p>
        </w:tc>
        <w:tc>
          <w:tcPr>
            <w:tcW w:type="dxa" w:w="381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Elegir punto de partida, apoyo o reto</w:t>
            </w:r>
          </w:p>
        </w:tc>
      </w:tr>
      <w:tr>
        <w:tc>
          <w:tcPr>
            <w:tcW w:type="dxa" w:w="165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Formativa</w:t>
            </w:r>
          </w:p>
        </w:tc>
        <w:tc>
          <w:tcPr>
            <w:tcW w:type="dxa" w:w="3888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¿Qué ocurre y qué ayudaría a avanzar?</w:t>
            </w:r>
          </w:p>
        </w:tc>
        <w:tc>
          <w:tcPr>
            <w:tcW w:type="dxa" w:w="381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Retroalimentar y ajustar</w:t>
            </w:r>
          </w:p>
        </w:tc>
      </w:tr>
      <w:tr>
        <w:tc>
          <w:tcPr>
            <w:tcW w:type="dxa" w:w="165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Sumativa</w:t>
            </w:r>
          </w:p>
        </w:tc>
        <w:tc>
          <w:tcPr>
            <w:tcW w:type="dxa" w:w="3888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¿Qué se alcanzó al cerrar un periodo?</w:t>
            </w:r>
          </w:p>
        </w:tc>
        <w:tc>
          <w:tcPr>
            <w:tcW w:type="dxa" w:w="381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Sintetizar logro con reglas institucionales</w:t>
            </w:r>
          </w:p>
        </w:tc>
      </w:tr>
    </w:tbl>
    <w:p>
      <w:pPr>
        <w:spacing w:after="60"/>
      </w:pPr>
    </w:p>
    <w:p>
      <w:pPr>
        <w:pStyle w:val="Heading1"/>
      </w:pPr>
      <w:r>
        <w:t>2. Elige un caso</w:t>
      </w:r>
    </w:p>
    <w:p>
      <w:pPr>
        <w:pStyle w:val="Heading2"/>
      </w:pPr>
      <w:r>
        <w:t>Educación básica · Historia</w:t>
      </w:r>
    </w:p>
    <w:p>
      <w:r>
        <w:rPr>
          <w:rFonts w:ascii="Arial" w:hAnsi="Arial"/>
          <w:i w:val="0"/>
          <w:color w:val="26233B"/>
          <w:sz w:val="22"/>
        </w:rPr>
        <w:t>Propósito: Comparar dos testimonios e identificar coincidencia, diferencia y pregunta pendiente.</w:t>
      </w:r>
    </w:p>
    <w:p>
      <w:r>
        <w:rPr>
          <w:rFonts w:ascii="Arial" w:hAnsi="Arial"/>
          <w:i w:val="0"/>
          <w:color w:val="26233B"/>
          <w:sz w:val="22"/>
        </w:rPr>
        <w:t>Evidencia simulada: «Los dos testimonios demuestran que la biblioteca benefició a toda la comunidad porque se llenaba los sábados».</w:t>
      </w:r>
    </w:p>
    <w:p>
      <w:pPr>
        <w:pStyle w:val="Heading2"/>
      </w:pPr>
      <w:r>
        <w:t>Media superior · Filosofía</w:t>
      </w:r>
    </w:p>
    <w:p>
      <w:r>
        <w:rPr>
          <w:rFonts w:ascii="Arial" w:hAnsi="Arial"/>
          <w:i w:val="0"/>
          <w:color w:val="26233B"/>
          <w:sz w:val="22"/>
        </w:rPr>
        <w:t>Propósito: Construir un argumento con tesis, razón, objeción y conclusión prudente.</w:t>
      </w:r>
    </w:p>
    <w:p>
      <w:r>
        <w:rPr>
          <w:rFonts w:ascii="Arial" w:hAnsi="Arial"/>
          <w:i w:val="0"/>
          <w:color w:val="26233B"/>
          <w:sz w:val="22"/>
        </w:rPr>
        <w:t>Evidencia simulada: «La escuela debe prohibir la IA porque una herramienta que comete errores siempre perjudica el pensamiento crítico».</w:t>
      </w:r>
    </w:p>
    <w:p>
      <w:pPr>
        <w:pStyle w:val="Heading2"/>
      </w:pPr>
      <w:r>
        <w:t>Educación superior · Humanidades</w:t>
      </w:r>
    </w:p>
    <w:p>
      <w:r>
        <w:rPr>
          <w:rFonts w:ascii="Arial" w:hAnsi="Arial"/>
          <w:i w:val="0"/>
          <w:color w:val="26233B"/>
          <w:sz w:val="22"/>
        </w:rPr>
        <w:t>Propósito: Revisar una interpretación y diferenciar evidencia, inferencia y pregunta de investigación.</w:t>
      </w:r>
    </w:p>
    <w:p>
      <w:r>
        <w:rPr>
          <w:rFonts w:ascii="Arial" w:hAnsi="Arial"/>
          <w:i w:val="0"/>
          <w:color w:val="26233B"/>
          <w:sz w:val="22"/>
        </w:rPr>
        <w:t>Evidencia simulada: «El cambio de nombre causó que toda la comunidad compartiera una sola memoria, como demuestra la nota posterior».</w:t>
      </w:r>
    </w:p>
    <w:p>
      <w:pPr>
        <w:pStyle w:val="Heading1"/>
      </w:pPr>
      <w:r>
        <w:t>3. Construye el prompt básico</w:t>
      </w:r>
    </w:p>
    <w:p>
      <w:pPr>
        <w:pStyle w:val="Heading2"/>
      </w:pPr>
      <w:r>
        <w:rPr>
          <w:rFonts w:ascii="Arial" w:hAnsi="Arial"/>
          <w:b/>
          <w:color w:val="37306B"/>
          <w:sz w:val="26"/>
        </w:rPr>
        <w:t>Contexto y propósito</w:t>
      </w:r>
    </w:p>
    <w:p>
      <w:r>
        <w:rPr>
          <w:rFonts w:ascii="Arial" w:hAnsi="Arial"/>
          <w:i w:val="0"/>
          <w:color w:val="26233B"/>
          <w:sz w:val="22"/>
        </w:rPr>
        <w:t>Nivel, asignatura, propósito observable y momento de evaluación.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E9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  <w:b/>
          <w:color w:val="37306B"/>
          <w:sz w:val="26"/>
        </w:rPr>
        <w:t>Evidencia y dos criterios</w:t>
      </w:r>
    </w:p>
    <w:p>
      <w:r>
        <w:rPr>
          <w:rFonts w:ascii="Arial" w:hAnsi="Arial"/>
          <w:i w:val="0"/>
          <w:color w:val="26233B"/>
          <w:sz w:val="22"/>
        </w:rPr>
        <w:t>Copia solo el fragmento simulado o anonimizado; escribe dos criterios observables.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1D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  <w:b/>
          <w:color w:val="37306B"/>
          <w:sz w:val="26"/>
        </w:rPr>
        <w:t>Encargo</w:t>
      </w:r>
    </w:p>
    <w:p>
      <w:r>
        <w:rPr>
          <w:rFonts w:ascii="Arial" w:hAnsi="Arial"/>
          <w:i w:val="0"/>
          <w:color w:val="26233B"/>
          <w:sz w:val="22"/>
        </w:rPr>
        <w:t>Pide evidencia/inferencia/dato faltante, fortaleza, siguiente acción, pregunta y limitación. Prohíbe calificar o inventar.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E9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after="80"/>
      </w:pPr>
    </w:p>
    <w:p>
      <w:pPr>
        <w:pStyle w:val="Heading1"/>
      </w:pPr>
      <w:r>
        <w:t>4. Revisa el borrador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La fortaleza aparece en la evidencia.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El siguiente paso responde a un criterio.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No etiqueta ni atribuye intenciones.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No asigna calificación.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Contiene una corrección propia.</w:t>
      </w:r>
    </w:p>
    <w:p>
      <w:pPr>
        <w:pStyle w:val="Heading1"/>
      </w:pPr>
      <w:r>
        <w:t>5. Guarda y continúa</w:t>
      </w:r>
    </w:p>
    <w:p>
      <w:pPr>
        <w:pStyle w:val="ListNumber"/>
      </w:pPr>
      <w:r>
        <w:rPr>
          <w:rFonts w:ascii="Arial" w:hAnsi="Arial"/>
          <w:color w:val="26233B"/>
          <w:sz w:val="22"/>
        </w:rPr>
        <w:t>Revisa que no haya datos personales.</w:t>
      </w:r>
    </w:p>
    <w:p>
      <w:pPr>
        <w:pStyle w:val="ListNumber"/>
      </w:pPr>
      <w:r>
        <w:rPr>
          <w:rFonts w:ascii="Arial" w:hAnsi="Arial"/>
          <w:color w:val="26233B"/>
          <w:sz w:val="22"/>
        </w:rPr>
        <w:t>Pulsa Guardar una sola vez.</w:t>
      </w:r>
    </w:p>
    <w:p>
      <w:pPr>
        <w:pStyle w:val="ListNumber"/>
      </w:pPr>
      <w:r>
        <w:rPr>
          <w:rFonts w:ascii="Arial" w:hAnsi="Arial"/>
          <w:color w:val="26233B"/>
          <w:sz w:val="22"/>
        </w:rPr>
        <w:t>Espera y conserva el código.</w:t>
      </w:r>
    </w:p>
    <w:p>
      <w:pPr>
        <w:pStyle w:val="ListNumber"/>
      </w:pPr>
      <w:r>
        <w:rPr>
          <w:rFonts w:ascii="Arial" w:hAnsi="Arial"/>
          <w:color w:val="26233B"/>
          <w:sz w:val="22"/>
        </w:rPr>
        <w:t>Usa el botón Continuar a la Sesión 4 principal.</w:t>
      </w:r>
    </w:p>
    <w:p>
      <w:pPr>
        <w:pStyle w:val="ListNumber"/>
      </w:pPr>
      <w:r>
        <w:rPr>
          <w:rFonts w:ascii="Arial" w:hAnsi="Arial"/>
          <w:color w:val="26233B"/>
          <w:sz w:val="22"/>
        </w:rPr>
        <w:t>Registra asistencia nuevamente.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E9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6D4AA2"/>
                <w:sz w:val="22"/>
              </w:rPr>
              <w:t>Fuentes oficiales para cotejar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SEP · Evaluación formativa: https://educacionbasica.sep.gob.mx/wp-content/uploads/2024/07/2324_s81_La_evaluacion_formativa_reto_pedagogico_didactico.pdf</w:t>
              <w:br/>
              <w:t>OpenAI · Assessment and feedback: https://help.openai.com/en/articles/8313397-how-can-chatgpt-be-used-for-assessment-and-feedback</w:t>
              <w:br/>
              <w:t>CAST · Retroalimentación orientada a la acción: https://udlguidelines.cast.org/engagement/effort-persistence/feedback/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8637A"/>
        <w:sz w:val="16"/>
      </w:rPr>
      <w:t xml:space="preserve">Material editable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8637A"/>
        <w:sz w:val="15"/>
      </w:rPr>
      <w:t>AULA-IA · Sesión 4. Evaluar para mejorar: diagnóstico, retroalimentación y análisis de evidencias con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623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3730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3730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C95F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7306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6863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900" w:hanging="271"/>
      <w:contextualSpacing/>
    </w:pPr>
    <w:rPr>
      <w:rFonts w:ascii="Arial" w:hAnsi="Arial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 preparación · Sesión 4</dc:title>
  <dc:subject>Sesión 4. Evaluar para mejorar: diagnóstico, retroalimentación y análisis de evidencias con IA</dc:subject>
  <dc:creator>Red de Docentes Transdisciplinares</dc:creator>
  <cp:keywords>IA generativa, educación, fuentes, contexto, trazabilidad, AULA-IA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