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C95F5B"/>
          <w:sz w:val="20"/>
        </w:rPr>
        <w:t>AULA-IA · SESIÓN 4</w:t>
      </w:r>
    </w:p>
    <w:p>
      <w:pPr>
        <w:spacing w:after="120"/>
      </w:pPr>
      <w:r>
        <w:rPr>
          <w:rFonts w:ascii="Arial" w:hAnsi="Arial"/>
          <w:b/>
          <w:color w:val="37306B"/>
          <w:sz w:val="48"/>
        </w:rPr>
        <w:t>Evaluar para mejorar:</w:t>
        <w:br/>
        <w:t>diagnóstico, retroalimentación y análisis de evidencias con IA</w:t>
      </w:r>
    </w:p>
    <w:p>
      <w:pPr>
        <w:spacing w:after="280"/>
      </w:pPr>
      <w:r>
        <w:rPr>
          <w:rFonts w:ascii="Arial" w:hAnsi="Arial"/>
          <w:color w:val="68637A"/>
          <w:sz w:val="26"/>
        </w:rPr>
        <w:t>Ficha pedagógica, matriz de fuentes, alcances y APA 7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FF1D5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fuentes</w:t>
            </w:r>
          </w:p>
        </w:tc>
        <w:tc>
          <w:tcPr>
            <w:tcW w:type="dxa" w:w="3120"/>
            <w:shd w:fill="EEE9F7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niveles</w:t>
            </w:r>
          </w:p>
        </w:tc>
        <w:tc>
          <w:tcPr>
            <w:tcW w:type="dxa" w:w="3120"/>
            <w:shd w:fill="FFF1D5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6D4AA2"/>
                <w:sz w:val="26"/>
              </w:rPr>
              <w:t>APA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8637A"/>
                <w:sz w:val="17"/>
              </w:rPr>
              <w:t>7.ª ed.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9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C95F5B"/>
                <w:sz w:val="22"/>
              </w:rPr>
              <w:t>06 · Fundamentación y bibliografía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Paquete exclusivo de la Sesión 4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rial" w:hAnsi="Arial"/>
          <w:color w:val="68637A"/>
          <w:sz w:val="19"/>
        </w:rPr>
        <w:t>Red de Docentes Transdisciplinares</w:t>
        <w:br/>
        <w:t>AULA-IA: del diálogo con IA al diseño docente con propósito</w:t>
        <w:br/>
        <w:t>Versión de producción pedagógica · 5 de agosto de 2026</w:t>
      </w:r>
    </w:p>
    <w:p>
      <w:r>
        <w:br w:type="page"/>
      </w:r>
    </w:p>
    <w:p>
      <w:pPr>
        <w:pStyle w:val="Heading1"/>
      </w:pPr>
      <w:r>
        <w:t>Ficha de fundamentación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16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194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Tema</w:t>
            </w:r>
          </w:p>
        </w:tc>
        <w:tc>
          <w:tcPr>
            <w:tcW w:type="dxa" w:w="741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Diagnóstico, evaluación formativa/sumativa, retroalimentación y análisis prudente con IA.</w:t>
            </w:r>
          </w:p>
        </w:tc>
      </w:tr>
      <w:tr>
        <w:tc>
          <w:tcPr>
            <w:tcW w:type="dxa" w:w="1944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Población</w:t>
            </w:r>
          </w:p>
        </w:tc>
        <w:tc>
          <w:tcPr>
            <w:tcW w:type="dxa" w:w="741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Docentes con experiencia digital heterogénea; grupo aproximado de 200.</w:t>
            </w:r>
          </w:p>
        </w:tc>
      </w:tr>
      <w:tr>
        <w:tc>
          <w:tcPr>
            <w:tcW w:type="dxa" w:w="194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Estructura</w:t>
            </w:r>
          </w:p>
        </w:tc>
        <w:tc>
          <w:tcPr>
            <w:tcW w:type="dxa" w:w="741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Preparación 60 min no acreditable + principal 90 min acreditable.</w:t>
            </w:r>
          </w:p>
        </w:tc>
      </w:tr>
      <w:tr>
        <w:tc>
          <w:tcPr>
            <w:tcW w:type="dxa" w:w="1944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Producto</w:t>
            </w:r>
          </w:p>
        </w:tc>
        <w:tc>
          <w:tcPr>
            <w:tcW w:type="dxa" w:w="741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Ciclo de evaluación con prompt, salida, análisis, retroalimentación, ajuste y seguimiento.</w:t>
            </w:r>
          </w:p>
        </w:tc>
      </w:tr>
      <w:tr>
        <w:tc>
          <w:tcPr>
            <w:tcW w:type="dxa" w:w="1944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Mediación</w:t>
            </w:r>
          </w:p>
        </w:tc>
        <w:tc>
          <w:tcPr>
            <w:tcW w:type="dxa" w:w="7416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Demostración comparativa, casos espejo, dificultad opcional y CAVIA.</w:t>
            </w:r>
          </w:p>
        </w:tc>
      </w:tr>
      <w:tr>
        <w:tc>
          <w:tcPr>
            <w:tcW w:type="dxa" w:w="1944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Privacidad</w:t>
            </w:r>
          </w:p>
        </w:tc>
        <w:tc>
          <w:tcPr>
            <w:tcW w:type="dxa" w:w="7416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7"/>
              </w:rPr>
              <w:t>Solo evidencia simulada o anonimizada; sin datos personales del alumnado.</w:t>
            </w:r>
          </w:p>
        </w:tc>
      </w:tr>
    </w:tbl>
    <w:p>
      <w:pPr>
        <w:spacing w:after="60"/>
      </w:pPr>
    </w:p>
    <w:p>
      <w:pPr>
        <w:pStyle w:val="Heading1"/>
      </w:pPr>
      <w:r>
        <w:t>Decisiones pedagógicas</w:t>
      </w:r>
    </w:p>
    <w:p>
      <w:pPr>
        <w:pStyle w:val="Heading2"/>
      </w:pPr>
      <w:r>
        <w:t>Juicio humano</w:t>
      </w:r>
    </w:p>
    <w:p>
      <w:r>
        <w:rPr>
          <w:rFonts w:ascii="Arial" w:hAnsi="Arial"/>
          <w:i w:val="0"/>
          <w:color w:val="26233B"/>
          <w:sz w:val="22"/>
        </w:rPr>
        <w:t>La IA nunca toma decisiones de calificación, acreditación, promoción, diagnóstico o sanción.</w:t>
      </w:r>
    </w:p>
    <w:p>
      <w:pPr>
        <w:pStyle w:val="Heading2"/>
      </w:pPr>
      <w:r>
        <w:t>Propósito antes que herramienta</w:t>
      </w:r>
    </w:p>
    <w:p>
      <w:r>
        <w:rPr>
          <w:rFonts w:ascii="Arial" w:hAnsi="Arial"/>
          <w:i w:val="0"/>
          <w:color w:val="26233B"/>
          <w:sz w:val="22"/>
        </w:rPr>
        <w:t>El momento evaluativo se define por la decisión que permitirá tomar.</w:t>
      </w:r>
    </w:p>
    <w:p>
      <w:pPr>
        <w:pStyle w:val="Heading2"/>
      </w:pPr>
      <w:r>
        <w:t>Evidencia trazable</w:t>
      </w:r>
    </w:p>
    <w:p>
      <w:r>
        <w:rPr>
          <w:rFonts w:ascii="Arial" w:hAnsi="Arial"/>
          <w:i w:val="0"/>
          <w:color w:val="26233B"/>
          <w:sz w:val="22"/>
        </w:rPr>
        <w:t>Cada comentario debe enlazarse con un fragmento y un criterio observable.</w:t>
      </w:r>
    </w:p>
    <w:p>
      <w:pPr>
        <w:pStyle w:val="Heading2"/>
      </w:pPr>
      <w:r>
        <w:t>Progresión opcional</w:t>
      </w:r>
    </w:p>
    <w:p>
      <w:r>
        <w:rPr>
          <w:rFonts w:ascii="Arial" w:hAnsi="Arial"/>
          <w:i w:val="0"/>
          <w:color w:val="26233B"/>
          <w:sz w:val="22"/>
        </w:rPr>
        <w:t>6/10/15 son rutas AULA-IA acumulativas, no niveles normativos ni tres tareas obligatorias.</w:t>
      </w:r>
    </w:p>
    <w:p>
      <w:pPr>
        <w:pStyle w:val="Heading2"/>
      </w:pPr>
      <w:r>
        <w:t>Retroalimentación accionable</w:t>
      </w:r>
    </w:p>
    <w:p>
      <w:r>
        <w:rPr>
          <w:rFonts w:ascii="Arial" w:hAnsi="Arial"/>
          <w:i w:val="0"/>
          <w:color w:val="26233B"/>
          <w:sz w:val="22"/>
        </w:rPr>
        <w:t>Se centra en progreso, estrategia, siguiente acción y seguimiento, no en etiquetas.</w:t>
      </w:r>
    </w:p>
    <w:p>
      <w:pPr>
        <w:pStyle w:val="Heading2"/>
      </w:pPr>
      <w:r>
        <w:t>Operatividad</w:t>
      </w:r>
    </w:p>
    <w:p>
      <w:r>
        <w:rPr>
          <w:rFonts w:ascii="Arial" w:hAnsi="Arial"/>
          <w:i w:val="0"/>
          <w:color w:val="26233B"/>
          <w:sz w:val="22"/>
        </w:rPr>
        <w:t>ChatGPT, Gemini o una muestra integrada permiten completar el mismo aprendizaje.</w:t>
      </w:r>
    </w:p>
    <w:p>
      <w:pPr>
        <w:pStyle w:val="Heading1"/>
      </w:pPr>
      <w:r>
        <w:t>Matriz de sustentación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5760"/>
            <w:shd w:fill="3730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Sustenta</w:t>
            </w:r>
          </w:p>
        </w:tc>
      </w:tr>
      <w:tr>
        <w:tc>
          <w:tcPr>
            <w:tcW w:type="dxa" w:w="360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OCDE · Evaluación formativa y retroalimentación</w:t>
            </w:r>
          </w:p>
        </w:tc>
        <w:tc>
          <w:tcPr>
            <w:tcW w:type="dxa" w:w="576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La evaluación formativa usa metas, diagnóstico, retroalimentación y adaptación al pensamiento del alumnado.</w:t>
            </w:r>
          </w:p>
        </w:tc>
      </w:tr>
      <w:tr>
        <w:tc>
          <w:tcPr>
            <w:tcW w:type="dxa" w:w="360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SEP · Evaluación formativa</w:t>
            </w:r>
          </w:p>
        </w:tc>
        <w:tc>
          <w:tcPr>
            <w:tcW w:type="dxa" w:w="576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El error, la reflexión, el diálogo y la retroalimentación informan ajustes de enseñanza y aprendizaje.</w:t>
            </w:r>
          </w:p>
        </w:tc>
      </w:tr>
      <w:tr>
        <w:tc>
          <w:tcPr>
            <w:tcW w:type="dxa" w:w="360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OpenAI · Assessment and feedback</w:t>
            </w:r>
          </w:p>
        </w:tc>
        <w:tc>
          <w:tcPr>
            <w:tcW w:type="dxa" w:w="576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La IA puede apoyar borradores de retroalimentación, pero la decisión evaluativa requiere juicio humano.</w:t>
            </w:r>
          </w:p>
        </w:tc>
      </w:tr>
      <w:tr>
        <w:tc>
          <w:tcPr>
            <w:tcW w:type="dxa" w:w="360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UNESCO · Marco de competencias de IA para docentes</w:t>
            </w:r>
          </w:p>
        </w:tc>
        <w:tc>
          <w:tcPr>
            <w:tcW w:type="dxa" w:w="576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Agencia humana, ética, pedagogía con IA y progresión formativa.</w:t>
            </w:r>
          </w:p>
        </w:tc>
      </w:tr>
      <w:tr>
        <w:tc>
          <w:tcPr>
            <w:tcW w:type="dxa" w:w="360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UNESCO · Guía para IA generativa en educación</w:t>
            </w:r>
          </w:p>
        </w:tc>
        <w:tc>
          <w:tcPr>
            <w:tcW w:type="dxa" w:w="576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Uso centrado en las personas, protección de datos, inclusión y validación pedagógica.</w:t>
            </w:r>
          </w:p>
        </w:tc>
      </w:tr>
      <w:tr>
        <w:tc>
          <w:tcPr>
            <w:tcW w:type="dxa" w:w="360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CAST · Retroalimentación orientada a la acción</w:t>
            </w:r>
          </w:p>
        </w:tc>
        <w:tc>
          <w:tcPr>
            <w:tcW w:type="dxa" w:w="576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Comentarios específicos, oportunos, accesibles y centrados en estrategias y progreso.</w:t>
            </w:r>
          </w:p>
        </w:tc>
      </w:tr>
      <w:tr>
        <w:tc>
          <w:tcPr>
            <w:tcW w:type="dxa" w:w="360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Google · Usar el chat en NotebookLM</w:t>
            </w:r>
          </w:p>
        </w:tc>
        <w:tc>
          <w:tcPr>
            <w:tcW w:type="dxa" w:w="5760"/>
            <w:shd w:fill="FCF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Las respuestas se basan en fuentes del cuaderno y permiten cotejar citas en contexto.</w:t>
            </w:r>
          </w:p>
        </w:tc>
      </w:tr>
      <w:tr>
        <w:tc>
          <w:tcPr>
            <w:tcW w:type="dxa" w:w="360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OpenAI Academy · Write Better Prompts — Teachers</w:t>
            </w:r>
          </w:p>
        </w:tc>
        <w:tc>
          <w:tcPr>
            <w:tcW w:type="dxa" w:w="5760"/>
            <w:shd w:fill="EEE9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6233B"/>
                <w:sz w:val="16"/>
              </w:rPr>
              <w:t>Tarea, contexto, formato e iteración para encargos docentes claros.</w:t>
            </w:r>
          </w:p>
        </w:tc>
      </w:tr>
    </w:tbl>
    <w:p>
      <w:pPr>
        <w:spacing w:after="60"/>
      </w:pPr>
    </w:p>
    <w:p>
      <w:pPr>
        <w:pStyle w:val="Heading1"/>
      </w:pPr>
      <w:r>
        <w:t>Alcances y límites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La IA apoya un borrador; no garantiza exactitud, justicia ni pertinencia contextual.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CAVIA y la progresión 6/10/15 son propuestas del curso, no escalas validadas.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Los casos son simulados y no representan resultados de investigación.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NotebookLM puede facilitar el cotejo de citas, pero la lectura y el juicio siguen siendo humanos.</w:t>
      </w:r>
    </w:p>
    <w:p>
      <w:pPr>
        <w:pStyle w:val="ListBullet"/>
      </w:pPr>
      <w:r>
        <w:rPr>
          <w:rFonts w:ascii="Arial" w:hAnsi="Arial"/>
          <w:color w:val="26233B"/>
          <w:sz w:val="22"/>
        </w:rPr>
        <w:t>Funciones y disponibilidad pueden variar por cuenta, plan, región y administración institucional.</w:t>
      </w:r>
    </w:p>
    <w:p>
      <w:pPr>
        <w:pStyle w:val="Heading1"/>
      </w:pPr>
      <w:r>
        <w:t>Bibliografía APA 7</w:t>
      </w:r>
    </w:p>
    <w:p>
      <w:pPr>
        <w:spacing w:after="180"/>
        <w:ind w:left="432" w:hanging="432"/>
      </w:pPr>
      <w:r>
        <w:rPr>
          <w:rFonts w:ascii="Arial" w:hAnsi="Arial"/>
          <w:i w:val="0"/>
          <w:color w:val="26233B"/>
          <w:sz w:val="22"/>
        </w:rPr>
        <w:t>CAST. (2024). CAST Universal Design for Learning Guidelines version 3.0. https://udlguidelines.cast.org/</w:t>
      </w:r>
    </w:p>
    <w:p>
      <w:pPr>
        <w:spacing w:after="180"/>
        <w:ind w:left="432" w:hanging="432"/>
      </w:pPr>
      <w:r>
        <w:rPr>
          <w:rFonts w:ascii="Arial" w:hAnsi="Arial"/>
          <w:i w:val="0"/>
          <w:color w:val="26233B"/>
          <w:sz w:val="22"/>
        </w:rPr>
        <w:t>Díaz-Barriga, A. (2024). La evaluación formativa es un reto pedagógico-didáctico en el trabajo docente. Secretaría de Educación Pública. https://educacionbasica.sep.gob.mx/wp-content/uploads/2024/07/2324_s81_La_evaluacion_formativa_reto_pedagogico_didactico.pdf</w:t>
      </w:r>
    </w:p>
    <w:p>
      <w:pPr>
        <w:spacing w:after="180"/>
        <w:ind w:left="432" w:hanging="432"/>
      </w:pPr>
      <w:r>
        <w:rPr>
          <w:rFonts w:ascii="Arial" w:hAnsi="Arial"/>
          <w:i w:val="0"/>
          <w:color w:val="26233B"/>
          <w:sz w:val="22"/>
        </w:rPr>
        <w:t>Google. (s. f.). Usar el chat en NotebookLM. Recuperado el 5 de agosto de 2026, de https://support.google.com/notebooklm/answer/16179559?hl=es</w:t>
      </w:r>
    </w:p>
    <w:p>
      <w:pPr>
        <w:spacing w:after="180"/>
        <w:ind w:left="432" w:hanging="432"/>
      </w:pPr>
      <w:r>
        <w:rPr>
          <w:rFonts w:ascii="Arial" w:hAnsi="Arial"/>
          <w:i w:val="0"/>
          <w:color w:val="26233B"/>
          <w:sz w:val="22"/>
        </w:rPr>
        <w:t>OpenAI. (s. f.). How can ChatGPT be used for assessment and feedback? Recuperado el 5 de agosto de 2026, de https://help.openai.com/en/articles/8313397-how-can-chatgpt-be-used-for-assessment-and-feedback</w:t>
      </w:r>
    </w:p>
    <w:p>
      <w:pPr>
        <w:spacing w:after="180"/>
        <w:ind w:left="432" w:hanging="432"/>
      </w:pPr>
      <w:r>
        <w:rPr>
          <w:rFonts w:ascii="Arial" w:hAnsi="Arial"/>
          <w:i w:val="0"/>
          <w:color w:val="26233B"/>
          <w:sz w:val="22"/>
        </w:rPr>
        <w:t>OpenAI Academy. (2026, 28 de mayo). Write Better Prompts — Teachers. https://academy.openai.com/en/public/clubs/k-12-education-aacga/blogs/write-better-prompts-teachers-2026-05-28</w:t>
      </w:r>
    </w:p>
    <w:p>
      <w:pPr>
        <w:spacing w:after="180"/>
        <w:ind w:left="432" w:hanging="432"/>
      </w:pPr>
      <w:r>
        <w:rPr>
          <w:rFonts w:ascii="Arial" w:hAnsi="Arial"/>
          <w:i w:val="0"/>
          <w:color w:val="26233B"/>
          <w:sz w:val="22"/>
        </w:rPr>
        <w:t>Organisation for Economic Co-operation and Development. (2025). Unlocking high-quality teaching. OECD Publishing. https://www.oecd.org/en/publications/unlocking-high-quality-teaching_f5b82176-en.html</w:t>
      </w:r>
    </w:p>
    <w:p>
      <w:pPr>
        <w:spacing w:after="180"/>
        <w:ind w:left="432" w:hanging="432"/>
      </w:pPr>
      <w:r>
        <w:rPr>
          <w:rFonts w:ascii="Arial" w:hAnsi="Arial"/>
          <w:i w:val="0"/>
          <w:color w:val="26233B"/>
          <w:sz w:val="22"/>
        </w:rPr>
        <w:t>UNESCO. (2024). AI competency framework for teachers. https://unesdoc.unesco.org/ark:/48223/pf0000391104</w:t>
      </w:r>
    </w:p>
    <w:p>
      <w:pPr>
        <w:spacing w:after="180"/>
        <w:ind w:left="432" w:hanging="432"/>
      </w:pPr>
      <w:r>
        <w:rPr>
          <w:rFonts w:ascii="Arial" w:hAnsi="Arial"/>
          <w:i w:val="0"/>
          <w:color w:val="26233B"/>
          <w:sz w:val="22"/>
        </w:rPr>
        <w:t>UNESCO. (2024). Guía para el uso de IA generativa en educación e investigación. https://unesdoc.unesco.org/ark:/48223/pf0000389227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1D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6D4AA2"/>
                <w:sz w:val="22"/>
              </w:rPr>
              <w:t>Nota de actualización</w:t>
            </w:r>
          </w:p>
          <w:p>
            <w:pPr>
              <w:spacing w:after="0"/>
            </w:pPr>
            <w:r>
              <w:rPr>
                <w:rFonts w:ascii="Arial" w:hAnsi="Arial"/>
                <w:color w:val="26233B"/>
                <w:sz w:val="21"/>
              </w:rPr>
              <w:t>Fuentes verificadas el 5 de agosto de 2026. Antes de impartir, comprobar disponibilidad, términos y políticas institucionales vigentes.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637A"/>
        <w:sz w:val="16"/>
      </w:rPr>
      <w:t xml:space="preserve">Material editable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8637A"/>
        <w:sz w:val="15"/>
      </w:rPr>
      <w:t>AULA-IA · Sesión 4. Evaluar para mejorar: diagnóstico, retroalimentación y análisis de evidencias con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623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3730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3730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C95F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7306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6863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900" w:hanging="271"/>
      <w:contextualSpacing/>
    </w:pPr>
    <w:rPr>
      <w:rFonts w:ascii="Arial" w:hAnsi="Arial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Fundamentación y bibliografía · Sesión 4</dc:title>
  <dc:subject>Sesión 4. Evaluar para mejorar: diagnóstico, retroalimentación y análisis de evidencias con IA</dc:subject>
  <dc:creator>Red de Docentes Transdisciplinares</dc:creator>
  <cp:keywords>IA generativa, educación, fuentes, contexto, trazabilidad, AULA-IA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