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C95F5B"/>
          <w:sz w:val="20"/>
        </w:rPr>
        <w:t>AULA-IA · SESIÓN 4</w:t>
      </w:r>
    </w:p>
    <w:p>
      <w:pPr>
        <w:spacing w:after="120"/>
      </w:pPr>
      <w:r>
        <w:rPr>
          <w:rFonts w:ascii="Arial" w:hAnsi="Arial"/>
          <w:b/>
          <w:color w:val="37306B"/>
          <w:sz w:val="48"/>
        </w:rPr>
        <w:t>Evaluar para mejorar:</w:t>
        <w:br/>
        <w:t>diagnóstico, retroalimentación y análisis de evidencias con IA</w:t>
      </w:r>
    </w:p>
    <w:p>
      <w:pPr>
        <w:spacing w:after="280"/>
      </w:pPr>
      <w:r>
        <w:rPr>
          <w:rFonts w:ascii="Arial" w:hAnsi="Arial"/>
          <w:color w:val="68637A"/>
          <w:sz w:val="26"/>
        </w:rPr>
        <w:t>Protección de sesiones previas, registros, PDF y validación institucional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FF1D5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6D4AA2"/>
                <w:sz w:val="26"/>
              </w:rPr>
              <w:t>20/20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8637A"/>
                <w:sz w:val="17"/>
              </w:rPr>
              <w:t>línea base S1-S3</w:t>
            </w:r>
          </w:p>
        </w:tc>
        <w:tc>
          <w:tcPr>
            <w:tcW w:type="dxa" w:w="3120"/>
            <w:shd w:fill="EEE9F7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6D4AA2"/>
                <w:sz w:val="26"/>
              </w:rPr>
              <w:t>9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8637A"/>
                <w:sz w:val="17"/>
              </w:rPr>
              <w:t>combinaciones</w:t>
            </w:r>
          </w:p>
        </w:tc>
        <w:tc>
          <w:tcPr>
            <w:tcW w:type="dxa" w:w="3120"/>
            <w:shd w:fill="FFF1D5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6D4AA2"/>
                <w:sz w:val="26"/>
              </w:rPr>
              <w:t>200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8637A"/>
                <w:sz w:val="17"/>
              </w:rPr>
              <w:t>participantes objetivo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9E8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C95F5B"/>
                <w:sz w:val="22"/>
              </w:rPr>
              <w:t>08 · Plan de pruebas y ficha técnica</w:t>
            </w:r>
          </w:p>
          <w:p>
            <w:pPr>
              <w:spacing w:after="0"/>
            </w:pPr>
            <w:r>
              <w:rPr>
                <w:rFonts w:ascii="Arial" w:hAnsi="Arial"/>
                <w:color w:val="26233B"/>
                <w:sz w:val="21"/>
              </w:rPr>
              <w:t>Paquete exclusivo de la Sesión 4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Arial" w:hAnsi="Arial"/>
          <w:color w:val="68637A"/>
          <w:sz w:val="19"/>
        </w:rPr>
        <w:t>Red de Docentes Transdisciplinares</w:t>
        <w:br/>
        <w:t>AULA-IA: del diálogo con IA al diseño docente con propósito</w:t>
        <w:br/>
        <w:t>Versión de producción pedagógica · 5 de agosto de 2026</w:t>
      </w: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9E8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C95F5B"/>
                <w:sz w:val="22"/>
              </w:rPr>
              <w:t>Límite honesto</w:t>
            </w:r>
          </w:p>
          <w:p>
            <w:pPr>
              <w:spacing w:after="0"/>
            </w:pPr>
            <w:r>
              <w:rPr>
                <w:rFonts w:ascii="Arial" w:hAnsi="Arial"/>
                <w:color w:val="26233B"/>
                <w:sz w:val="21"/>
              </w:rPr>
              <w:t>La compilación y pruebas locales no demuestran por sí solas la escritura en la hoja institucional ni la publicación. La hoja definitiva solo se modifica tras prueba aislada y autorización expresa.</w:t>
            </w:r>
          </w:p>
        </w:tc>
      </w:tr>
    </w:tbl>
    <w:p>
      <w:pPr>
        <w:spacing w:after="40"/>
      </w:pPr>
    </w:p>
    <w:p>
      <w:pPr>
        <w:pStyle w:val="Heading1"/>
      </w:pPr>
      <w:r>
        <w:t>Línea base verificada · 5 de agosto de 2026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6984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37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Sesiones 1-3</w:t>
            </w:r>
          </w:p>
        </w:tc>
        <w:tc>
          <w:tcPr>
            <w:tcW w:type="dxa" w:w="6984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20/20 pruebas existentes aprobaron antes de agregar S4.</w:t>
            </w:r>
          </w:p>
        </w:tc>
      </w:tr>
      <w:tr>
        <w:tc>
          <w:tcPr>
            <w:tcW w:type="dxa" w:w="2376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Compilación</w:t>
            </w:r>
          </w:p>
        </w:tc>
        <w:tc>
          <w:tcPr>
            <w:tcW w:type="dxa" w:w="6984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Aprobada en la copia protegida antes de cambios.</w:t>
            </w:r>
          </w:p>
        </w:tc>
      </w:tr>
      <w:tr>
        <w:tc>
          <w:tcPr>
            <w:tcW w:type="dxa" w:w="237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Fuente</w:t>
            </w:r>
          </w:p>
        </w:tc>
        <w:tc>
          <w:tcPr>
            <w:tcW w:type="dxa" w:w="6984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Proyecto publicado copiado sin datos de compilación ni temporales.</w:t>
            </w:r>
          </w:p>
        </w:tc>
      </w:tr>
      <w:tr>
        <w:tc>
          <w:tcPr>
            <w:tcW w:type="dxa" w:w="2376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Aislamiento</w:t>
            </w:r>
          </w:p>
        </w:tc>
        <w:tc>
          <w:tcPr>
            <w:tcW w:type="dxa" w:w="6984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Ninguna hoja, Apps Script o registro institucional fue modificado en esta fase.</w:t>
            </w:r>
          </w:p>
        </w:tc>
      </w:tr>
    </w:tbl>
    <w:p>
      <w:pPr>
        <w:spacing w:after="60"/>
      </w:pPr>
    </w:p>
    <w:p>
      <w:pPr>
        <w:pStyle w:val="Heading1"/>
      </w:pPr>
      <w:r>
        <w:t>Matriz de pruebas de Sesión 4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7560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</w:tr>
      <w:tr>
        <w:tc>
          <w:tcPr>
            <w:tcW w:type="dxa" w:w="180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S4-NAV-01</w:t>
            </w:r>
          </w:p>
        </w:tc>
        <w:tc>
          <w:tcPr>
            <w:tcW w:type="dxa" w:w="756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Rutas principal/preparación y regreso a S1, S2 y S3.</w:t>
            </w:r>
          </w:p>
        </w:tc>
      </w:tr>
      <w:tr>
        <w:tc>
          <w:tcPr>
            <w:tcW w:type="dxa" w:w="180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S4-TIME-01</w:t>
            </w:r>
          </w:p>
        </w:tc>
        <w:tc>
          <w:tcPr>
            <w:tcW w:type="dxa" w:w="756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Preparación 60, principal 90 y 75 minutos activos.</w:t>
            </w:r>
          </w:p>
        </w:tc>
      </w:tr>
      <w:tr>
        <w:tc>
          <w:tcPr>
            <w:tcW w:type="dxa" w:w="180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S4-DIFF-01</w:t>
            </w:r>
          </w:p>
        </w:tc>
        <w:tc>
          <w:tcPr>
            <w:tcW w:type="dxa" w:w="756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Las 9 combinaciones conservan 6/10/15 exactos.</w:t>
            </w:r>
          </w:p>
        </w:tc>
      </w:tr>
      <w:tr>
        <w:tc>
          <w:tcPr>
            <w:tcW w:type="dxa" w:w="180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S4-STATE-01</w:t>
            </w:r>
          </w:p>
        </w:tc>
        <w:tc>
          <w:tcPr>
            <w:tcW w:type="dxa" w:w="756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Cambiar nivel/dificultad limpia campos incompatibles.</w:t>
            </w:r>
          </w:p>
        </w:tc>
      </w:tr>
      <w:tr>
        <w:tc>
          <w:tcPr>
            <w:tcW w:type="dxa" w:w="180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S4-AUTH-01</w:t>
            </w:r>
          </w:p>
        </w:tc>
        <w:tc>
          <w:tcPr>
            <w:tcW w:type="dxa" w:w="756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Evidencia rechazada sin asistencia S4 principal.</w:t>
            </w:r>
          </w:p>
        </w:tc>
      </w:tr>
      <w:tr>
        <w:tc>
          <w:tcPr>
            <w:tcW w:type="dxa" w:w="180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S4-D1-01</w:t>
            </w:r>
          </w:p>
        </w:tc>
        <w:tc>
          <w:tcPr>
            <w:tcW w:type="dxa" w:w="756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Preparación, asistencia y evidencia persisten sin duplicados silenciosos.</w:t>
            </w:r>
          </w:p>
        </w:tc>
      </w:tr>
      <w:tr>
        <w:tc>
          <w:tcPr>
            <w:tcW w:type="dxa" w:w="180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S4-PDF-01</w:t>
            </w:r>
          </w:p>
        </w:tc>
        <w:tc>
          <w:tcPr>
            <w:tcW w:type="dxa" w:w="756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PDF solo se obtiene con correo+código de un registro guardado.</w:t>
            </w:r>
          </w:p>
        </w:tc>
      </w:tr>
      <w:tr>
        <w:tc>
          <w:tcPr>
            <w:tcW w:type="dxa" w:w="180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S4-PDF-02</w:t>
            </w:r>
          </w:p>
        </w:tc>
        <w:tc>
          <w:tcPr>
            <w:tcW w:type="dxa" w:w="756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PDF no expone datos de otra persona ni usa borrador no guardado.</w:t>
            </w:r>
          </w:p>
        </w:tc>
      </w:tr>
      <w:tr>
        <w:tc>
          <w:tcPr>
            <w:tcW w:type="dxa" w:w="180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S4-SHEET-01</w:t>
            </w:r>
          </w:p>
        </w:tc>
        <w:tc>
          <w:tcPr>
            <w:tcW w:type="dxa" w:w="756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Prueba aislada escribe pestañas y columnas correctas.</w:t>
            </w:r>
          </w:p>
        </w:tc>
      </w:tr>
      <w:tr>
        <w:tc>
          <w:tcPr>
            <w:tcW w:type="dxa" w:w="180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S4-REG-01</w:t>
            </w:r>
          </w:p>
        </w:tc>
        <w:tc>
          <w:tcPr>
            <w:tcW w:type="dxa" w:w="756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S1-S3 mantienen build, pruebas, rutas y formularios.</w:t>
            </w:r>
          </w:p>
        </w:tc>
      </w:tr>
      <w:tr>
        <w:tc>
          <w:tcPr>
            <w:tcW w:type="dxa" w:w="180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S4-LOAD-01</w:t>
            </w:r>
          </w:p>
        </w:tc>
        <w:tc>
          <w:tcPr>
            <w:tcW w:type="dxa" w:w="756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Carga sintética de 200 participantes y reenvíos controlados.</w:t>
            </w:r>
          </w:p>
        </w:tc>
      </w:tr>
      <w:tr>
        <w:tc>
          <w:tcPr>
            <w:tcW w:type="dxa" w:w="180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S4-A11Y-01</w:t>
            </w:r>
          </w:p>
        </w:tc>
        <w:tc>
          <w:tcPr>
            <w:tcW w:type="dxa" w:w="756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Teclado, foco, contraste, zoom y lector de pantalla.</w:t>
            </w:r>
          </w:p>
        </w:tc>
      </w:tr>
    </w:tbl>
    <w:p>
      <w:pPr>
        <w:spacing w:after="60"/>
      </w:pPr>
    </w:p>
    <w:p>
      <w:pPr>
        <w:pStyle w:val="Heading1"/>
      </w:pPr>
      <w:r>
        <w:t>Destinos y funciones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5184"/>
        <w:gridCol w:w="2088"/>
      </w:tblGrid>
      <w:tr>
        <w:trPr>
          <w:tblHeader w:val="true"/>
        </w:trPr>
        <w:tc>
          <w:tcPr>
            <w:tcW w:type="dxa" w:w="2088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Destino</w:t>
            </w:r>
          </w:p>
        </w:tc>
        <w:tc>
          <w:tcPr>
            <w:tcW w:type="dxa" w:w="5184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2088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Acredita</w:t>
            </w:r>
          </w:p>
        </w:tc>
      </w:tr>
      <w:tr>
        <w:tc>
          <w:tcPr>
            <w:tcW w:type="dxa" w:w="2088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NIVELACION</w:t>
            </w:r>
          </w:p>
        </w:tc>
        <w:tc>
          <w:tcPr>
            <w:tcW w:type="dxa" w:w="5184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Registro y actividad de preparación S4.</w:t>
            </w:r>
          </w:p>
        </w:tc>
        <w:tc>
          <w:tcPr>
            <w:tcW w:type="dxa" w:w="2088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No</w:t>
            </w:r>
          </w:p>
        </w:tc>
      </w:tr>
      <w:tr>
        <w:tc>
          <w:tcPr>
            <w:tcW w:type="dxa" w:w="2088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ASISTENCIA</w:t>
            </w:r>
          </w:p>
        </w:tc>
        <w:tc>
          <w:tcPr>
            <w:tcW w:type="dxa" w:w="5184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Asistencia oficial a S4 principal.</w:t>
            </w:r>
          </w:p>
        </w:tc>
        <w:tc>
          <w:tcPr>
            <w:tcW w:type="dxa" w:w="2088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Condición</w:t>
            </w:r>
          </w:p>
        </w:tc>
      </w:tr>
      <w:tr>
        <w:tc>
          <w:tcPr>
            <w:tcW w:type="dxa" w:w="2088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S4_EVIDENCIAS</w:t>
            </w:r>
          </w:p>
        </w:tc>
        <w:tc>
          <w:tcPr>
            <w:tcW w:type="dxa" w:w="5184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Ciclo, revisión, retroalimentación, ajuste y código.</w:t>
            </w:r>
          </w:p>
        </w:tc>
        <w:tc>
          <w:tcPr>
            <w:tcW w:type="dxa" w:w="2088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Sí</w:t>
            </w:r>
          </w:p>
        </w:tc>
      </w:tr>
      <w:tr>
        <w:tc>
          <w:tcPr>
            <w:tcW w:type="dxa" w:w="2088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D1</w:t>
            </w:r>
          </w:p>
        </w:tc>
        <w:tc>
          <w:tcPr>
            <w:tcW w:type="dxa" w:w="5184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Fuente principal de registro y origen del comprobante PDF.</w:t>
            </w:r>
          </w:p>
        </w:tc>
        <w:tc>
          <w:tcPr>
            <w:tcW w:type="dxa" w:w="2088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Soporte</w:t>
            </w:r>
          </w:p>
        </w:tc>
      </w:tr>
      <w:tr>
        <w:tc>
          <w:tcPr>
            <w:tcW w:type="dxa" w:w="2088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PDF</w:t>
            </w:r>
          </w:p>
        </w:tc>
        <w:tc>
          <w:tcPr>
            <w:tcW w:type="dxa" w:w="5184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Copia individual recuperable por correo + código.</w:t>
            </w:r>
          </w:p>
        </w:tc>
        <w:tc>
          <w:tcPr>
            <w:tcW w:type="dxa" w:w="2088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Comprobante</w:t>
            </w:r>
          </w:p>
        </w:tc>
      </w:tr>
    </w:tbl>
    <w:p>
      <w:pPr>
        <w:spacing w:after="60"/>
      </w:pPr>
    </w:p>
    <w:p>
      <w:pPr>
        <w:pStyle w:val="Heading1"/>
      </w:pPr>
      <w:r>
        <w:t>Protocolo institucional controlado</w:t>
      </w:r>
    </w:p>
    <w:p>
      <w:pPr>
        <w:pStyle w:val="ListNumber"/>
      </w:pPr>
      <w:r>
        <w:rPr>
          <w:rFonts w:ascii="Arial" w:hAnsi="Arial"/>
          <w:color w:val="26233B"/>
          <w:sz w:val="22"/>
        </w:rPr>
        <w:t>Respaldar la hoja de prueba y verificar que no es la definitiva.</w:t>
      </w:r>
    </w:p>
    <w:p>
      <w:pPr>
        <w:pStyle w:val="ListNumber"/>
      </w:pPr>
      <w:r>
        <w:rPr>
          <w:rFonts w:ascii="Arial" w:hAnsi="Arial"/>
          <w:color w:val="26233B"/>
          <w:sz w:val="22"/>
        </w:rPr>
        <w:t>Instalar el Apps Script candidato en una implementación de prueba.</w:t>
      </w:r>
    </w:p>
    <w:p>
      <w:pPr>
        <w:pStyle w:val="ListNumber"/>
      </w:pPr>
      <w:r>
        <w:rPr>
          <w:rFonts w:ascii="Arial" w:hAnsi="Arial"/>
          <w:color w:val="26233B"/>
          <w:sz w:val="22"/>
        </w:rPr>
        <w:t>Usar correo y datos ficticios identificados como PRUEBA-S4.</w:t>
      </w:r>
    </w:p>
    <w:p>
      <w:pPr>
        <w:pStyle w:val="ListNumber"/>
      </w:pPr>
      <w:r>
        <w:rPr>
          <w:rFonts w:ascii="Arial" w:hAnsi="Arial"/>
          <w:color w:val="26233B"/>
          <w:sz w:val="22"/>
        </w:rPr>
        <w:t>Enviar preparación, asistencia y evidencia una vez.</w:t>
      </w:r>
    </w:p>
    <w:p>
      <w:pPr>
        <w:pStyle w:val="ListNumber"/>
      </w:pPr>
      <w:r>
        <w:rPr>
          <w:rFonts w:ascii="Arial" w:hAnsi="Arial"/>
          <w:color w:val="26233B"/>
          <w:sz w:val="22"/>
        </w:rPr>
        <w:t>Confirmar pestañas, encabezados, código, intento y versión.</w:t>
      </w:r>
    </w:p>
    <w:p>
      <w:pPr>
        <w:pStyle w:val="ListNumber"/>
      </w:pPr>
      <w:r>
        <w:rPr>
          <w:rFonts w:ascii="Arial" w:hAnsi="Arial"/>
          <w:color w:val="26233B"/>
          <w:sz w:val="22"/>
        </w:rPr>
        <w:t>Descargar el PDF y cotejarlo contra el registro D1 guardado.</w:t>
      </w:r>
    </w:p>
    <w:p>
      <w:pPr>
        <w:pStyle w:val="ListNumber"/>
      </w:pPr>
      <w:r>
        <w:rPr>
          <w:rFonts w:ascii="Arial" w:hAnsi="Arial"/>
          <w:color w:val="26233B"/>
          <w:sz w:val="22"/>
        </w:rPr>
        <w:t>Reenviar para comprobar actualización e idempotencia.</w:t>
      </w:r>
    </w:p>
    <w:p>
      <w:pPr>
        <w:pStyle w:val="ListNumber"/>
      </w:pPr>
      <w:r>
        <w:rPr>
          <w:rFonts w:ascii="Arial" w:hAnsi="Arial"/>
          <w:color w:val="26233B"/>
          <w:sz w:val="22"/>
        </w:rPr>
        <w:t>Ejecutar regresión S1-S3.</w:t>
      </w:r>
    </w:p>
    <w:p>
      <w:pPr>
        <w:pStyle w:val="ListNumber"/>
      </w:pPr>
      <w:r>
        <w:rPr>
          <w:rFonts w:ascii="Arial" w:hAnsi="Arial"/>
          <w:color w:val="26233B"/>
          <w:sz w:val="22"/>
        </w:rPr>
        <w:t>Eliminar exclusivamente registros ficticios autorizados.</w:t>
      </w:r>
    </w:p>
    <w:p>
      <w:pPr>
        <w:pStyle w:val="ListNumber"/>
      </w:pPr>
      <w:r>
        <w:rPr>
          <w:rFonts w:ascii="Arial" w:hAnsi="Arial"/>
          <w:color w:val="26233B"/>
          <w:sz w:val="22"/>
        </w:rPr>
        <w:t>Solicitar autorización antes de tocar la hoja definitiva.</w:t>
      </w:r>
    </w:p>
    <w:p>
      <w:pPr>
        <w:pStyle w:val="Heading1"/>
      </w:pPr>
      <w:r>
        <w:t>Criterios de aceptación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Las rutas cargan en la misma publicación y los botones regresan a sesiones previas.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Preparación no acredita y enlaza a la principal.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Evidencia principal requiere asistencia y una dificultad completa.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El guardado devuelve un código y el PDF se habilita solo después.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Correo + código recuperan solo la evidencia correspondiente.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La prueba aislada llega a pestañas correctas sin afectar datos previos.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S1-S3 permanecen operativas y sin alteración de registros.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[ ] No se declara activación institucional hasta completar la prueba real autorizada.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8637A"/>
        <w:sz w:val="16"/>
      </w:rPr>
      <w:t xml:space="preserve">Material editable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8637A"/>
        <w:sz w:val="15"/>
      </w:rPr>
      <w:t>AULA-IA · Sesión 4. Evaluar para mejorar: diagnóstico, retroalimentación y análisis de evidencias con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623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3730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3730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C95F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37306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6863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00" w:hanging="271"/>
      <w:contextualSpacing/>
    </w:pPr>
    <w:rPr>
      <w:rFonts w:ascii="Arial" w:hAnsi="Arial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ind w:left="900" w:hanging="271"/>
      <w:contextualSpacing/>
    </w:pPr>
    <w:rPr>
      <w:rFonts w:ascii="Arial" w:hAnsi="Arial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y ficha técnica · Sesión 4</dc:title>
  <dc:subject>Sesión 4. Evaluar para mejorar: diagnóstico, retroalimentación y análisis de evidencias con IA</dc:subject>
  <dc:creator>Red de Docentes Transdisciplinares</dc:creator>
  <cp:keywords>IA generativa, educación, fuentes, contexto, trazabilidad, AULA-IA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