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C95F5B"/>
          <w:sz w:val="20"/>
        </w:rPr>
        <w:t>AULA-IA · SESIÓN 4</w:t>
      </w:r>
    </w:p>
    <w:p>
      <w:pPr>
        <w:spacing w:after="120"/>
      </w:pPr>
      <w:r>
        <w:rPr>
          <w:rFonts w:ascii="Arial" w:hAnsi="Arial"/>
          <w:b/>
          <w:color w:val="37306B"/>
          <w:sz w:val="48"/>
        </w:rPr>
        <w:t>Evaluar para mejorar:</w:t>
        <w:br/>
        <w:t>diagnóstico, retroalimentación y análisis de evidencias con IA</w:t>
      </w:r>
    </w:p>
    <w:p>
      <w:pPr>
        <w:spacing w:after="280"/>
      </w:pPr>
      <w:r>
        <w:rPr>
          <w:rFonts w:ascii="Arial" w:hAnsi="Arial"/>
          <w:color w:val="68637A"/>
          <w:sz w:val="26"/>
        </w:rPr>
        <w:t>Mensajes, cotejo, actividad semanal, PDF y actividades adicionales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registros</w:t>
            </w:r>
          </w:p>
        </w:tc>
        <w:tc>
          <w:tcPr>
            <w:tcW w:type="dxa" w:w="3120"/>
            <w:shd w:fill="EEE9F7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15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máx. criterios</w:t>
            </w:r>
          </w:p>
        </w:tc>
        <w:tc>
          <w:tcPr>
            <w:tcW w:type="dxa" w:w="312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adicionales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9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5F5B"/>
                <w:sz w:val="22"/>
              </w:rPr>
              <w:t>07 · Recursos de aula virtual y contingencia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Paquete exclusivo de la Sesión 4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color w:val="68637A"/>
          <w:sz w:val="19"/>
        </w:rPr>
        <w:t>Red de Docentes Transdisciplinares</w:t>
        <w:br/>
        <w:t>AULA-IA: del diálogo con IA al diseño docente con propósito</w:t>
        <w:br/>
        <w:t>Versión de producción pedagógica · 5 de agosto de 2026</w:t>
      </w:r>
    </w:p>
    <w:p>
      <w:r>
        <w:br w:type="page"/>
      </w:r>
    </w:p>
    <w:p>
      <w:pPr>
        <w:pStyle w:val="Heading1"/>
      </w:pPr>
      <w:r>
        <w:t>Recursos visibles por ruta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756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Recursos</w:t>
            </w:r>
          </w:p>
        </w:tc>
      </w:tr>
      <w:tr>
        <w:tc>
          <w:tcPr>
            <w:tcW w:type="dxa" w:w="18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Preparación</w:t>
            </w:r>
          </w:p>
        </w:tc>
        <w:tc>
          <w:tcPr>
            <w:tcW w:type="dxa" w:w="75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Agenda; clasificación; demostración; caso; prompt básico; CAVIA ligera; guardado; botón a principal.</w:t>
            </w:r>
          </w:p>
        </w:tc>
      </w:tr>
      <w:tr>
        <w:tc>
          <w:tcPr>
            <w:tcW w:type="dxa" w:w="18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Principal</w:t>
            </w:r>
          </w:p>
        </w:tc>
        <w:tc>
          <w:tcPr>
            <w:tcW w:type="dxa" w:w="75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Asistencia; selector sincronizado; demo; laboratorio; CAVIA; evidencia; PDF; recuperación; fuentes.</w:t>
            </w:r>
          </w:p>
        </w:tc>
      </w:tr>
      <w:tr>
        <w:tc>
          <w:tcPr>
            <w:tcW w:type="dxa" w:w="18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Facilitación</w:t>
            </w:r>
          </w:p>
        </w:tc>
        <w:tc>
          <w:tcPr>
            <w:tcW w:type="dxa" w:w="75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Presentaciones; manual; reloj; respuestas; tablero agregado; contingencia; mensajes de estado.</w:t>
            </w:r>
          </w:p>
        </w:tc>
      </w:tr>
    </w:tbl>
    <w:p>
      <w:pPr>
        <w:spacing w:after="60"/>
      </w:pPr>
    </w:p>
    <w:p>
      <w:pPr>
        <w:pStyle w:val="Heading1"/>
      </w:pPr>
      <w:r>
        <w:t>Lista de cotejo de salida</w:t>
      </w:r>
    </w:p>
    <w:p>
      <w:pPr>
        <w:pStyle w:val="Heading2"/>
      </w:pPr>
      <w:r>
        <w:t>Básico · 6 criterios acumulativos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Propósito observable.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Momento de evaluación elegido y justificado.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Fragmento de evidencia identificable.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Dos criterios coherentes con el propósito.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Prompt con contexto, evidencia, criterios, límite de no inventar y formato.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Retroalimentación final docente con fortaleza, siguiente acción y pregunta.</w:t>
      </w:r>
    </w:p>
    <w:p>
      <w:pPr>
        <w:pStyle w:val="Heading2"/>
      </w:pPr>
      <w:r>
        <w:t>Intermedio · 10 criterios acumulativos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Propósito observable.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Momento de evaluación elegido y justificado.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Fragmento de evidencia identificable.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Dos criterios coherentes con el propósito.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Prompt con contexto, evidencia, criterios, límite de no inventar y formato.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Retroalimentación final docente con fortaleza, siguiente acción y pregunta.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Separación explícita entre evidencia observada e inferencia.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Identificación de un dato faltante o límite del análisis.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Adaptación de lenguaje, acceso o forma de respuesta sin alterar el propósito.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Modificación humana de la salida de IA con razón.</w:t>
      </w:r>
    </w:p>
    <w:p>
      <w:pPr>
        <w:pStyle w:val="Heading2"/>
      </w:pPr>
      <w:r>
        <w:t>Avanzado · 15 criterios acumulativos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Propósito observable.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Momento de evaluación elegido y justificado.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Fragmento de evidencia identificable.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Dos criterios coherentes con el propósito.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Prompt con contexto, evidencia, criterios, límite de no inventar y formato.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Retroalimentación final docente con fortaleza, siguiente acción y pregunta.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Separación explícita entre evidencia observada e inferencia.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Identificación de un dato faltante o límite del análisis.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Adaptación de lenguaje, acceso o forma de respuesta sin alterar el propósito.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Modificación humana de la salida de IA con razón.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Contraste de un segundo fragmento, versión o momento de evidencia.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Distinción entre patrón, excepción y caso aislado.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Alternativa explicativa o contraejemplo pertinente.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Riesgo, sesgo o afirmación no sustentada identificado.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Ajuste de enseñanza y nueva evidencia para comprobar avance.</w:t>
      </w:r>
    </w:p>
    <w:p>
      <w:pPr>
        <w:pStyle w:val="Heading1"/>
      </w:pPr>
      <w:r>
        <w:t>Requisitos transversales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Evidencia simulada o anonimizada.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Sin datos sensibles o identificables.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Salida reconocida como borrador.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Decisión final docente.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Asistencia principal registrada.</w:t>
      </w:r>
    </w:p>
    <w:p>
      <w:pPr>
        <w:pStyle w:val="Heading1"/>
      </w:pPr>
      <w:r>
        <w:t>Actividad semanal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E9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Del borrador a la retroalimentación verificable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Selecciona una evidencia anonimizada o simulada; define propósito, momento y criterios; ejecuta el prompt; marca sustento, inferencia y retiro; redacta tu versión final; registra un ajuste docente y la nueva evidencia. La carga externa queda abierta.</w:t>
            </w:r>
          </w:p>
        </w:tc>
      </w:tr>
    </w:tbl>
    <w:p>
      <w:pPr>
        <w:spacing w:after="40"/>
      </w:pPr>
    </w:p>
    <w:p>
      <w:pPr>
        <w:pStyle w:val="Heading1"/>
      </w:pPr>
      <w:r>
        <w:t>ACTIVIDADES ADICIONALES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2376"/>
        <w:gridCol w:w="5688"/>
      </w:tblGrid>
      <w:tr>
        <w:trPr>
          <w:tblHeader w:val="true"/>
        </w:trPr>
        <w:tc>
          <w:tcPr>
            <w:tcW w:type="dxa" w:w="1296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2376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5688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Consigna</w:t>
            </w:r>
          </w:p>
        </w:tc>
      </w:tr>
      <w:tr>
        <w:tc>
          <w:tcPr>
            <w:tcW w:type="dxa" w:w="129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3-5 min</w:t>
            </w:r>
          </w:p>
        </w:tc>
        <w:tc>
          <w:tcPr>
            <w:tcW w:type="dxa" w:w="237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Semáforo</w:t>
            </w:r>
          </w:p>
        </w:tc>
        <w:tc>
          <w:tcPr>
            <w:tcW w:type="dxa" w:w="56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Clasificar retroalimentaciones como sustentadas, imprecisas o dañinas.</w:t>
            </w:r>
          </w:p>
        </w:tc>
      </w:tr>
      <w:tr>
        <w:tc>
          <w:tcPr>
            <w:tcW w:type="dxa" w:w="129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5-8 min</w:t>
            </w:r>
          </w:p>
        </w:tc>
        <w:tc>
          <w:tcPr>
            <w:tcW w:type="dxa" w:w="237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Clínica de prompts</w:t>
            </w:r>
          </w:p>
        </w:tc>
        <w:tc>
          <w:tcPr>
            <w:tcW w:type="dxa" w:w="568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Transformar «Evalúa este trabajo» en un encargo contextualizado.</w:t>
            </w:r>
          </w:p>
        </w:tc>
      </w:tr>
      <w:tr>
        <w:tc>
          <w:tcPr>
            <w:tcW w:type="dxa" w:w="129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5-10 min</w:t>
            </w:r>
          </w:p>
        </w:tc>
        <w:tc>
          <w:tcPr>
            <w:tcW w:type="dxa" w:w="237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Auditoría de lenguaje</w:t>
            </w:r>
          </w:p>
        </w:tc>
        <w:tc>
          <w:tcPr>
            <w:tcW w:type="dxa" w:w="56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Reescribir etiquetas como observación, criterio y acción.</w:t>
            </w:r>
          </w:p>
        </w:tc>
      </w:tr>
      <w:tr>
        <w:tc>
          <w:tcPr>
            <w:tcW w:type="dxa" w:w="129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8-12 min</w:t>
            </w:r>
          </w:p>
        </w:tc>
        <w:tc>
          <w:tcPr>
            <w:tcW w:type="dxa" w:w="237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Triangulación</w:t>
            </w:r>
          </w:p>
        </w:tc>
        <w:tc>
          <w:tcPr>
            <w:tcW w:type="dxa" w:w="568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Añadir una segunda evidencia y decidir si confirma o matiza.</w:t>
            </w:r>
          </w:p>
        </w:tc>
      </w:tr>
      <w:tr>
        <w:tc>
          <w:tcPr>
            <w:tcW w:type="dxa" w:w="129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8-12 min</w:t>
            </w:r>
          </w:p>
        </w:tc>
        <w:tc>
          <w:tcPr>
            <w:tcW w:type="dxa" w:w="237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NotebookLM opcional</w:t>
            </w:r>
          </w:p>
        </w:tc>
        <w:tc>
          <w:tcPr>
            <w:tcW w:type="dxa" w:w="56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Abrir una cita y comprobar si respalda la afirmación.</w:t>
            </w:r>
          </w:p>
        </w:tc>
      </w:tr>
      <w:tr>
        <w:tc>
          <w:tcPr>
            <w:tcW w:type="dxa" w:w="129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10-15 min</w:t>
            </w:r>
          </w:p>
        </w:tc>
        <w:tc>
          <w:tcPr>
            <w:tcW w:type="dxa" w:w="237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Transferencia</w:t>
            </w:r>
          </w:p>
        </w:tc>
        <w:tc>
          <w:tcPr>
            <w:tcW w:type="dxa" w:w="568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Adaptar la misma estructura a otro nivel sin reducir el reto.</w:t>
            </w:r>
          </w:p>
        </w:tc>
      </w:tr>
      <w:tr>
        <w:tc>
          <w:tcPr>
            <w:tcW w:type="dxa" w:w="129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5-10 min</w:t>
            </w:r>
          </w:p>
        </w:tc>
        <w:tc>
          <w:tcPr>
            <w:tcW w:type="dxa" w:w="237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La IA como estudiante</w:t>
            </w:r>
          </w:p>
        </w:tc>
        <w:tc>
          <w:tcPr>
            <w:tcW w:type="dxa" w:w="56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Corregir una explicación imperfecta y formular una pregunta de revisión.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1D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Uso opcional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Solo se emplean si existe tiempo disponible; no sustituyen actividades ni alteran los 60/90 minutos oficiales.</w:t>
            </w:r>
          </w:p>
        </w:tc>
      </w:tr>
    </w:tbl>
    <w:p>
      <w:pPr>
        <w:spacing w:after="40"/>
      </w:pPr>
    </w:p>
    <w:p>
      <w:pPr>
        <w:pStyle w:val="Heading1"/>
      </w:pPr>
      <w:r>
        <w:t>Mensajes listos para aula virtual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E9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Preparación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Esta hora acompaña y registra avance, pero no acredita. Al terminar entra a la ruta principal.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1D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Principal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Registra asistencia con el mismo correo. Completa una dificultad, revisa y espera el código.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9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5F5B"/>
                <w:sz w:val="22"/>
              </w:rPr>
              <w:t>Privacidad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Usa evidencia simulada o anonimizada. No pegues nombres, matrículas, calificaciones identificables ni datos sensibles.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E9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Comprobante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El botón PDF aparece después del guardado. Para recuperarlo después usa tu correo y código.</w:t>
            </w:r>
          </w:p>
        </w:tc>
      </w:tr>
    </w:tbl>
    <w:p>
      <w:pPr>
        <w:spacing w:after="40"/>
      </w:pPr>
    </w:p>
    <w:p>
      <w:pPr>
        <w:pStyle w:val="Heading1"/>
      </w:pPr>
      <w:r>
        <w:t>Plan de contingencia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648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28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IA externa no disponible</w:t>
            </w:r>
          </w:p>
        </w:tc>
        <w:tc>
          <w:tcPr>
            <w:tcW w:type="dxa" w:w="64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Usar el borrador de muestra y completar la revisión.</w:t>
            </w:r>
          </w:p>
        </w:tc>
      </w:tr>
      <w:tr>
        <w:tc>
          <w:tcPr>
            <w:tcW w:type="dxa" w:w="288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NotebookLM no disponible</w:t>
            </w:r>
          </w:p>
        </w:tc>
        <w:tc>
          <w:tcPr>
            <w:tcW w:type="dxa" w:w="648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Omitirlo; es una opción de cotejo, no requisito.</w:t>
            </w:r>
          </w:p>
        </w:tc>
      </w:tr>
      <w:tr>
        <w:tc>
          <w:tcPr>
            <w:tcW w:type="dxa" w:w="28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No se puede guardar</w:t>
            </w:r>
          </w:p>
        </w:tc>
        <w:tc>
          <w:tcPr>
            <w:tcW w:type="dxa" w:w="64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Conservar borrador local y reintentar una vez cuando vuelva la conexión.</w:t>
            </w:r>
          </w:p>
        </w:tc>
      </w:tr>
      <w:tr>
        <w:tc>
          <w:tcPr>
            <w:tcW w:type="dxa" w:w="288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PDF no abre</w:t>
            </w:r>
          </w:p>
        </w:tc>
        <w:tc>
          <w:tcPr>
            <w:tcW w:type="dxa" w:w="648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Conservar código; recuperar por correo + código. No reenviar la evidencia.</w:t>
            </w:r>
          </w:p>
        </w:tc>
      </w:tr>
      <w:tr>
        <w:tc>
          <w:tcPr>
            <w:tcW w:type="dxa" w:w="28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Datos personales</w:t>
            </w:r>
          </w:p>
        </w:tc>
        <w:tc>
          <w:tcPr>
            <w:tcW w:type="dxa" w:w="648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Detener, retirar y rehacer con caso simulado o anonimizado.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637A"/>
        <w:sz w:val="16"/>
      </w:rPr>
      <w:t xml:space="preserve">Material editable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8637A"/>
        <w:sz w:val="15"/>
      </w:rPr>
      <w:t>AULA-IA · Sesión 4. Evaluar para mejorar: diagnóstico, retroalimentación y análisis de evidencias con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623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730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730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C95F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7306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863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de aula virtual y contingencia · Sesión 4</dc:title>
  <dc:subject>Sesión 4. Evaluar para mejorar: diagnóstico, retroalimentación y análisis de evidencias con IA</dc:subject>
  <dc:creator>Red de Docentes Transdisciplinares</dc:creator>
  <cp:keywords>IA generativa, educación, fuentes, contexto, trazabilidad, AULA-IA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