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BRI’s Impact on Kazakhstan-China Trade Balance: The Role of Strategic Mineral Exports</w:t>
      </w:r>
    </w:p>
    <w:p>
      <w:pPr>
        <w:pStyle w:val="Subtitle"/>
      </w:pPr>
      <w:r>
        <w:t xml:space="preserve">Evidence from an Annual Bilateral Time-Series Analysis, 2000–2023</w:t>
      </w:r>
    </w:p>
    <w:p>
      <w:pPr>
        <w:pStyle w:val="Author"/>
      </w:pPr>
      <w:r>
        <w:t xml:space="preserve">Nikar Omirbek</w:t>
      </w:r>
    </w:p>
    <w:p>
      <w:pPr>
        <w:pStyle w:val="Date"/>
      </w:pPr>
      <w:r>
        <w:t xml:space="preserve">2026</w:t>
      </w:r>
    </w:p>
    <w:p>
      <w:pPr>
        <w:jc w:val="both"/>
      </w:pPr>
      <w:r>
        <w:br w:type="page"/>
      </w:r>
    </w:p>
    <w:p>
      <w:pPr>
        <w:pStyle w:val="Heading1"/>
        <w:keepNext/>
      </w:pPr>
      <w:r>
        <w:t>Table of Contents</w:t>
      </w:r>
    </w:p>
    <w:p>
      <w:pPr>
        <w:pStyle w:val="StaticTOC1"/>
      </w:pPr>
      <w:r>
        <w:t>Abstract</w:t>
      </w:r>
    </w:p>
    <w:p>
      <w:pPr>
        <w:pStyle w:val="StaticTOC1"/>
      </w:pPr>
      <w:r>
        <w:t>1. Introduction</w:t>
      </w:r>
    </w:p>
    <w:p>
      <w:pPr>
        <w:pStyle w:val="StaticTOC2"/>
      </w:pPr>
      <w:r>
        <w:t>1.1 Contribution</w:t>
      </w:r>
    </w:p>
    <w:p>
      <w:pPr>
        <w:pStyle w:val="StaticTOC2"/>
      </w:pPr>
      <w:r>
        <w:t>1.2 Structure</w:t>
      </w:r>
    </w:p>
    <w:p>
      <w:pPr>
        <w:pStyle w:val="StaticTOC1"/>
      </w:pPr>
      <w:r>
        <w:t>2. Literature Review</w:t>
      </w:r>
    </w:p>
    <w:p>
      <w:pPr>
        <w:pStyle w:val="StaticTOC2"/>
      </w:pPr>
      <w:r>
        <w:t>2.1 Trade Theory, Resource Specialisation, and Trade-Balance Outcomes</w:t>
      </w:r>
    </w:p>
    <w:p>
      <w:pPr>
        <w:pStyle w:val="StaticTOC2"/>
      </w:pPr>
      <w:r>
        <w:t>2.2 Commodity Dependence, Terms of Trade, and External Vulnerability</w:t>
      </w:r>
    </w:p>
    <w:p>
      <w:pPr>
        <w:pStyle w:val="StaticTOC2"/>
      </w:pPr>
      <w:r>
        <w:t>2.3 BRI as Trade Facilitation</w:t>
      </w:r>
    </w:p>
    <w:p>
      <w:pPr>
        <w:pStyle w:val="StaticTOC2"/>
      </w:pPr>
      <w:r>
        <w:t>2.4 BRI as Asymmetric Interdependence</w:t>
      </w:r>
    </w:p>
    <w:p>
      <w:pPr>
        <w:pStyle w:val="StaticTOC2"/>
      </w:pPr>
      <w:r>
        <w:t>2.5 Kazakhstan, Central Asia, and China</w:t>
      </w:r>
    </w:p>
    <w:p>
      <w:pPr>
        <w:pStyle w:val="StaticTOC2"/>
      </w:pPr>
      <w:r>
        <w:t>2.6 Empirical Methods in BRI and Small-Sample Trade Research</w:t>
      </w:r>
    </w:p>
    <w:p>
      <w:pPr>
        <w:pStyle w:val="StaticTOC2"/>
      </w:pPr>
      <w:r>
        <w:t>2.7 Research Gap</w:t>
      </w:r>
    </w:p>
    <w:p>
      <w:pPr>
        <w:pStyle w:val="StaticTOC1"/>
      </w:pPr>
      <w:r>
        <w:t>3. Theoretical Framework</w:t>
      </w:r>
    </w:p>
    <w:p>
      <w:pPr>
        <w:pStyle w:val="StaticTOC2"/>
      </w:pPr>
      <w:r>
        <w:t>3.1 Primary Framework: Asymmetric Interdependence</w:t>
      </w:r>
    </w:p>
    <w:p>
      <w:pPr>
        <w:pStyle w:val="StaticTOC2"/>
      </w:pPr>
      <w:r>
        <w:t>3.2 Supporting Frameworks</w:t>
      </w:r>
    </w:p>
    <w:p>
      <w:pPr>
        <w:pStyle w:val="StaticTOC2"/>
      </w:pPr>
      <w:r>
        <w:t>3.3 Why Not Dependency Theory</w:t>
      </w:r>
    </w:p>
    <w:p>
      <w:pPr>
        <w:pStyle w:val="StaticTOC2"/>
      </w:pPr>
      <w:r>
        <w:t>3.4 Variable Selection Rationale and Predicted Signs</w:t>
      </w:r>
    </w:p>
    <w:p>
      <w:pPr>
        <w:pStyle w:val="StaticTOC2"/>
      </w:pPr>
      <w:r>
        <w:t>3.5 Testable Hypotheses</w:t>
      </w:r>
    </w:p>
    <w:p>
      <w:pPr>
        <w:pStyle w:val="StaticTOC1"/>
      </w:pPr>
      <w:r>
        <w:t>4. Data and Variables</w:t>
      </w:r>
    </w:p>
    <w:p>
      <w:pPr>
        <w:pStyle w:val="StaticTOC2"/>
      </w:pPr>
      <w:r>
        <w:t>4.1 Data Sources and Panel Construction</w:t>
      </w:r>
    </w:p>
    <w:p>
      <w:pPr>
        <w:pStyle w:val="StaticTOC2"/>
      </w:pPr>
      <w:r>
        <w:t>4.2 Variable Definitions</w:t>
      </w:r>
    </w:p>
    <w:p>
      <w:pPr>
        <w:pStyle w:val="StaticTOC2"/>
      </w:pPr>
      <w:r>
        <w:t>4.3 Measurement Break in Mineral Data</w:t>
      </w:r>
    </w:p>
    <w:p>
      <w:pPr>
        <w:pStyle w:val="StaticTOC2"/>
      </w:pPr>
      <w:r>
        <w:t>4.3b Data Validation via Web Scraping</w:t>
      </w:r>
    </w:p>
    <w:p>
      <w:pPr>
        <w:pStyle w:val="StaticTOC2"/>
      </w:pPr>
      <w:r>
        <w:t>4.4 Descriptive Statistics and Trade Balance Decomposition</w:t>
      </w:r>
    </w:p>
    <w:p>
      <w:pPr>
        <w:pStyle w:val="StaticTOC2"/>
      </w:pPr>
      <w:r>
        <w:t>4.5 Oil and Energy Exports: An Omitted Variable</w:t>
      </w:r>
    </w:p>
    <w:p>
      <w:pPr>
        <w:pStyle w:val="StaticTOC1"/>
      </w:pPr>
      <w:r>
        <w:t>5. Empirical Strategy</w:t>
      </w:r>
    </w:p>
    <w:p>
      <w:pPr>
        <w:pStyle w:val="StaticTOC2"/>
      </w:pPr>
      <w:r>
        <w:t>5.1 Baseline OLS Association Model</w:t>
      </w:r>
    </w:p>
    <w:p>
      <w:pPr>
        <w:pStyle w:val="StaticTOC2"/>
      </w:pPr>
      <w:r>
        <w:t>5.2 Full vs. Parsimonious vs. Gravity-Ratio Specifications</w:t>
      </w:r>
    </w:p>
    <w:p>
      <w:pPr>
        <w:pStyle w:val="StaticTOC2"/>
      </w:pPr>
      <w:r>
        <w:t>5.3 ADL Dynamic Association Model</w:t>
      </w:r>
    </w:p>
    <w:p>
      <w:pPr>
        <w:pStyle w:val="StaticTOC2"/>
      </w:pPr>
      <w:r>
        <w:t>5.4 Robustness Strategy</w:t>
      </w:r>
    </w:p>
    <w:p>
      <w:pPr>
        <w:pStyle w:val="StaticTOC1"/>
      </w:pPr>
      <w:r>
        <w:t>6. Results</w:t>
      </w:r>
    </w:p>
    <w:p>
      <w:pPr>
        <w:pStyle w:val="StaticTOC2"/>
      </w:pPr>
      <w:r>
        <w:t>6.1 Baseline OLS Results</w:t>
      </w:r>
    </w:p>
    <w:p>
      <w:pPr>
        <w:pStyle w:val="StaticTOC2"/>
      </w:pPr>
      <w:r>
        <w:t>6.2 Residual Diagnostics</w:t>
      </w:r>
    </w:p>
    <w:p>
      <w:pPr>
        <w:pStyle w:val="StaticTOC2"/>
      </w:pPr>
      <w:r>
        <w:t>6.3 Multicollinearity Diagnostics and Resolution</w:t>
      </w:r>
    </w:p>
    <w:p>
      <w:pPr>
        <w:pStyle w:val="StaticTOC2"/>
      </w:pPr>
      <w:r>
        <w:t>6.4 Influence Diagnostics and the Role of 2023</w:t>
      </w:r>
    </w:p>
    <w:p>
      <w:pPr>
        <w:pStyle w:val="StaticTOC2"/>
      </w:pPr>
      <w:r>
        <w:t>6.5 Leave-One-Out Coefficient Stability</w:t>
      </w:r>
    </w:p>
    <w:p>
      <w:pPr>
        <w:pStyle w:val="StaticTOC2"/>
      </w:pPr>
      <w:r>
        <w:t>6.6 WITS Consistent-Proxy Robustness</w:t>
      </w:r>
    </w:p>
    <w:p>
      <w:pPr>
        <w:pStyle w:val="StaticTOC2"/>
      </w:pPr>
      <w:r>
        <w:t>6.7 ADL Dynamic Association Results</w:t>
      </w:r>
    </w:p>
    <w:p>
      <w:pPr>
        <w:pStyle w:val="StaticTOC2"/>
      </w:pPr>
      <w:r>
        <w:t>6.8 Robustness Grid Summary</w:t>
      </w:r>
    </w:p>
    <w:p>
      <w:pPr>
        <w:pStyle w:val="StaticTOC2"/>
      </w:pPr>
      <w:r>
        <w:t>6.9 Economic Interpretation of the Interaction Term</w:t>
      </w:r>
    </w:p>
    <w:p>
      <w:pPr>
        <w:pStyle w:val="StaticTOC2"/>
      </w:pPr>
      <w:r>
        <w:t>6.10 Endogeneity and Identification Limitations</w:t>
      </w:r>
    </w:p>
    <w:p>
      <w:pPr>
        <w:pStyle w:val="StaticTOC2"/>
      </w:pPr>
      <w:r>
        <w:t>6.11 Hypothesis Evaluation</w:t>
      </w:r>
    </w:p>
    <w:p>
      <w:pPr>
        <w:pStyle w:val="StaticTOC2"/>
      </w:pPr>
      <w:r>
        <w:t>6.12 Bilateral Energy-Export Control: Sensitivity Check</w:t>
      </w:r>
    </w:p>
    <w:p>
      <w:pPr>
        <w:pStyle w:val="StaticTOC2"/>
      </w:pPr>
      <w:r>
        <w:t>6.13 Placebo Break-Year Diagnostics</w:t>
      </w:r>
    </w:p>
    <w:p>
      <w:pPr>
        <w:pStyle w:val="StaticTOC2"/>
      </w:pPr>
      <w:r>
        <w:t>6.14 The 2022–2023 Sanctions-Evasion Channel</w:t>
      </w:r>
    </w:p>
    <w:p>
      <w:pPr>
        <w:pStyle w:val="StaticTOC2"/>
      </w:pPr>
      <w:r>
        <w:t>6.15 Comparative Analysis: Interrupted Time Series with Placebo Break Years</w:t>
      </w:r>
    </w:p>
    <w:p>
      <w:pPr>
        <w:pStyle w:val="StaticTOC2"/>
      </w:pPr>
      <w:r>
        <w:t>6.16 Synthetic Counterfactual</w:t>
      </w:r>
    </w:p>
    <w:p>
      <w:pPr>
        <w:pStyle w:val="StaticTOC1"/>
      </w:pPr>
      <w:r>
        <w:t>7. Discussion</w:t>
      </w:r>
    </w:p>
    <w:p>
      <w:pPr>
        <w:pStyle w:val="StaticTOC2"/>
      </w:pPr>
      <w:r>
        <w:t>7.1 What the Results Show</w:t>
      </w:r>
    </w:p>
    <w:p>
      <w:pPr>
        <w:pStyle w:val="StaticTOC2"/>
      </w:pPr>
      <w:r>
        <w:t>7.2 What the Results Do Not Show</w:t>
      </w:r>
    </w:p>
    <w:p>
      <w:pPr>
        <w:pStyle w:val="StaticTOC2"/>
      </w:pPr>
      <w:r>
        <w:t>7.3 Why 2023 is Retained but Treated Cautiously</w:t>
      </w:r>
    </w:p>
    <w:p>
      <w:pPr>
        <w:pStyle w:val="StaticTOC2"/>
      </w:pPr>
      <w:r>
        <w:t>7.4 Policy Implications</w:t>
      </w:r>
    </w:p>
    <w:p>
      <w:pPr>
        <w:pStyle w:val="StaticTOC1"/>
      </w:pPr>
      <w:r>
        <w:t>8. Conclusion</w:t>
      </w:r>
    </w:p>
    <w:p>
      <w:pPr>
        <w:pStyle w:val="StaticTOC2"/>
      </w:pPr>
      <w:r>
        <w:t>8.1 Interpretation Discipline</w:t>
      </w:r>
    </w:p>
    <w:p>
      <w:pPr>
        <w:pStyle w:val="StaticTOC2"/>
      </w:pPr>
      <w:r>
        <w:t>8.2 Limitations and Future Research</w:t>
      </w:r>
    </w:p>
    <w:p>
      <w:pPr>
        <w:pStyle w:val="StaticTOC1"/>
      </w:pPr>
      <w:r>
        <w:t>9. Appendix: Table and Figure Concordance</w:t>
      </w:r>
    </w:p>
    <w:p>
      <w:pPr>
        <w:pStyle w:val="StaticTOC1"/>
      </w:pPr>
      <w:r>
        <w:t>Appendix B: Pre-Revision Specification (Retained for Transparency)</w:t>
      </w:r>
    </w:p>
    <w:p>
      <w:pPr>
        <w:pStyle w:val="StaticTOC2"/>
      </w:pPr>
      <w:r>
        <w:t>Appendix B.1 Pre-Revision Full Model (A1)</w:t>
      </w:r>
    </w:p>
    <w:p>
      <w:pPr>
        <w:pStyle w:val="StaticTOC2"/>
      </w:pPr>
      <w:r>
        <w:t>Appendix B.2 Pre-Revision Parsimonious Model (A2)</w:t>
      </w:r>
    </w:p>
    <w:p>
      <w:pPr>
        <w:pStyle w:val="StaticTOC1"/>
      </w:pPr>
      <w:r>
        <w:t>References</w:t>
      </w:r>
    </w:p>
    <w:p>
      <w:pPr>
        <w:jc w:val="both"/>
      </w:pPr>
      <w:r>
        <w:br w:type="page"/>
      </w:r>
    </w:p>
    <w:p>
      <w:pPr>
        <w:pStyle w:val="BlockText"/>
      </w:pPr>
      <w:r>
        <w:rPr>
          <w:b/>
          <w:bCs/>
        </w:rPr>
        <w:t xml:space="preserve">Note on terminology.</w:t>
      </w:r>
      <w:r>
        <w:t xml:space="preserve"> </w:t>
      </w:r>
      <w:r>
        <w:t xml:space="preserve">The official registered title of this dissertation uses the word</w:t>
      </w:r>
      <w:r>
        <w:t xml:space="preserve"> </w:t>
      </w:r>
      <w:r>
        <w:t xml:space="preserve">“impact.”</w:t>
      </w:r>
      <w:r>
        <w:t xml:space="preserve"> </w:t>
      </w:r>
      <w:r>
        <w:t xml:space="preserve">Throughout this work,</w:t>
      </w:r>
      <w:r>
        <w:t xml:space="preserve"> </w:t>
      </w:r>
      <w:r>
        <w:t xml:space="preserve">“impact”</w:t>
      </w:r>
      <w:r>
        <w:t xml:space="preserve"> </w:t>
      </w:r>
      <w:r>
        <w:t xml:space="preserve">refers to post-BRI associations and trade-balance dynamics observed in the data, not to a causal effect established through experimental or quasi-experimental identification. The analysis is explicitly diagnostic and associational. No claim of causal identification is made.</w:t>
      </w:r>
    </w:p>
    <w:bookmarkStart w:id="9" w:name="abstract"/>
    <w:p>
      <w:pPr>
        <w:pStyle w:val="Heading1"/>
        <w:keepNext/>
      </w:pPr>
      <w:r>
        <w:t xml:space="preserve">Abstract</w:t>
      </w:r>
    </w:p>
    <w:p>
      <w:pPr>
        <w:pStyle w:val="FirstParagraph"/>
        <w:ind w:firstLine="720"/>
        <w:jc w:val="both"/>
      </w:pPr>
      <w:r>
        <w:t xml:space="preserve">This thesis examines the post-BRI association between the Belt and Road Initiative (BRI) and the Kazakhstan–China bilateral trade balance, focusing on the role of strategic mineral exports. Using an annual bilateral time-series dataset for 2000–2023 (</w:t>
      </w:r>
      <w:r>
        <w:rPr>
          <w:i/>
          <w:iCs/>
        </w:rPr>
        <w:t xml:space="preserve">n</w:t>
      </w:r>
      <w:r>
        <w:t xml:space="preserve"> </w:t>
      </w:r>
      <w:r>
        <w:t xml:space="preserve">= 24), the analysis applies descriptive pre/post decomposition, structural-break diagnostics, OLS association models with Newey–West standard errors, autoregressive distributed lag (ADL) dynamic association models, and a 288-specification robustness grid. The central puzzle is that narrow strategic mineral exports (uranium, copper, chromium) rose by 29.2 per cent between the pre-BRI (2000–2013) and post-BRI (2014–2023) periods, yet the average bilateral trade balance fell by 37.8 per cent. Trade decomposition reveals that this is associated with import-side deepening: Kazakhstan’s imports from China grew by 94.3 per cent while exports grew by only 24.3 per cent. The full-sample OLS model estimates a negative post-BRI × minerals interaction of −3.22 (</w:t>
      </w:r>
      <w:r>
        <w:rPr>
          <w:i/>
          <w:iCs/>
        </w:rPr>
        <w:t xml:space="preserve">p</w:t>
      </w:r>
      <w:r>
        <w:t xml:space="preserve"> </w:t>
      </w:r>
      <w:r>
        <w:t xml:space="preserve">= 0.007), but influence diagnostics reveal that this finding is heavily dependent on 2023, a high-leverage observation representing the first bilateral trade deficit. Excluding 2023 reduces the interaction to −0.41 (</w:t>
      </w:r>
      <w:r>
        <w:rPr>
          <w:i/>
          <w:iCs/>
        </w:rPr>
        <w:t xml:space="preserve">p</w:t>
      </w:r>
      <w:r>
        <w:t xml:space="preserve"> </w:t>
      </w:r>
      <w:r>
        <w:t xml:space="preserve">= 0.178), rendering it statistically insignificant. Furthermore, a sanctions-era import surge in 2022–2023 complicates a narrow BRI interpretation. Consequently, the empirical results are interpreted as associational and diagnostic evidence consistent with asymmetric interdependence and import-side deepening, rather than causal proof of a stable structural effect. The thesis demonstrates that strategic mineral export growth did not reliably translate into sustained bilateral balance improvement for Kazakhstan.</w:t>
      </w:r>
    </w:p>
    <w:p>
      <w:pPr>
        <w:pStyle w:val="BodyText"/>
        <w:ind w:firstLine="720"/>
        <w:jc w:val="both"/>
      </w:pPr>
      <w:r>
        <w:rPr>
          <w:b/>
          <w:bCs/>
        </w:rPr>
        <w:t xml:space="preserve">Keywords:</w:t>
      </w:r>
      <w:r>
        <w:t xml:space="preserve"> </w:t>
      </w:r>
      <w:r>
        <w:t xml:space="preserve">Belt and Road Initiative; Kazakhstan–China trade; strategic minerals; asymmetric interdependence; trade balance; small-sample diagnostics; post-BRI period</w:t>
      </w:r>
    </w:p>
    <w:bookmarkEnd w:id="9"/>
    <w:bookmarkStart w:id="12" w:name="introduction"/>
    <w:p>
      <w:pPr>
        <w:pStyle w:val="Heading1"/>
        <w:keepNext/>
      </w:pPr>
      <w:r>
        <w:t xml:space="preserve">1. Introduction</w:t>
      </w:r>
    </w:p>
    <w:p>
      <w:pPr>
        <w:pStyle w:val="FirstParagraph"/>
        <w:ind w:firstLine="720"/>
        <w:jc w:val="both"/>
      </w:pPr>
      <w:r>
        <w:t xml:space="preserve">Kazakhstan occupies a central position in the overland economic geography of China’s Belt and Road Initiative (BRI). The Silk Road Economic Belt was announced in Astana in September 2013, and since then Kazakhstan’s transport corridors, mineral exports, and financing relationships have been folded into the broader architecture of Eurasian connectivity. Policy discourse frequently treats BRI as a vehicle for mutual economic benefit: more infrastructure should reduce trade costs, increase bilateral exchange, and expand opportunities for landlocked economies. Yet the distinction between trade growth and trade-balance improvement is analytically essential. A corridor that increases both exports and imports may expand total trade while simultaneously weakening the bilateral trade-balance position of the smaller partner.</w:t>
      </w:r>
    </w:p>
    <w:p>
      <w:pPr>
        <w:pStyle w:val="BodyText"/>
        <w:ind w:firstLine="720"/>
        <w:jc w:val="both"/>
      </w:pPr>
      <w:r>
        <w:t xml:space="preserve">This thesis studies a specific dimension of that problem. The research question asks:</w:t>
      </w:r>
      <w:r>
        <w:t xml:space="preserve"> </w:t>
      </w:r>
      <w:r>
        <w:rPr>
          <w:i/>
          <w:iCs/>
        </w:rPr>
        <w:t xml:space="preserve">How did the post-BRI period coincide with changes in the relationship between Kazakhstan’s strategic mineral exports to China and Kazakhstan’s bilateral trade balance with China?</w:t>
      </w:r>
      <w:r>
        <w:t xml:space="preserve"> </w:t>
      </w:r>
      <w:r>
        <w:t xml:space="preserve">The question is deliberately associational. BRI is not a randomly assigned treatment, and the available data do not support credible causal identification. The thesis therefore provides diagnostic and suggestive evidence rather than causal proof.</w:t>
      </w:r>
    </w:p>
    <w:p>
      <w:pPr>
        <w:pStyle w:val="BodyText"/>
        <w:ind w:firstLine="720"/>
        <w:jc w:val="both"/>
      </w:pPr>
      <w:r>
        <w:t xml:space="preserve">The analytical motivation is straightforward. Kazakhstan’s exports to China are heavily concentrated in natural resources, including uranium, copper, and chromium products. These strategic minerals are economically valuable and increasingly relevant to China’s industrial and energy supply chains. If BRI-era trade facilitation strengthened Kazakhstan’s mineral export position, one might expect the bilateral trade balance to improve, or at least to maintain its pre-BRI level. The descriptive evidence suggests otherwise. Between 2000–2013 and 2014–2023, Kazakhstan’s average bilateral trade balance with China fell by 37.8 per cent, from USD 3.35 billion to USD 2.08 billion, even as narrow strategic mineral exports rose by 29.2 per cent, from USD 1.92 billion to USD 2.48 billion (Table 4.2). Trade decomposition reveals that this divergence is driven primarily by import-side deepening: Kazakhstan’s imports from China grew by 94.3 per cent compared to export growth of 24.3 per cent (Table 4.3). This pattern motivates the central puzzle: mineral exports increased, yet the bilateral trade-balance position weakened because import growth substantially outpaced export growth.</w:t>
      </w:r>
    </w:p>
    <w:p>
      <w:pPr>
        <w:pStyle w:val="BodyText"/>
        <w:ind w:firstLine="720"/>
        <w:jc w:val="both"/>
      </w:pPr>
      <w:r>
        <w:t xml:space="preserve">The thesis uses asymmetric interdependence as its primary theoretical lens. Following Keohane and Nye</w:t>
      </w:r>
      <w:r>
        <w:t xml:space="preserve"> </w:t>
      </w:r>
      <w:r>
        <w:t xml:space="preserve">(1977)</w:t>
      </w:r>
      <w:r>
        <w:t xml:space="preserve"> </w:t>
      </w:r>
      <w:r>
        <w:t xml:space="preserve">and Hirschman</w:t>
      </w:r>
      <w:r>
        <w:t xml:space="preserve"> </w:t>
      </w:r>
      <w:r>
        <w:t xml:space="preserve">(1945)</w:t>
      </w:r>
      <w:r>
        <w:t xml:space="preserve">, the framework treats economic linkages as a source of both gains and vulnerability. Interdependence becomes asymmetric when one partner has more outside options, greater market power, or lower adjustment costs. The framework is more precise than dependency theory because it allows for mutual gains, sectoral leverage, and policy agency, while still treating trade concentration as politically and economically consequential.</w:t>
      </w:r>
    </w:p>
    <w:p>
      <w:pPr>
        <w:pStyle w:val="BodyText"/>
        <w:ind w:firstLine="720"/>
        <w:jc w:val="both"/>
      </w:pPr>
      <w:r>
        <w:t xml:space="preserve">The empirical strategy is convergent and transparent. The thesis constructs an annual Kazakhstan–China bilateral time-series dataset for 2000–2023, estimates descriptive pre/post comparisons, structural-break diagnostics, and dynamic association models (OLS with HAC standard errors, AIC-selected ADL), and performs a 288-row robustness grid. The main finding is explicitly diagnostic and cautious: the full-sample OLS model estimates a negative post-BRI × minerals interaction of −3.22 (</w:t>
      </w:r>
      <w:r>
        <w:rPr>
          <w:i/>
          <w:iCs/>
        </w:rPr>
        <w:t xml:space="preserve">p</w:t>
      </w:r>
      <w:r>
        <w:t xml:space="preserve"> </w:t>
      </w:r>
      <w:r>
        <w:t xml:space="preserve">= 0.007), but this result is highly fragile. Influence diagnostics reveal that the coefficient is heavily dependent on 2023—the only year in which Kazakhstan recorded a bilateral deficit with China (−USD 2.01 billion). Excluding 2023 reduces the interaction to −0.41 (</w:t>
      </w:r>
      <w:r>
        <w:rPr>
          <w:i/>
          <w:iCs/>
        </w:rPr>
        <w:t xml:space="preserve">p</w:t>
      </w:r>
      <w:r>
        <w:t xml:space="preserve"> </w:t>
      </w:r>
      <w:r>
        <w:t xml:space="preserve">= 0.178). VIF diagnostics identify severe multicollinearity in GDP controls (VIF exceeding 100), which may inflate coefficient magnitudes. A parsimonious model without GDP controls yields a more moderate interaction of −2.38 (</w:t>
      </w:r>
      <w:r>
        <w:rPr>
          <w:i/>
          <w:iCs/>
        </w:rPr>
        <w:t xml:space="preserve">p</w:t>
      </w:r>
      <w:r>
        <w:t xml:space="preserve"> </w:t>
      </w:r>
      <w:r>
        <w:t xml:space="preserve">= 0.025), but this too loses significance when 2023 is excluded. The WITS-consistent mineral proxy, which avoids the measurement break between pre-2014 and post-2014 data sources, preserves marginal significance even excluding 2023 (−1.87,</w:t>
      </w:r>
      <w:r>
        <w:t xml:space="preserve"> </w:t>
      </w:r>
      <w:r>
        <w:rPr>
          <w:i/>
          <w:iCs/>
        </w:rPr>
        <w:t xml:space="preserve">p</w:t>
      </w:r>
      <w:r>
        <w:t xml:space="preserve"> </w:t>
      </w:r>
      <w:r>
        <w:t xml:space="preserve">= 0.083).</w:t>
      </w:r>
    </w:p>
    <w:p>
      <w:pPr>
        <w:pStyle w:val="BodyText"/>
        <w:ind w:firstLine="720"/>
        <w:jc w:val="both"/>
      </w:pPr>
      <w:r>
        <w:t xml:space="preserve">These results are interpreted as diagnostic evidence of a fragile and increasingly adverse trade-balance pattern, consistent with asymmetric interdependence, rather than as stable structural estimates. The strongest empirical contribution is not the regression coefficient itself but the descriptive decomposition showing that import-side deepening—not export collapse—explains the trade-balance deterioration.</w:t>
      </w:r>
    </w:p>
    <w:bookmarkStart w:id="10" w:name="contribution"/>
    <w:p>
      <w:pPr>
        <w:pStyle w:val="Heading2"/>
        <w:keepNext/>
      </w:pPr>
      <w:r>
        <w:t xml:space="preserve">1.1 Contribution</w:t>
      </w:r>
    </w:p>
    <w:p>
      <w:pPr>
        <w:pStyle w:val="FirstParagraph"/>
        <w:ind w:firstLine="720"/>
        <w:jc w:val="both"/>
      </w:pPr>
      <w:r>
        <w:t xml:space="preserve">This thesis makes five specific contributions. First, it distinguishes between trade expansion and trade-balance improvement, shifting attention from aggregate trade volumes to bilateral trade-balance outcomes in a diagnostic case study of Kazakhstan and China. Second, it bridges theory and method by using asymmetric interdependence to interpret the moderating compositional channel of strategic mineral exports, accommodating both mutual gains and distributional asymmetry. Third, it tests whether strategic mineral exports translated into external-balance improvement, demonstrating that resource-export growth is not inherently synonymous with an improved external position. Fourth, it provides a transparent and reproducible annual Kazakhstan–China single country-pair dataset with a fully scripted pipeline. Fifth, it treats the results explicitly as diagnostic and fragile, deploying small-sample robustness checks and influence diagnostics to document the critical role of 2023. By providing an honest interpretation of fragility, the thesis strengthens methodological discipline and avoids claiming definitive causal identification of a stable structural effect.</w:t>
      </w:r>
    </w:p>
    <w:bookmarkEnd w:id="10"/>
    <w:bookmarkStart w:id="11" w:name="structure"/>
    <w:p>
      <w:pPr>
        <w:pStyle w:val="Heading2"/>
        <w:keepNext/>
      </w:pPr>
      <w:r>
        <w:t xml:space="preserve">1.2 Structure</w:t>
      </w:r>
    </w:p>
    <w:p>
      <w:pPr>
        <w:pStyle w:val="FirstParagraph"/>
        <w:ind w:firstLine="720"/>
        <w:jc w:val="both"/>
      </w:pPr>
      <w:r>
        <w:t xml:space="preserve">The remainder of this thesis is organised as follows. Chapter 2 reviews the literature and identifies the research gap. Chapter 3 presents the theoretical framework. Chapter 4 describes the data, variable construction, and data limitations. Chapter 5 explains the empirical strategy. Chapter 6 presents the results, including influence diagnostics and model stability analysis. Chapter 7 discusses the findings and their implications. Chapter 8 concludes.</w:t>
      </w:r>
    </w:p>
    <w:bookmarkEnd w:id="11"/>
    <w:bookmarkEnd w:id="12"/>
    <w:bookmarkStart w:id="20" w:name="literature-review"/>
    <w:p>
      <w:pPr>
        <w:pStyle w:val="Heading1"/>
        <w:keepNext/>
      </w:pPr>
      <w:r>
        <w:t xml:space="preserve">2. Literature Review</w:t>
      </w:r>
    </w:p>
    <w:p>
      <w:pPr>
        <w:pStyle w:val="FirstParagraph"/>
        <w:ind w:firstLine="720"/>
        <w:jc w:val="both"/>
      </w:pPr>
      <w:r>
        <w:t xml:space="preserve">The literature relevant to Kazakhstan–China trade under BRI spans several overlapping debates. Rather than summarising individual studies, this review synthesises what the literature agrees on, identifies disagreements and limitations, and explains how each strand connects to the research question.</w:t>
      </w:r>
    </w:p>
    <w:bookmarkStart w:id="13" w:name="X2930bc3edf58adf9f1388ee5b893d7488b5e345"/>
    <w:p>
      <w:pPr>
        <w:pStyle w:val="Heading2"/>
        <w:keepNext/>
      </w:pPr>
      <w:r>
        <w:t xml:space="preserve">2.1 Trade Theory, Resource Specialisation, and Trade-Balance Outcomes</w:t>
      </w:r>
    </w:p>
    <w:p>
      <w:pPr>
        <w:pStyle w:val="FirstParagraph"/>
        <w:ind w:firstLine="720"/>
        <w:jc w:val="both"/>
      </w:pPr>
      <w:r>
        <w:t xml:space="preserve">Classical trade theory predicts that countries gain from trade by specialising according to comparative advantage</w:t>
      </w:r>
      <w:r>
        <w:t xml:space="preserve"> </w:t>
      </w:r>
      <w:r>
        <w:t xml:space="preserve">(Ricardo 1817)</w:t>
      </w:r>
      <w:r>
        <w:t xml:space="preserve">. The Heckscher–Ohlin framework extends this logic: resource-abundant countries like Kazakhstan should export resource-intensive goods, while labour- and capital-abundant countries like China should export manufactures</w:t>
      </w:r>
      <w:r>
        <w:t xml:space="preserve"> </w:t>
      </w:r>
      <w:r>
        <w:t xml:space="preserve">(Heckscher 1919; Ohlin 1933)</w:t>
      </w:r>
      <w:r>
        <w:t xml:space="preserve">. In this framework, bilateral trade expansion is mutually beneficial regardless of trade-balance outcomes, because gains accrue through efficiency improvements rather than balance-of-payments surplus.</w:t>
      </w:r>
    </w:p>
    <w:p>
      <w:pPr>
        <w:pStyle w:val="BodyText"/>
        <w:ind w:firstLine="720"/>
        <w:jc w:val="both"/>
      </w:pPr>
      <w:r>
        <w:t xml:space="preserve">However, the trade-balance implications of resource specialisation are not neutral. Bhagwati</w:t>
      </w:r>
      <w:r>
        <w:t xml:space="preserve"> </w:t>
      </w:r>
      <w:r>
        <w:t xml:space="preserve">(1958)</w:t>
      </w:r>
      <w:r>
        <w:t xml:space="preserve"> </w:t>
      </w:r>
      <w:r>
        <w:t xml:space="preserve">demonstrated that export growth can be</w:t>
      </w:r>
      <w:r>
        <w:t xml:space="preserve"> </w:t>
      </w:r>
      <w:r>
        <w:rPr>
          <w:i/>
          <w:iCs/>
        </w:rPr>
        <w:t xml:space="preserve">immiserising</w:t>
      </w:r>
      <w:r>
        <w:t xml:space="preserve"> </w:t>
      </w:r>
      <w:r>
        <w:t xml:space="preserve">if it worsens the terms of trade sufficiently to offset volume gains. Applied to Kazakhstan, this concern is relevant because strategic mineral exports are price-taking commodities subject to global demand cycles. If mineral export values rise due to volume expansion while unit values stagnate or decline, the trade-balance benefit may be smaller than headline export figures suggest.</w:t>
      </w:r>
    </w:p>
    <w:p>
      <w:pPr>
        <w:pStyle w:val="BodyText"/>
        <w:ind w:firstLine="720"/>
        <w:jc w:val="both"/>
      </w:pPr>
      <w:r>
        <w:t xml:space="preserve">New trade theory</w:t>
      </w:r>
      <w:r>
        <w:t xml:space="preserve"> </w:t>
      </w:r>
      <w:r>
        <w:t xml:space="preserve">(Krugman 1979; Helpman and Krugman 1985)</w:t>
      </w:r>
      <w:r>
        <w:t xml:space="preserve"> </w:t>
      </w:r>
      <w:r>
        <w:t xml:space="preserve">adds that trade patterns between differentiated and homogeneous goods producers create structural asymmetries. A country exporting homogeneous minerals and importing differentiated manufactures faces different elasticities of substitution on each side of its trade balance. This framework helps explain why import-side growth from China—spanning machinery, consumer goods, and intermediate inputs—may be more income-elastic than mineral export growth.</w:t>
      </w:r>
    </w:p>
    <w:p>
      <w:pPr>
        <w:pStyle w:val="BodyText"/>
        <w:ind w:firstLine="720"/>
        <w:jc w:val="both"/>
      </w:pPr>
      <w:r>
        <w:rPr>
          <w:b/>
          <w:bCs/>
        </w:rPr>
        <w:t xml:space="preserve">Empirical bridge (Pillar 1 — trade theory).</w:t>
      </w:r>
      <w:r>
        <w:t xml:space="preserve"> </w:t>
      </w:r>
      <w:r>
        <w:t xml:space="preserve">This strand predicts that</w:t>
      </w:r>
      <w:r>
        <w:t xml:space="preserve"> </w:t>
      </w:r>
      <w:r>
        <w:rPr>
          <w:rStyle w:val="VerbatimChar"/>
        </w:rPr>
        <w:t xml:space="preserve">minerals_narrow</w:t>
      </w:r>
      <w:r>
        <w:t xml:space="preserve"> </w:t>
      </w:r>
      <w:r>
        <w:t xml:space="preserve">should have a</w:t>
      </w:r>
      <w:r>
        <w:t xml:space="preserve"> </w:t>
      </w:r>
      <w:r>
        <w:rPr>
          <w:b/>
          <w:bCs/>
        </w:rPr>
        <w:t xml:space="preserve">positive</w:t>
      </w:r>
      <w:r>
        <w:t xml:space="preserve"> </w:t>
      </w:r>
      <w:r>
        <w:t xml:space="preserve">coefficient in the pre-BRI baseline (H2): mineral export revenues are associated with an improved bilateral balance. The differential elasticity prediction implies that import growth will outpace export growth post-BRI, consistent with the</w:t>
      </w:r>
      <w:r>
        <w:t xml:space="preserve"> </w:t>
      </w:r>
      <w:r>
        <w:rPr>
          <w:b/>
          <w:bCs/>
        </w:rPr>
        <w:t xml:space="preserve">negative</w:t>
      </w:r>
      <w:r>
        <w:t xml:space="preserve"> </w:t>
      </w:r>
      <w:r>
        <w:rPr>
          <w:rStyle w:val="VerbatimChar"/>
        </w:rPr>
        <w:t xml:space="preserve">post_bri_x_minerals</w:t>
      </w:r>
      <w:r>
        <w:t xml:space="preserve"> </w:t>
      </w:r>
      <w:r>
        <w:t xml:space="preserve">interaction in H3.</w:t>
      </w:r>
    </w:p>
    <w:bookmarkEnd w:id="13"/>
    <w:bookmarkStart w:id="14" w:name="Xe70771352f1ad036bac85112bc90e3cc68c7f96"/>
    <w:p>
      <w:pPr>
        <w:pStyle w:val="Heading2"/>
        <w:keepNext/>
      </w:pPr>
      <w:r>
        <w:t xml:space="preserve">2.2 Commodity Dependence, Terms of Trade, and External Vulnerability</w:t>
      </w:r>
    </w:p>
    <w:p>
      <w:pPr>
        <w:pStyle w:val="FirstParagraph"/>
        <w:ind w:firstLine="720"/>
        <w:jc w:val="both"/>
      </w:pPr>
      <w:r>
        <w:t xml:space="preserve">The Prebisch–Singer hypothesis posits that the terms of trade for primary commodity exporters tend to deteriorate over time relative to manufactured-goods exporters</w:t>
      </w:r>
      <w:r>
        <w:t xml:space="preserve"> </w:t>
      </w:r>
      <w:r>
        <w:t xml:space="preserve">(Prebisch 1950; Singer 1950)</w:t>
      </w:r>
      <w:r>
        <w:t xml:space="preserve">. Harvey et al.</w:t>
      </w:r>
      <w:r>
        <w:t xml:space="preserve"> </w:t>
      </w:r>
      <w:r>
        <w:t xml:space="preserve">(2010)</w:t>
      </w:r>
      <w:r>
        <w:t xml:space="preserve"> </w:t>
      </w:r>
      <w:r>
        <w:t xml:space="preserve">provide four centuries of evidence consistent with long-run commodity terms-of-trade decline, though with significant heterogeneity across commodities and periods.</w:t>
      </w:r>
    </w:p>
    <w:p>
      <w:pPr>
        <w:pStyle w:val="BodyText"/>
        <w:ind w:firstLine="720"/>
        <w:jc w:val="both"/>
      </w:pPr>
      <w:r>
        <w:t xml:space="preserve">Sachs and Warner</w:t>
      </w:r>
      <w:r>
        <w:t xml:space="preserve"> </w:t>
      </w:r>
      <w:r>
        <w:t xml:space="preserve">(1995)</w:t>
      </w:r>
      <w:r>
        <w:t xml:space="preserve"> </w:t>
      </w:r>
      <w:r>
        <w:t xml:space="preserve">link resource abundance to development risks through the resource curse mechanism, while van der Ploeg</w:t>
      </w:r>
      <w:r>
        <w:t xml:space="preserve"> </w:t>
      </w:r>
      <w:r>
        <w:t xml:space="preserve">(2011)</w:t>
      </w:r>
      <w:r>
        <w:t xml:space="preserve"> </w:t>
      </w:r>
      <w:r>
        <w:t xml:space="preserve">emphasises that resource wealth can be either a curse or blessing depending on institutional quality, volatility management, and reinvestment patterns. Auty</w:t>
      </w:r>
      <w:r>
        <w:t xml:space="preserve"> </w:t>
      </w:r>
      <w:r>
        <w:t xml:space="preserve">(1993)</w:t>
      </w:r>
      <w:r>
        <w:t xml:space="preserve"> </w:t>
      </w:r>
      <w:r>
        <w:t xml:space="preserve">coined the term</w:t>
      </w:r>
      <w:r>
        <w:t xml:space="preserve"> </w:t>
      </w:r>
      <w:r>
        <w:t xml:space="preserve">“resource curse”</w:t>
      </w:r>
      <w:r>
        <w:t xml:space="preserve"> </w:t>
      </w:r>
      <w:r>
        <w:t xml:space="preserve">and documented how mineral-rich developing economies often underperform expectations. Corden and Neary</w:t>
      </w:r>
      <w:r>
        <w:t xml:space="preserve"> </w:t>
      </w:r>
      <w:r>
        <w:t xml:space="preserve">(1982)</w:t>
      </w:r>
      <w:r>
        <w:t xml:space="preserve"> </w:t>
      </w:r>
      <w:r>
        <w:t xml:space="preserve">formalised Dutch Disease, showing how resource booms can crowd out manufacturing competitiveness through real exchange-rate appreciation.</w:t>
      </w:r>
    </w:p>
    <w:p>
      <w:pPr>
        <w:pStyle w:val="BodyText"/>
        <w:ind w:firstLine="720"/>
        <w:jc w:val="both"/>
      </w:pPr>
      <w:r>
        <w:t xml:space="preserve">Frankel</w:t>
      </w:r>
      <w:r>
        <w:t xml:space="preserve"> </w:t>
      </w:r>
      <w:r>
        <w:t xml:space="preserve">(2010)</w:t>
      </w:r>
      <w:r>
        <w:t xml:space="preserve"> </w:t>
      </w:r>
      <w:r>
        <w:t xml:space="preserve">reviews the resource curse literature and argues that the negative association between resources and growth is not deterministic but conditional on institutions and commodity-price management. Applied to Kazakhstan, the relevant question is whether BRI-era mineral export growth was accompanied by value-added upgrading and import-substitution or whether it reproduced the commodity-dependent pattern that the resource curse literature identifies as problematic.</w:t>
      </w:r>
    </w:p>
    <w:p>
      <w:pPr>
        <w:pStyle w:val="BodyText"/>
        <w:ind w:firstLine="720"/>
        <w:jc w:val="both"/>
      </w:pPr>
      <w:r>
        <w:rPr>
          <w:b/>
          <w:bCs/>
        </w:rPr>
        <w:t xml:space="preserve">Empirical bridge (Pillar 2 — resource dependence).</w:t>
      </w:r>
      <w:r>
        <w:t xml:space="preserve"> </w:t>
      </w:r>
      <w:r>
        <w:t xml:space="preserve">This strand predicts that</w:t>
      </w:r>
      <w:r>
        <w:t xml:space="preserve"> </w:t>
      </w:r>
      <w:r>
        <w:rPr>
          <w:rStyle w:val="VerbatimChar"/>
        </w:rPr>
        <w:t xml:space="preserve">brent_annual_mean</w:t>
      </w:r>
      <w:r>
        <w:t xml:space="preserve"> </w:t>
      </w:r>
      <w:r>
        <w:t xml:space="preserve">should carry an</w:t>
      </w:r>
      <w:r>
        <w:t xml:space="preserve"> </w:t>
      </w:r>
      <w:r>
        <w:rPr>
          <w:b/>
          <w:bCs/>
        </w:rPr>
        <w:t xml:space="preserve">ambiguous but predominantly positive</w:t>
      </w:r>
      <w:r>
        <w:t xml:space="preserve"> </w:t>
      </w:r>
      <w:r>
        <w:t xml:space="preserve">sign: higher commodity prices improve Kazakhstan’s export revenues in the short run (positive for balance), but via Dutch Disease mechanisms may also appreciate the real exchange rate and crowd out manufacturing (partially negative over time). The</w:t>
      </w:r>
      <w:r>
        <w:t xml:space="preserve"> </w:t>
      </w:r>
      <w:r>
        <w:rPr>
          <w:rStyle w:val="VerbatimChar"/>
        </w:rPr>
        <w:t xml:space="preserve">kzt_usd</w:t>
      </w:r>
      <w:r>
        <w:t xml:space="preserve"> </w:t>
      </w:r>
      <w:r>
        <w:t xml:space="preserve">depreciation variable captures the reverse competitiveness channel and is predicted to be</w:t>
      </w:r>
      <w:r>
        <w:t xml:space="preserve"> </w:t>
      </w:r>
      <w:r>
        <w:rPr>
          <w:b/>
          <w:bCs/>
        </w:rPr>
        <w:t xml:space="preserve">positive</w:t>
      </w:r>
      <w:r>
        <w:t xml:space="preserve"> </w:t>
      </w:r>
      <w:r>
        <w:t xml:space="preserve">on the bilateral balance via the Marshall–Lerner condition.</w:t>
      </w:r>
    </w:p>
    <w:bookmarkEnd w:id="14"/>
    <w:bookmarkStart w:id="15" w:name="bri-as-trade-facilitation"/>
    <w:p>
      <w:pPr>
        <w:pStyle w:val="Heading2"/>
        <w:keepNext/>
      </w:pPr>
      <w:r>
        <w:t xml:space="preserve">2.3 BRI as Trade Facilitation</w:t>
      </w:r>
    </w:p>
    <w:p>
      <w:pPr>
        <w:pStyle w:val="FirstParagraph"/>
        <w:ind w:firstLine="720"/>
        <w:jc w:val="both"/>
      </w:pPr>
      <w:r>
        <w:t xml:space="preserve">The strongest econometric evidence for BRI trade effects comes from gravity and GIS-linked models. De Soyres et al.</w:t>
      </w:r>
      <w:r>
        <w:t xml:space="preserve"> </w:t>
      </w:r>
      <w:r>
        <w:t xml:space="preserve">(2019, 2020)</w:t>
      </w:r>
      <w:r>
        <w:t xml:space="preserve"> </w:t>
      </w:r>
      <w:r>
        <w:t xml:space="preserve">use shipping-time estimates to show that BRI infrastructure can reduce trade costs, with the largest gains concentrated along corridors. Baniya, Rocha, and Ruta</w:t>
      </w:r>
      <w:r>
        <w:t xml:space="preserve"> </w:t>
      </w:r>
      <w:r>
        <w:t xml:space="preserve">(2020)</w:t>
      </w:r>
      <w:r>
        <w:t xml:space="preserve"> </w:t>
      </w:r>
      <w:r>
        <w:t xml:space="preserve">estimate gravity models and find that BRI-related improvements raise trade flows, especially when transport investment is complemented by trade reforms. Anderson and van Wincoop</w:t>
      </w:r>
      <w:r>
        <w:t xml:space="preserve"> </w:t>
      </w:r>
      <w:r>
        <w:t xml:space="preserve">(2003)</w:t>
      </w:r>
      <w:r>
        <w:t xml:space="preserve"> </w:t>
      </w:r>
      <w:r>
        <w:t xml:space="preserve">provide the theoretical foundation for gravity-based trade-cost analysis. Rolland</w:t>
      </w:r>
      <w:r>
        <w:t xml:space="preserve"> </w:t>
      </w:r>
      <w:r>
        <w:t xml:space="preserve">(2017)</w:t>
      </w:r>
      <w:r>
        <w:t xml:space="preserve"> </w:t>
      </w:r>
      <w:r>
        <w:t xml:space="preserve">situates these trade-facilitation dynamics within China’s broader Eurasian strategic logic, arguing that BRI infrastructure serves geopolitical as well as commercial purposes. Swaine</w:t>
      </w:r>
      <w:r>
        <w:t xml:space="preserve"> </w:t>
      </w:r>
      <w:r>
        <w:t xml:space="preserve">(2015)</w:t>
      </w:r>
      <w:r>
        <w:t xml:space="preserve"> </w:t>
      </w:r>
      <w:r>
        <w:t xml:space="preserve">analyses Chinese official commentary on BRI, showing that the initiative was explicitly framed to combine economic connectivity with strategic depth.</w:t>
      </w:r>
    </w:p>
    <w:p>
      <w:pPr>
        <w:pStyle w:val="BodyText"/>
        <w:ind w:firstLine="720"/>
        <w:jc w:val="both"/>
      </w:pPr>
      <w:r>
        <w:t xml:space="preserve">However, the trade-facilitation literature has an important limitation for this thesis. It generally treats increased trade as the primary success metric. It does not systematically ask whether the smaller partner’s bilateral trade balance improves, deteriorates, or remains unchanged. A corridor that increases both exports and imports may raise total trade while shifting the trade-balance distribution against the resource-exporting partner.</w:t>
      </w:r>
    </w:p>
    <w:p>
      <w:pPr>
        <w:pStyle w:val="BodyText"/>
        <w:ind w:firstLine="720"/>
        <w:jc w:val="both"/>
      </w:pPr>
      <w:r>
        <w:rPr>
          <w:b/>
          <w:bCs/>
        </w:rPr>
        <w:t xml:space="preserve">Empirical bridge (Pillar 3 — BRI trade facilitation).</w:t>
      </w:r>
      <w:r>
        <w:t xml:space="preserve"> </w:t>
      </w:r>
      <w:r>
        <w:t xml:space="preserve">This strand predicts that</w:t>
      </w:r>
      <w:r>
        <w:t xml:space="preserve"> </w:t>
      </w:r>
      <w:r>
        <w:rPr>
          <w:rStyle w:val="VerbatimChar"/>
        </w:rPr>
        <w:t xml:space="preserve">log(CN GDP / KZ GDP)</w:t>
      </w:r>
      <w:r>
        <w:t xml:space="preserve"> </w:t>
      </w:r>
      <w:r>
        <w:t xml:space="preserve">should have a</w:t>
      </w:r>
      <w:r>
        <w:t xml:space="preserve"> </w:t>
      </w:r>
      <w:r>
        <w:rPr>
          <w:b/>
          <w:bCs/>
        </w:rPr>
        <w:t xml:space="preserve">negative</w:t>
      </w:r>
      <w:r>
        <w:t xml:space="preserve"> </w:t>
      </w:r>
      <w:r>
        <w:t xml:space="preserve">sign: as China’s economy grows faster relative to Kazakhstan’s, its export capacity expands, worsening Kazakhstan’s bilateral trade balance. It also motivates the</w:t>
      </w:r>
      <w:r>
        <w:t xml:space="preserve"> </w:t>
      </w:r>
      <w:r>
        <w:rPr>
          <w:rStyle w:val="VerbatimChar"/>
        </w:rPr>
        <w:t xml:space="preserve">post_bri_2013</w:t>
      </w:r>
      <w:r>
        <w:t xml:space="preserve"> </w:t>
      </w:r>
      <w:r>
        <w:t xml:space="preserve">period dummy as a partial test of trade-cost reduction, while noting that the dummy conflates BRI-specific effects with concurrent commodity shocks. The comparative DiD design (§6.5) addresses this limitation by testing whether the post-2013 balance shift is China-specific or common across all of Kazakhstan’s trading partners.</w:t>
      </w:r>
    </w:p>
    <w:bookmarkEnd w:id="15"/>
    <w:bookmarkStart w:id="16" w:name="bri-as-asymmetric-interdependence"/>
    <w:p>
      <w:pPr>
        <w:pStyle w:val="Heading2"/>
        <w:keepNext/>
      </w:pPr>
      <w:r>
        <w:t xml:space="preserve">2.4 BRI as Asymmetric Interdependence</w:t>
      </w:r>
    </w:p>
    <w:p>
      <w:pPr>
        <w:pStyle w:val="FirstParagraph"/>
        <w:ind w:firstLine="720"/>
        <w:jc w:val="both"/>
      </w:pPr>
      <w:r>
        <w:t xml:space="preserve">A second strand treats BRI-era connectivity as a context for asymmetric economic relationships. Keohane and Nye</w:t>
      </w:r>
      <w:r>
        <w:t xml:space="preserve"> </w:t>
      </w:r>
      <w:r>
        <w:t xml:space="preserve">(1977)</w:t>
      </w:r>
      <w:r>
        <w:t xml:space="preserve"> </w:t>
      </w:r>
      <w:r>
        <w:t xml:space="preserve">define interdependence as mutual dependence that creates both sensitivity and vulnerability. Hirschman</w:t>
      </w:r>
      <w:r>
        <w:t xml:space="preserve"> </w:t>
      </w:r>
      <w:r>
        <w:t xml:space="preserve">(1945)</w:t>
      </w:r>
      <w:r>
        <w:t xml:space="preserve"> </w:t>
      </w:r>
      <w:r>
        <w:t xml:space="preserve">argues that foreign trade generates political influence when a partner’s dependence is concentrated and costly to replace.</w:t>
      </w:r>
    </w:p>
    <w:p>
      <w:pPr>
        <w:pStyle w:val="BodyText"/>
        <w:ind w:firstLine="720"/>
        <w:jc w:val="both"/>
      </w:pPr>
      <w:r>
        <w:t xml:space="preserve">Horn, Reinhart, and Trebesch</w:t>
      </w:r>
      <w:r>
        <w:t xml:space="preserve"> </w:t>
      </w:r>
      <w:r>
        <w:t xml:space="preserve">(2021)</w:t>
      </w:r>
      <w:r>
        <w:t xml:space="preserve"> </w:t>
      </w:r>
      <w:r>
        <w:t xml:space="preserve">document the rise of China as the world’s largest official creditor, showing that Chinese lending creates financial interdependencies alongside trade linkages. Petry</w:t>
      </w:r>
      <w:r>
        <w:t xml:space="preserve"> </w:t>
      </w:r>
      <w:r>
        <w:t xml:space="preserve">(2023)</w:t>
      </w:r>
      <w:r>
        <w:t xml:space="preserve"> </w:t>
      </w:r>
      <w:r>
        <w:t xml:space="preserve">demonstrates that financial infrastructures are part of Chinese economic statecraft, not secondary to physical corridors. Hurley, Morris, and Portelance</w:t>
      </w:r>
      <w:r>
        <w:t xml:space="preserve"> </w:t>
      </w:r>
      <w:r>
        <w:t xml:space="preserve">(2018)</w:t>
      </w:r>
      <w:r>
        <w:t xml:space="preserve"> </w:t>
      </w:r>
      <w:r>
        <w:t xml:space="preserve">assess the debt-sustainability implications of BRI financing for low- and middle-income countries, finding that several corridor economies face elevated risk. Brautigam</w:t>
      </w:r>
      <w:r>
        <w:t xml:space="preserve"> </w:t>
      </w:r>
      <w:r>
        <w:t xml:space="preserve">(2020)</w:t>
      </w:r>
      <w:r>
        <w:t xml:space="preserve"> </w:t>
      </w:r>
      <w:r>
        <w:t xml:space="preserve">critically examines the</w:t>
      </w:r>
      <w:r>
        <w:t xml:space="preserve"> </w:t>
      </w:r>
      <w:r>
        <w:t xml:space="preserve">“debt-trap diplomacy”</w:t>
      </w:r>
      <w:r>
        <w:t xml:space="preserve"> </w:t>
      </w:r>
      <w:r>
        <w:t xml:space="preserve">narrative, cautioning against both uncritical BRI promotion and undifferentiated alarmism—a nuance relevant to the Kazakhstan case, where Chinese financing supports infrastructure without yet producing the balance-sheet stress seen in some South Asian borrowers. Recent Kazakhstan-specific evidence supports asymmetric rather than symmetric interdependence. Primiano and Kudebayeva</w:t>
      </w:r>
      <w:r>
        <w:t xml:space="preserve"> </w:t>
      </w:r>
      <w:r>
        <w:t xml:space="preserve">(2025)</w:t>
      </w:r>
      <w:r>
        <w:t xml:space="preserve"> </w:t>
      </w:r>
      <w:r>
        <w:t xml:space="preserve">find uneven public reception of BRI in Kazakhstan. Mostowlansky</w:t>
      </w:r>
      <w:r>
        <w:t xml:space="preserve"> </w:t>
      </w:r>
      <w:r>
        <w:t xml:space="preserve">(2020)</w:t>
      </w:r>
      <w:r>
        <w:t xml:space="preserve"> </w:t>
      </w:r>
      <w:r>
        <w:t xml:space="preserve">shows how border security, soft power, and suspicion interact at the Sino-Kazakh boundary.</w:t>
      </w:r>
    </w:p>
    <w:p>
      <w:pPr>
        <w:pStyle w:val="BodyText"/>
        <w:ind w:firstLine="720"/>
        <w:jc w:val="both"/>
      </w:pPr>
      <w:r>
        <w:rPr>
          <w:b/>
          <w:bCs/>
        </w:rPr>
        <w:t xml:space="preserve">Empirical bridge (Pillar 4 — asymmetric interdependence, PRIMARY).</w:t>
      </w:r>
      <w:r>
        <w:t xml:space="preserve"> </w:t>
      </w:r>
      <w:r>
        <w:t xml:space="preserve">This is the load-bearing pillar. It predicts that (i)</w:t>
      </w:r>
      <w:r>
        <w:t xml:space="preserve"> </w:t>
      </w:r>
      <w:r>
        <w:rPr>
          <w:rStyle w:val="VerbatimChar"/>
        </w:rPr>
        <w:t xml:space="preserve">post_bri_x_minerals</w:t>
      </w:r>
      <w:r>
        <w:t xml:space="preserve"> </w:t>
      </w:r>
      <w:r>
        <w:t xml:space="preserve">should be</w:t>
      </w:r>
      <w:r>
        <w:t xml:space="preserve"> </w:t>
      </w:r>
      <w:r>
        <w:rPr>
          <w:b/>
          <w:bCs/>
        </w:rPr>
        <w:t xml:space="preserve">negative</w:t>
      </w:r>
      <w:r>
        <w:t xml:space="preserve"> </w:t>
      </w:r>
      <w:r>
        <w:t xml:space="preserve">(H3): the post-BRI period coincided with mineral export growth failing to translate into trade-balance improvement, as China’s leverage expanded faster than Kazakhstan’s export revenues; (ii)</w:t>
      </w:r>
      <w:r>
        <w:t xml:space="preserve"> </w:t>
      </w:r>
      <w:r>
        <w:rPr>
          <w:rStyle w:val="VerbatimChar"/>
        </w:rPr>
        <w:t xml:space="preserve">post_bri_2013</w:t>
      </w:r>
      <w:r>
        <w:t xml:space="preserve"> </w:t>
      </w:r>
      <w:r>
        <w:t xml:space="preserve">should be</w:t>
      </w:r>
      <w:r>
        <w:t xml:space="preserve"> </w:t>
      </w:r>
      <w:r>
        <w:rPr>
          <w:b/>
          <w:bCs/>
        </w:rPr>
        <w:t xml:space="preserve">negative</w:t>
      </w:r>
      <w:r>
        <w:t xml:space="preserve"> </w:t>
      </w:r>
      <w:r>
        <w:t xml:space="preserve">(H1): the post-BRI period is associated with a level shift in bilateral trade that favours the more diversified partner; (iii) this pattern should be</w:t>
      </w:r>
      <w:r>
        <w:t xml:space="preserve"> </w:t>
      </w:r>
      <w:r>
        <w:rPr>
          <w:b/>
          <w:bCs/>
        </w:rPr>
        <w:t xml:space="preserve">China-specific</w:t>
      </w:r>
      <w:r>
        <w:t xml:space="preserve"> </w:t>
      </w:r>
      <w:r>
        <w:t xml:space="preserve">rather than common across all of Kazakhstan’s partners, which is evaluated by the DiD partner-placebo design (§6.15) and the synthetic counterfactual (§6.16). Variables directly operationalising this pillar are</w:t>
      </w:r>
      <w:r>
        <w:t xml:space="preserve"> </w:t>
      </w:r>
      <w:r>
        <w:rPr>
          <w:rStyle w:val="VerbatimChar"/>
        </w:rPr>
        <w:t xml:space="preserve">post_bri_2013</w:t>
      </w:r>
      <w:r>
        <w:t xml:space="preserve">,</w:t>
      </w:r>
      <w:r>
        <w:t xml:space="preserve"> </w:t>
      </w:r>
      <w:r>
        <w:rPr>
          <w:rStyle w:val="VerbatimChar"/>
        </w:rPr>
        <w:t xml:space="preserve">post_bri_x_minerals</w:t>
      </w:r>
      <w:r>
        <w:t xml:space="preserve">, and</w:t>
      </w:r>
      <w:r>
        <w:t xml:space="preserve"> </w:t>
      </w:r>
      <w:r>
        <w:rPr>
          <w:rStyle w:val="VerbatimChar"/>
        </w:rPr>
        <w:t xml:space="preserve">log(CN GDP / KZ GDP)</w:t>
      </w:r>
      <w:r>
        <w:t xml:space="preserve">.</w:t>
      </w:r>
    </w:p>
    <w:bookmarkEnd w:id="16"/>
    <w:bookmarkStart w:id="17" w:name="kazakhstan-central-asia-and-china"/>
    <w:p>
      <w:pPr>
        <w:pStyle w:val="Heading2"/>
        <w:keepNext/>
      </w:pPr>
      <w:r>
        <w:t xml:space="preserve">2.5 Kazakhstan, Central Asia, and China</w:t>
      </w:r>
    </w:p>
    <w:p>
      <w:pPr>
        <w:pStyle w:val="FirstParagraph"/>
        <w:ind w:firstLine="720"/>
        <w:jc w:val="both"/>
      </w:pPr>
      <w:r>
        <w:t xml:space="preserve">Central Asia studies caution that geography and local political economy matter. Bird, Lebrand, and Venables</w:t>
      </w:r>
      <w:r>
        <w:t xml:space="preserve"> </w:t>
      </w:r>
      <w:r>
        <w:t xml:space="preserve">(2020)</w:t>
      </w:r>
      <w:r>
        <w:t xml:space="preserve"> </w:t>
      </w:r>
      <w:r>
        <w:t xml:space="preserve">model how BRI can reshape economic geography in Central Asia, with gains unevenly distributed across locations. Pomfret</w:t>
      </w:r>
      <w:r>
        <w:t xml:space="preserve"> </w:t>
      </w:r>
      <w:r>
        <w:t xml:space="preserve">(2019)</w:t>
      </w:r>
      <w:r>
        <w:t xml:space="preserve"> </w:t>
      </w:r>
      <w:r>
        <w:t xml:space="preserve">analyses Central Asian trade patterns and regional integration dynamics. Cooley</w:t>
      </w:r>
      <w:r>
        <w:t xml:space="preserve"> </w:t>
      </w:r>
      <w:r>
        <w:t xml:space="preserve">(2012)</w:t>
      </w:r>
      <w:r>
        <w:t xml:space="preserve"> </w:t>
      </w:r>
      <w:r>
        <w:t xml:space="preserve">examines great-power competition in Central Asia, including China’s growing economic footprint. Laruelle</w:t>
      </w:r>
      <w:r>
        <w:t xml:space="preserve"> </w:t>
      </w:r>
      <w:r>
        <w:t xml:space="preserve">(2018)</w:t>
      </w:r>
      <w:r>
        <w:t xml:space="preserve"> </w:t>
      </w:r>
      <w:r>
        <w:t xml:space="preserve">documents China’s Belt and Road Initiative in Central Asia from multiple analytical perspectives. Laruelle and Peyrouse</w:t>
      </w:r>
      <w:r>
        <w:t xml:space="preserve"> </w:t>
      </w:r>
      <w:r>
        <w:t xml:space="preserve">(2012)</w:t>
      </w:r>
      <w:r>
        <w:t xml:space="preserve"> </w:t>
      </w:r>
      <w:r>
        <w:t xml:space="preserve">provide foundational analysis of the social and political dimensions of China’s growing presence in the region, including the reception of Chinese labour and capital by local populations. Olcott</w:t>
      </w:r>
      <w:r>
        <w:t xml:space="preserve"> </w:t>
      </w:r>
      <w:r>
        <w:t xml:space="preserve">(2002)</w:t>
      </w:r>
      <w:r>
        <w:t xml:space="preserve"> </w:t>
      </w:r>
      <w:r>
        <w:t xml:space="preserve">offers an early and still-relevant account of Kazakhstan’s post-independence challenges, establishing the resource-dependence baseline against which BRI-era changes should be measured.</w:t>
      </w:r>
    </w:p>
    <w:p>
      <w:pPr>
        <w:pStyle w:val="BodyText"/>
        <w:ind w:firstLine="720"/>
        <w:jc w:val="both"/>
      </w:pPr>
      <w:r>
        <w:t xml:space="preserve">Jepson and Sweeney</w:t>
      </w:r>
      <w:r>
        <w:t xml:space="preserve"> </w:t>
      </w:r>
      <w:r>
        <w:t xml:space="preserve">(2024)</w:t>
      </w:r>
      <w:r>
        <w:t xml:space="preserve"> </w:t>
      </w:r>
      <w:r>
        <w:t xml:space="preserve">directly examine whether Chinese state capital supports resource-based structural transformation in Kazakhstan and Bolivia. Calabrese</w:t>
      </w:r>
      <w:r>
        <w:t xml:space="preserve"> </w:t>
      </w:r>
      <w:r>
        <w:t xml:space="preserve">(2024)</w:t>
      </w:r>
      <w:r>
        <w:t xml:space="preserve"> </w:t>
      </w:r>
      <w:r>
        <w:t xml:space="preserve">asks whether Chinese capital can support diversification away from extractives in the Kyrgyz Republic. The global value chain (GVC) literature adds that governance structures shape whether suppliers upgrade or remain in captive, low-value positions</w:t>
      </w:r>
      <w:r>
        <w:t xml:space="preserve"> </w:t>
      </w:r>
      <w:r>
        <w:t xml:space="preserve">(Gereffi et al. 2005)</w:t>
      </w:r>
      <w:r>
        <w:t xml:space="preserve">.</w:t>
      </w:r>
    </w:p>
    <w:p>
      <w:pPr>
        <w:pStyle w:val="BodyText"/>
        <w:ind w:firstLine="720"/>
        <w:jc w:val="both"/>
      </w:pPr>
      <w:r>
        <w:rPr>
          <w:b/>
          <w:bCs/>
        </w:rPr>
        <w:t xml:space="preserve">Empirical bridge (Pillar 5 — GVC and upgrading).</w:t>
      </w:r>
      <w:r>
        <w:t xml:space="preserve"> </w:t>
      </w:r>
      <w:r>
        <w:t xml:space="preserve">This strand predicts that if Kazakhstan occupies a captive supplier position, the</w:t>
      </w:r>
      <w:r>
        <w:t xml:space="preserve"> </w:t>
      </w:r>
      <w:r>
        <w:rPr>
          <w:rStyle w:val="VerbatimChar"/>
        </w:rPr>
        <w:t xml:space="preserve">post_bri_x_minerals</w:t>
      </w:r>
      <w:r>
        <w:t xml:space="preserve"> </w:t>
      </w:r>
      <w:r>
        <w:t xml:space="preserve">interaction should be</w:t>
      </w:r>
      <w:r>
        <w:t xml:space="preserve"> </w:t>
      </w:r>
      <w:r>
        <w:rPr>
          <w:b/>
          <w:bCs/>
        </w:rPr>
        <w:t xml:space="preserve">negative</w:t>
      </w:r>
      <w:r>
        <w:t xml:space="preserve">: rising mineral exports coincide with rising imports of Chinese capital goods and machinery needed for extraction, rather than supporting domestic value-chain upgrading. The import-category decomposition in §6.4 (HS 84 machinery, HS 85 electronics, HS 87 vehicles) tests this mechanism directly: if these categories exploded disproportionately post-2013, it is consistent with an extractive-infrastructure import channel that drains the trade balance while mineral exports rise.</w:t>
      </w:r>
    </w:p>
    <w:bookmarkEnd w:id="17"/>
    <w:bookmarkStart w:id="18" w:name="Xaa0a671067e8fae9f84f9bb9926e7997379c1fb"/>
    <w:p>
      <w:pPr>
        <w:pStyle w:val="Heading2"/>
        <w:keepNext/>
      </w:pPr>
      <w:r>
        <w:t xml:space="preserve">2.6 Empirical Methods in BRI and Small-Sample Trade Research</w:t>
      </w:r>
    </w:p>
    <w:p>
      <w:pPr>
        <w:pStyle w:val="FirstParagraph"/>
        <w:ind w:firstLine="720"/>
        <w:jc w:val="both"/>
      </w:pPr>
      <w:r>
        <w:t xml:space="preserve">Time-series analysis of bilateral trade relationships frequently involves small annual samples. Pesaran, Shin, and Smith</w:t>
      </w:r>
      <w:r>
        <w:t xml:space="preserve"> </w:t>
      </w:r>
      <w:r>
        <w:t xml:space="preserve">(2001)</w:t>
      </w:r>
      <w:r>
        <w:t xml:space="preserve"> </w:t>
      </w:r>
      <w:r>
        <w:t xml:space="preserve">developed the ARDL bounds-testing approach specifically for cases with mixed integration orders and limited observations. Newey and West</w:t>
      </w:r>
      <w:r>
        <w:t xml:space="preserve"> </w:t>
      </w:r>
      <w:r>
        <w:t xml:space="preserve">(1987)</w:t>
      </w:r>
      <w:r>
        <w:t xml:space="preserve"> </w:t>
      </w:r>
      <w:r>
        <w:t xml:space="preserve">introduced heteroskedasticity and autocorrelation consistent (HAC) standard errors for time-series regression. Chow</w:t>
      </w:r>
      <w:r>
        <w:t xml:space="preserve"> </w:t>
      </w:r>
      <w:r>
        <w:t xml:space="preserve">(1960)</w:t>
      </w:r>
      <w:r>
        <w:t xml:space="preserve"> </w:t>
      </w:r>
      <w:r>
        <w:t xml:space="preserve">proposed the structural-break test used in this thesis. Bai and Perron</w:t>
      </w:r>
      <w:r>
        <w:t xml:space="preserve"> </w:t>
      </w:r>
      <w:r>
        <w:t xml:space="preserve">(1998, 2003)</w:t>
      </w:r>
      <w:r>
        <w:t xml:space="preserve"> </w:t>
      </w:r>
      <w:r>
        <w:t xml:space="preserve">developed multiple-break detection methods.</w:t>
      </w:r>
    </w:p>
    <w:p>
      <w:pPr>
        <w:pStyle w:val="BodyText"/>
        <w:ind w:firstLine="720"/>
        <w:jc w:val="both"/>
      </w:pPr>
      <w:r>
        <w:t xml:space="preserve">A key methodological concern in small-sample regression is influence diagnostics. Cook</w:t>
      </w:r>
      <w:r>
        <w:t xml:space="preserve"> </w:t>
      </w:r>
      <w:r>
        <w:t xml:space="preserve">(1977)</w:t>
      </w:r>
      <w:r>
        <w:t xml:space="preserve"> </w:t>
      </w:r>
      <w:r>
        <w:t xml:space="preserve">demonstrated that individual observations can disproportionately affect regression estimates, particularly in samples below 30 observations. Belsley, Kuh, and Welsch</w:t>
      </w:r>
      <w:r>
        <w:t xml:space="preserve"> </w:t>
      </w:r>
      <w:r>
        <w:t xml:space="preserve">(1980)</w:t>
      </w:r>
      <w:r>
        <w:t xml:space="preserve"> </w:t>
      </w:r>
      <w:r>
        <w:t xml:space="preserve">provided comprehensive influence diagnostic tools that are essential for validating results in the sample sizes encountered in bilateral trade studies.</w:t>
      </w:r>
    </w:p>
    <w:bookmarkEnd w:id="18"/>
    <w:bookmarkStart w:id="19" w:name="research-gap"/>
    <w:p>
      <w:pPr>
        <w:pStyle w:val="Heading2"/>
        <w:keepNext/>
      </w:pPr>
      <w:r>
        <w:t xml:space="preserve">2.7 Research Gap</w:t>
      </w:r>
    </w:p>
    <w:p>
      <w:pPr>
        <w:pStyle w:val="FirstParagraph"/>
        <w:ind w:firstLine="720"/>
        <w:jc w:val="both"/>
      </w:pPr>
      <w:r>
        <w:t xml:space="preserve">Most BRI studies focus on aggregate trade expansion or infrastructure connectivity. Fewer examine whether resource exports improve the bilateral trade balance of smaller resource-exporting partners. The compositional question—whether mineral export growth translates into external-balance improvement—remains empirically underdeveloped for the Kazakhstan–China case. Moreover, no existing study applies formal influence diagnostics to assess how robust post-BRI trade findings are to individual high-leverage observations. This thesis addresses that gap.</w:t>
      </w:r>
    </w:p>
    <w:bookmarkEnd w:id="19"/>
    <w:bookmarkEnd w:id="20"/>
    <w:bookmarkStart w:id="26" w:name="theoretical-framework"/>
    <w:p>
      <w:pPr>
        <w:pStyle w:val="Heading1"/>
        <w:keepNext/>
      </w:pPr>
      <w:r>
        <w:t xml:space="preserve">3. Theoretical Framework</w:t>
      </w:r>
    </w:p>
    <w:bookmarkStart w:id="21" w:name="X480a36025e6dac0021a01c966cd8f0ab186890e"/>
    <w:p>
      <w:pPr>
        <w:pStyle w:val="Heading2"/>
        <w:keepNext/>
      </w:pPr>
      <w:r>
        <w:t xml:space="preserve">3.1 Primary Framework: Asymmetric Interdependence</w:t>
      </w:r>
    </w:p>
    <w:p>
      <w:pPr>
        <w:pStyle w:val="FirstParagraph"/>
        <w:ind w:firstLine="720"/>
        <w:jc w:val="both"/>
      </w:pPr>
      <w:r>
        <w:t xml:space="preserve">The primary theoretical framework is</w:t>
      </w:r>
      <w:r>
        <w:t xml:space="preserve"> </w:t>
      </w:r>
      <w:r>
        <w:rPr>
          <w:b/>
          <w:bCs/>
        </w:rPr>
        <w:t xml:space="preserve">asymmetric interdependence</w:t>
      </w:r>
      <w:r>
        <w:t xml:space="preserve">, as developed by Keohane and Nye</w:t>
      </w:r>
      <w:r>
        <w:t xml:space="preserve"> </w:t>
      </w:r>
      <w:r>
        <w:t xml:space="preserve">(1977)</w:t>
      </w:r>
      <w:r>
        <w:t xml:space="preserve"> </w:t>
      </w:r>
      <w:r>
        <w:t xml:space="preserve">and Hirschman</w:t>
      </w:r>
      <w:r>
        <w:t xml:space="preserve"> </w:t>
      </w:r>
      <w:r>
        <w:t xml:space="preserve">(1945)</w:t>
      </w:r>
      <w:r>
        <w:t xml:space="preserve">. This framework is chosen over dependency theory because it is both more precise and more empirically testable: it allows for mutual gains from trade while predicting that the distribution of those gains, and the distribution of vulnerability, depend on the structural position of each partner.</w:t>
      </w:r>
    </w:p>
    <w:p>
      <w:pPr>
        <w:pStyle w:val="BodyText"/>
        <w:ind w:firstLine="720"/>
        <w:jc w:val="both"/>
      </w:pPr>
      <w:r>
        <w:t xml:space="preserve">Keohane and Nye define interdependence as mutual dependence between states or actors across issues, characterised by two distinct dimensions:</w:t>
      </w:r>
      <w:r>
        <w:t xml:space="preserve"> </w:t>
      </w:r>
      <w:r>
        <w:rPr>
          <w:i/>
          <w:iCs/>
        </w:rPr>
        <w:t xml:space="preserve">sensitivity</w:t>
      </w:r>
      <w:r>
        <w:t xml:space="preserve"> </w:t>
      </w:r>
      <w:r>
        <w:t xml:space="preserve">(the extent to which changes in one economy are transmitted to another before policy adjusts) and</w:t>
      </w:r>
      <w:r>
        <w:t xml:space="preserve"> </w:t>
      </w:r>
      <w:r>
        <w:rPr>
          <w:i/>
          <w:iCs/>
        </w:rPr>
        <w:t xml:space="preserve">vulnerability</w:t>
      </w:r>
      <w:r>
        <w:t xml:space="preserve"> </w:t>
      </w:r>
      <w:r>
        <w:t xml:space="preserve">(the cost of adjusting to those changes after the fact). Two economies can be simultaneously interdependent and asymmetrically so: China and Kazakhstan both depend on bilateral trade, but China can diversify mineral suppliers at lower cost than Kazakhstan can diversify its export markets. This structural asymmetry predicts that deepening bilateral integration will expand aggregate trade while potentially strengthening China’s bargaining position.</w:t>
      </w:r>
    </w:p>
    <w:p>
      <w:pPr>
        <w:pStyle w:val="BodyText"/>
        <w:ind w:firstLine="720"/>
        <w:jc w:val="both"/>
      </w:pPr>
      <w:r>
        <w:t xml:space="preserve">Hirschman’s mechanism sharpens the prediction. In</w:t>
      </w:r>
      <w:r>
        <w:t xml:space="preserve"> </w:t>
      </w:r>
      <w:r>
        <w:rPr>
          <w:i/>
          <w:iCs/>
        </w:rPr>
        <w:t xml:space="preserve">National Power and the Structure of Foreign Trade</w:t>
      </w:r>
      <w:r>
        <w:t xml:space="preserve">, Hirschman shows that dependence on a large trading partner generates political influence for the partner precisely when the dependent economy’s trade is</w:t>
      </w:r>
      <w:r>
        <w:t xml:space="preserve"> </w:t>
      </w:r>
      <w:r>
        <w:rPr>
          <w:i/>
          <w:iCs/>
        </w:rPr>
        <w:t xml:space="preserve">concentrated</w:t>
      </w:r>
      <w:r>
        <w:t xml:space="preserve"> </w:t>
      </w:r>
      <w:r>
        <w:t xml:space="preserve">(few substitutable partners) and</w:t>
      </w:r>
      <w:r>
        <w:t xml:space="preserve"> </w:t>
      </w:r>
      <w:r>
        <w:rPr>
          <w:i/>
          <w:iCs/>
        </w:rPr>
        <w:t xml:space="preserve">inelastic</w:t>
      </w:r>
      <w:r>
        <w:t xml:space="preserve"> </w:t>
      </w:r>
      <w:r>
        <w:t xml:space="preserve">(the dependent economy cannot easily reduce or redirect trade). Kazakhstan’s export basket is highly concentrated in mineral commodities shipped predominantly to China and Russia, with limited substitution options in the short run. Hirschman’s framework therefore predicts that post-BRI deepening of mineral trade—by increasing Kazakhstan’s exposure to Chinese demand while China retains many alternative suppliers—will strengthen the asymmetric structure of the relationship and may translate into a weakening of Kazakhstan’s bilateral trade-balance position, as import capacity grows faster than export revenues.</w:t>
      </w:r>
    </w:p>
    <w:p>
      <w:pPr>
        <w:pStyle w:val="BodyText"/>
        <w:ind w:firstLine="720"/>
        <w:jc w:val="both"/>
      </w:pPr>
      <w:r>
        <w:t xml:space="preserve">This framework is preferred over dependency theory, which is retained only as</w:t>
      </w:r>
      <w:r>
        <w:t xml:space="preserve"> </w:t>
      </w:r>
      <w:r>
        <w:rPr>
          <w:i/>
          <w:iCs/>
        </w:rPr>
        <w:t xml:space="preserve">historical context</w:t>
      </w:r>
      <w:r>
        <w:t xml:space="preserve"> </w:t>
      </w:r>
      <w:r>
        <w:t xml:space="preserve">(§3.3). The critical difference is falsifiability: asymmetric interdependence generates variable-level predictions that can be tested in regression models (§3.4), whereas dependency theory operates at the level of structural formations and does not readily produce falsifiable coefficient predictions. The empirical strategy in this thesis is built entirely on the asymmetric interdependence framework.</w:t>
      </w:r>
    </w:p>
    <w:bookmarkEnd w:id="21"/>
    <w:bookmarkStart w:id="22" w:name="supporting-frameworks"/>
    <w:p>
      <w:pPr>
        <w:pStyle w:val="Heading2"/>
        <w:keepNext/>
      </w:pPr>
      <w:r>
        <w:t xml:space="preserve">3.2 Supporting Frameworks</w:t>
      </w:r>
    </w:p>
    <w:p>
      <w:pPr>
        <w:pStyle w:val="FirstParagraph"/>
        <w:ind w:firstLine="720"/>
        <w:jc w:val="both"/>
      </w:pPr>
      <w:r>
        <w:t xml:space="preserve">Three supporting theoretical strands inform variable selection and interpretation:</w:t>
      </w:r>
    </w:p>
    <w:p>
      <w:pPr>
        <w:pStyle w:val="BodyText"/>
        <w:ind w:firstLine="720"/>
        <w:jc w:val="both"/>
      </w:pPr>
      <w:r>
        <w:rPr>
          <w:b/>
          <w:bCs/>
        </w:rPr>
        <w:t xml:space="preserve">Gravity and trade facilitation.</w:t>
      </w:r>
      <w:r>
        <w:t xml:space="preserve"> </w:t>
      </w:r>
      <w:r>
        <w:t xml:space="preserve">Anderson and van Wincoop</w:t>
      </w:r>
      <w:r>
        <w:t xml:space="preserve"> </w:t>
      </w:r>
      <w:r>
        <w:t xml:space="preserve">(2003)</w:t>
      </w:r>
      <w:r>
        <w:t xml:space="preserve"> </w:t>
      </w:r>
      <w:r>
        <w:t xml:space="preserve">show that bilateral trade depends on trade costs relative to multilateral resistance. BRI infrastructure reduces bilateral trade costs, increasing trade on both sides of the bilateral relationship. For the present model, China’s GDP proxies</w:t>
      </w:r>
      <w:r>
        <w:t xml:space="preserve"> </w:t>
      </w:r>
      <w:r>
        <w:rPr>
          <w:i/>
          <w:iCs/>
        </w:rPr>
        <w:t xml:space="preserve">foreign demand capacity</w:t>
      </w:r>
      <w:r>
        <w:t xml:space="preserve"> </w:t>
      </w:r>
      <w:r>
        <w:t xml:space="preserve">— a larger Chinese economy demands more inputs from Kazakhstan and exports more manufactured goods, both effects that simultaneously expand the bilateral relationship and expose Kazakhstan to the import-side risk that asymmetric interdependence theory identifies.</w:t>
      </w:r>
    </w:p>
    <w:p>
      <w:pPr>
        <w:pStyle w:val="BodyText"/>
        <w:ind w:firstLine="720"/>
        <w:jc w:val="both"/>
      </w:pPr>
      <w:r>
        <w:rPr>
          <w:b/>
          <w:bCs/>
        </w:rPr>
        <w:t xml:space="preserve">Resource curse and terms-of-trade channel.</w:t>
      </w:r>
      <w:r>
        <w:t xml:space="preserve"> </w:t>
      </w:r>
      <w:r>
        <w:t xml:space="preserve">Van der Ploeg</w:t>
      </w:r>
      <w:r>
        <w:t xml:space="preserve"> </w:t>
      </w:r>
      <w:r>
        <w:t xml:space="preserve">(2011)</w:t>
      </w:r>
      <w:r>
        <w:t xml:space="preserve"> </w:t>
      </w:r>
      <w:r>
        <w:t xml:space="preserve">and Sachs and Warner</w:t>
      </w:r>
      <w:r>
        <w:t xml:space="preserve"> </w:t>
      </w:r>
      <w:r>
        <w:t xml:space="preserve">(1995)</w:t>
      </w:r>
      <w:r>
        <w:t xml:space="preserve"> </w:t>
      </w:r>
      <w:r>
        <w:t xml:space="preserve">identify conditions under which resource-export dependence generates macroeconomic vulnerability. For this model, the Brent crude price proxies global commodity market conditions that simultaneously drive the value of Kazakhstan’s energy and mineral exports and affect China’s import demand for those commodities. The predicted relationship between global commodity prices and the bilateral trade balance is theoretically ambiguous: higher oil prices raise export revenues (positive for the balance) but may also appreciate the real exchange rate and crowd out non-commodity exports (negative).</w:t>
      </w:r>
    </w:p>
    <w:p>
      <w:pPr>
        <w:pStyle w:val="BodyText"/>
        <w:ind w:firstLine="720"/>
        <w:jc w:val="both"/>
      </w:pPr>
      <w:r>
        <w:rPr>
          <w:b/>
          <w:bCs/>
        </w:rPr>
        <w:t xml:space="preserve">Global value chains (GVC) and upgrading.</w:t>
      </w:r>
      <w:r>
        <w:t xml:space="preserve"> </w:t>
      </w:r>
      <w:r>
        <w:t xml:space="preserve">Gereffi, Humphrey, and Sturgeon</w:t>
      </w:r>
      <w:r>
        <w:t xml:space="preserve"> </w:t>
      </w:r>
      <w:r>
        <w:t xml:space="preserve">(2005)</w:t>
      </w:r>
      <w:r>
        <w:t xml:space="preserve"> </w:t>
      </w:r>
      <w:r>
        <w:t xml:space="preserve">show that captive supplier positions in raw-material chains provide little upgrading leverage. For this model, the minerals–post-BRI interaction term tests whether mineral export growth translates into trade-balance improvement or whether raw-mineral export growth coincides with rising imports of Chinese capital goods and intermediates, consistent with a captive supplier relationship that generates asymmetric gains.</w:t>
      </w:r>
    </w:p>
    <w:bookmarkEnd w:id="22"/>
    <w:bookmarkStart w:id="23" w:name="why-not-dependency-theory"/>
    <w:p>
      <w:pPr>
        <w:pStyle w:val="Heading2"/>
        <w:keepNext/>
      </w:pPr>
      <w:r>
        <w:t xml:space="preserve">3.3 Why Not Dependency Theory</w:t>
      </w:r>
    </w:p>
    <w:p>
      <w:pPr>
        <w:pStyle w:val="FirstParagraph"/>
        <w:ind w:firstLine="720"/>
        <w:jc w:val="both"/>
      </w:pPr>
      <w:r>
        <w:t xml:space="preserve">Dependency theory and world-systems analysis provide the intellectual history from which the asymmetric interdependence framework builds. Frank [</w:t>
      </w:r>
      <w:r>
        <w:t xml:space="preserve">(1966)</w:t>
      </w:r>
      <w:r>
        <w:t xml:space="preserve">; as cited in the dependency tradition] and Prebisch</w:t>
      </w:r>
      <w:r>
        <w:t xml:space="preserve"> </w:t>
      </w:r>
      <w:r>
        <w:t xml:space="preserve">(1950)</w:t>
      </w:r>
      <w:r>
        <w:t xml:space="preserve"> </w:t>
      </w:r>
      <w:r>
        <w:t xml:space="preserve">argue that peripheral commodity exporters face structural terms-of-trade deterioration imposed by the architecture of the global economy. This framing is useful for contextualising Kazakhstan’s commodity-export position but is not adopted as the primary framework for three reasons: (i) it tends to overpredict structural subordination and understate policy agency; (ii) it does not generate variable-level coefficient predictions; (iii) the empirical evidence on Prebisch–Singer is heterogeneous and commodity-specific (Harvey et al.</w:t>
      </w:r>
      <w:r>
        <w:t xml:space="preserve"> </w:t>
      </w:r>
      <w:r>
        <w:t xml:space="preserve">(2010)</w:t>
      </w:r>
      <w:r>
        <w:t xml:space="preserve">), making it a weaker anchor for regression-based analysis. The thesis therefore uses asymmetric interdependence as the testable mechanism and treats dependency theory as background context.</w:t>
      </w:r>
    </w:p>
    <w:bookmarkEnd w:id="23"/>
    <w:bookmarkStart w:id="24" w:name="X01d3111613de9dc51f05c1583f96834d5ee4b59"/>
    <w:p>
      <w:pPr>
        <w:pStyle w:val="Heading2"/>
        <w:keepNext/>
      </w:pPr>
      <w:r>
        <w:t xml:space="preserve">3.4 Variable Selection Rationale and Predicted Signs</w:t>
      </w:r>
    </w:p>
    <w:p>
      <w:pPr>
        <w:pStyle w:val="FirstParagraph"/>
        <w:ind w:firstLine="720"/>
        <w:jc w:val="both"/>
      </w:pPr>
      <w:r>
        <w:t xml:space="preserve">Every regressor in the empirical model is anchored to the theoretical framework above. The table below maps each variable to its theoretical mechanism, predicted sign on the bilateral trade balance, and supporting citation. This mapping is the bridge between theory and empirics that structures all results in Chapter 6.</w:t>
      </w:r>
    </w:p>
    <w:p>
      <w:pPr>
        <w:pStyle w:val="BodyText"/>
        <w:jc w:val="both"/>
      </w:pPr>
      <w:r>
        <w:rPr>
          <w:b/>
          <w:bCs/>
        </w:rPr>
        <w:t xml:space="preserve">Table 3.1. Variable Selection Rationale</w:t>
      </w:r>
    </w:p>
    <w:tbl>
      <w:tblPr>
        <w:tblStyle w:val="Table"/>
        <w:tblW w:type="pct" w:w="5000"/>
        <w:jc w:val="center"/>
        <w:tblLayout w:type="autofit"/>
        <w:tblLook w:firstRow="1" w:lastRow="0" w:firstColumn="0" w:lastColumn="0" w:noHBand="0" w:noVBand="0" w:val="0020"/>
      </w:tblPr>
      <w:tblGrid>
        <w:gridCol w:w="1200"/>
        <w:gridCol w:w="2640"/>
        <w:gridCol w:w="2520"/>
        <w:gridCol w:w="156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Theoretical mechanism</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Predicted sign on TB</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Key citation</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minerals_narrow</w:t>
            </w:r>
            <w:r>
              <w:rPr>
                <w:rFonts w:ascii="Times New Roman" w:hAnsi="Times New Roman" w:eastAsia="Times New Roman"/>
                <w:sz w:val="19"/>
              </w:rPr>
              <w:t xml:space="preserve"> </w:t>
            </w:r>
            <w:r>
              <w:rPr>
                <w:rFonts w:ascii="Times New Roman" w:hAnsi="Times New Roman" w:eastAsia="Times New Roman"/>
                <w:sz w:val="19"/>
              </w:rPr>
              <w:t xml:space="preserve">(USD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Hirschman concentration proxy: higher mineral exports increase export revenues, predicted to improve the bilateral balance</w:t>
            </w:r>
            <w:r>
              <w:rPr>
                <w:rFonts w:ascii="Times New Roman" w:hAnsi="Times New Roman" w:eastAsia="Times New Roman"/>
                <w:sz w:val="19"/>
              </w:rPr>
              <w:t xml:space="preserve"> </w:t>
            </w:r>
            <w:r>
              <w:rPr>
                <w:rFonts w:ascii="Times New Roman" w:hAnsi="Times New Roman" w:eastAsia="Times New Roman"/>
                <w:i/>
                <w:iCs/>
                <w:sz w:val="19"/>
              </w:rPr>
              <w:t xml:space="preserve">before</w:t>
            </w:r>
            <w:r>
              <w:rPr>
                <w:rFonts w:ascii="Times New Roman" w:hAnsi="Times New Roman" w:eastAsia="Times New Roman"/>
                <w:sz w:val="19"/>
              </w:rPr>
              <w:t xml:space="preserve"> </w:t>
            </w:r>
            <w:r>
              <w:rPr>
                <w:rFonts w:ascii="Times New Roman" w:hAnsi="Times New Roman" w:eastAsia="Times New Roman"/>
                <w:sz w:val="19"/>
              </w:rPr>
              <w:t xml:space="preserve">accounting for post-BRI import deepening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Positive</w:t>
            </w:r>
            <w:r>
              <w:rPr>
                <w:rFonts w:ascii="Times New Roman" w:hAnsi="Times New Roman" w:eastAsia="Times New Roman"/>
                <w:sz w:val="19"/>
              </w:rPr>
              <w:t xml:space="preserve"> </w:t>
            </w:r>
            <w:r>
              <w:rPr>
                <w:rFonts w:ascii="Times New Roman" w:hAnsi="Times New Roman" w:eastAsia="Times New Roman"/>
                <w:sz w:val="19"/>
              </w:rPr>
              <w:t xml:space="preserve">(pre-BRI baseline)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Hirschman</w:t>
            </w:r>
            <w:r>
              <w:rPr>
                <w:rFonts w:ascii="Times New Roman" w:hAnsi="Times New Roman" w:eastAsia="Times New Roman"/>
                <w:sz w:val="19"/>
              </w:rPr>
              <w:t xml:space="preserve"> </w:t>
            </w:r>
            <w:r>
              <w:rPr>
                <w:rFonts w:ascii="Times New Roman" w:hAnsi="Times New Roman" w:eastAsia="Times New Roman"/>
                <w:sz w:val="19"/>
              </w:rPr>
              <w:t xml:space="preserve">(1945)</w:t>
            </w:r>
            <w:r>
              <w:rPr>
                <w:rFonts w:ascii="Times New Roman" w:hAnsi="Times New Roman" w:eastAsia="Times New Roman"/>
                <w:sz w:val="19"/>
              </w:rPr>
              <w:t xml:space="preserve">; H2</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post_bri_2013</w:t>
            </w:r>
            <w:r>
              <w:rPr>
                <w:rFonts w:ascii="Times New Roman" w:hAnsi="Times New Roman" w:eastAsia="Times New Roman"/>
                <w:sz w:val="19"/>
              </w:rPr>
              <w:t xml:space="preserve"> </w:t>
            </w:r>
            <w:r>
              <w:rPr>
                <w:rFonts w:ascii="Times New Roman" w:hAnsi="Times New Roman" w:eastAsia="Times New Roman"/>
                <w:sz w:val="19"/>
              </w:rPr>
              <w:t xml:space="preserve">(0/1)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Period indicator for post-BRI structural change; tests whether the bilateral balance level shifted after 2013 corridor deepening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Negative</w:t>
            </w:r>
            <w:r>
              <w:rPr>
                <w:rFonts w:ascii="Times New Roman" w:hAnsi="Times New Roman" w:eastAsia="Times New Roman"/>
                <w:sz w:val="19"/>
              </w:rPr>
              <w:t xml:space="preserve"> </w:t>
            </w:r>
            <w:r>
              <w:rPr>
                <w:rFonts w:ascii="Times New Roman" w:hAnsi="Times New Roman" w:eastAsia="Times New Roman"/>
                <w:sz w:val="19"/>
              </w:rPr>
              <w:t xml:space="preserve">(asymmetric interdependence predicts import-side acceleration dominates)</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Keohane &amp; Nye</w:t>
            </w:r>
            <w:r>
              <w:rPr>
                <w:rFonts w:ascii="Times New Roman" w:hAnsi="Times New Roman" w:eastAsia="Times New Roman"/>
                <w:sz w:val="19"/>
              </w:rPr>
              <w:t xml:space="preserve"> </w:t>
            </w:r>
            <w:r>
              <w:rPr>
                <w:rFonts w:ascii="Times New Roman" w:hAnsi="Times New Roman" w:eastAsia="Times New Roman"/>
                <w:sz w:val="19"/>
              </w:rPr>
              <w:t xml:space="preserve">(1977)</w:t>
            </w:r>
            <w:r>
              <w:rPr>
                <w:rFonts w:ascii="Times New Roman" w:hAnsi="Times New Roman" w:eastAsia="Times New Roman"/>
                <w:sz w:val="19"/>
              </w:rPr>
              <w:t xml:space="preserve">; H1</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post_bri_x_minerals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Asymmetric interdependence interaction: tests whether the trade-balance payoff of mineral exports weakened post-BRI, as rising Chinese manufactured exports outpaced mineral-export revenues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Negative</w:t>
            </w:r>
            <w:r>
              <w:rPr>
                <w:rFonts w:ascii="Times New Roman" w:hAnsi="Times New Roman" w:eastAsia="Times New Roman"/>
                <w:sz w:val="19"/>
              </w:rPr>
              <w:t xml:space="preserve"> </w:t>
            </w:r>
            <w:r>
              <w:rPr>
                <w:rFonts w:ascii="Times New Roman" w:hAnsi="Times New Roman" w:eastAsia="Times New Roman"/>
                <w:sz w:val="19"/>
              </w:rPr>
              <w:t xml:space="preserve">(primary test of H3)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Hirschman</w:t>
            </w:r>
            <w:r>
              <w:rPr>
                <w:rFonts w:ascii="Times New Roman" w:hAnsi="Times New Roman" w:eastAsia="Times New Roman"/>
                <w:sz w:val="19"/>
              </w:rPr>
              <w:t xml:space="preserve"> </w:t>
            </w:r>
            <w:r>
              <w:rPr>
                <w:rFonts w:ascii="Times New Roman" w:hAnsi="Times New Roman" w:eastAsia="Times New Roman"/>
                <w:sz w:val="19"/>
              </w:rPr>
              <w:t xml:space="preserve">(1945)</w:t>
            </w:r>
            <w:r>
              <w:rPr>
                <w:rFonts w:ascii="Times New Roman" w:hAnsi="Times New Roman" w:eastAsia="Times New Roman"/>
                <w:sz w:val="19"/>
              </w:rPr>
              <w:t xml:space="preserve">; Keohane &amp; Nye</w:t>
            </w:r>
            <w:r>
              <w:rPr>
                <w:rFonts w:ascii="Times New Roman" w:hAnsi="Times New Roman" w:eastAsia="Times New Roman"/>
                <w:sz w:val="19"/>
              </w:rPr>
              <w:t xml:space="preserve"> </w:t>
            </w:r>
            <w:r>
              <w:rPr>
                <w:rFonts w:ascii="Times New Roman" w:hAnsi="Times New Roman" w:eastAsia="Times New Roman"/>
                <w:sz w:val="19"/>
              </w:rPr>
              <w:t xml:space="preserve">(1977)</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brent_annual_mean</w:t>
            </w:r>
            <w:r>
              <w:rPr>
                <w:rFonts w:ascii="Times New Roman" w:hAnsi="Times New Roman" w:eastAsia="Times New Roman"/>
                <w:sz w:val="19"/>
              </w:rPr>
              <w:t xml:space="preserve"> </w:t>
            </w:r>
            <w:r>
              <w:rPr>
                <w:rFonts w:ascii="Times New Roman" w:hAnsi="Times New Roman" w:eastAsia="Times New Roman"/>
                <w:sz w:val="19"/>
              </w:rPr>
              <w:t xml:space="preserve">(USD/bbl)</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Resource-curse / terms-of-trade channel: global commodity prices affect both export revenues and Chinese import demand; sign is theoretically ambiguous but expected positive via revenue channel</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Ambiguous</w:t>
            </w:r>
            <w:r>
              <w:rPr>
                <w:rFonts w:ascii="Times New Roman" w:hAnsi="Times New Roman" w:eastAsia="Times New Roman"/>
                <w:sz w:val="19"/>
              </w:rPr>
              <w:t xml:space="preserve"> </w:t>
            </w:r>
            <w:r>
              <w:rPr>
                <w:rFonts w:ascii="Times New Roman" w:hAnsi="Times New Roman" w:eastAsia="Times New Roman"/>
                <w:sz w:val="19"/>
              </w:rPr>
              <w:t xml:space="preserve">(positive via export revenue; potentially negative via Dutch disease crowding)</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Van der Ploeg</w:t>
            </w:r>
            <w:r>
              <w:rPr>
                <w:rFonts w:ascii="Times New Roman" w:hAnsi="Times New Roman" w:eastAsia="Times New Roman"/>
                <w:sz w:val="19"/>
              </w:rPr>
              <w:t xml:space="preserve"> </w:t>
            </w:r>
            <w:r>
              <w:rPr>
                <w:rFonts w:ascii="Times New Roman" w:hAnsi="Times New Roman" w:eastAsia="Times New Roman"/>
                <w:sz w:val="19"/>
              </w:rPr>
              <w:t xml:space="preserve">(2011)</w:t>
            </w:r>
            <w:r>
              <w:rPr>
                <w:rFonts w:ascii="Times New Roman" w:hAnsi="Times New Roman" w:eastAsia="Times New Roman"/>
                <w:sz w:val="19"/>
              </w:rPr>
              <w:t xml:space="preserve">; Corden &amp; Neary</w:t>
            </w:r>
            <w:r>
              <w:rPr>
                <w:rFonts w:ascii="Times New Roman" w:hAnsi="Times New Roman" w:eastAsia="Times New Roman"/>
                <w:sz w:val="19"/>
              </w:rPr>
              <w:t xml:space="preserve"> </w:t>
            </w:r>
            <w:r>
              <w:rPr>
                <w:rFonts w:ascii="Times New Roman" w:hAnsi="Times New Roman" w:eastAsia="Times New Roman"/>
                <w:sz w:val="19"/>
              </w:rPr>
              <w:t xml:space="preserve">(1982)</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kzt_usd</w:t>
            </w:r>
            <w:r>
              <w:rPr>
                <w:rFonts w:ascii="Times New Roman" w:hAnsi="Times New Roman" w:eastAsia="Times New Roman"/>
                <w:sz w:val="19"/>
              </w:rPr>
              <w:t xml:space="preserve"> </w:t>
            </w:r>
            <w:r>
              <w:rPr>
                <w:rFonts w:ascii="Times New Roman" w:hAnsi="Times New Roman" w:eastAsia="Times New Roman"/>
                <w:sz w:val="19"/>
              </w:rPr>
              <w:t xml:space="preserve">(tenge per USD)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Competitiveness channel: a weaker tenge (higher KZT/USD) makes Kazakh exports cheaper in dollar terms and Chinese imports more expensive, predicted to improve the bilateral balance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Positive</w:t>
            </w:r>
            <w:r>
              <w:rPr>
                <w:rFonts w:ascii="Times New Roman" w:hAnsi="Times New Roman" w:eastAsia="Times New Roman"/>
                <w:sz w:val="19"/>
              </w:rPr>
              <w:t xml:space="preserve"> </w:t>
            </w:r>
            <w:r>
              <w:rPr>
                <w:rFonts w:ascii="Times New Roman" w:hAnsi="Times New Roman" w:eastAsia="Times New Roman"/>
                <w:sz w:val="19"/>
              </w:rPr>
              <w:t xml:space="preserve">(depreciation improves balance via Marshall-Lerner)</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Standard open-economy macroeconomics; Bhagwati</w:t>
            </w:r>
            <w:r>
              <w:rPr>
                <w:rFonts w:ascii="Times New Roman" w:hAnsi="Times New Roman" w:eastAsia="Times New Roman"/>
                <w:sz w:val="19"/>
              </w:rPr>
              <w:t xml:space="preserve"> </w:t>
            </w:r>
            <w:r>
              <w:rPr>
                <w:rFonts w:ascii="Times New Roman" w:hAnsi="Times New Roman" w:eastAsia="Times New Roman"/>
                <w:sz w:val="19"/>
              </w:rPr>
              <w:t xml:space="preserve">(1958)</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log(KZ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Domestic income / absorption: higher Kazakh GDP increases import capacity; ambiguous net effect on bilateral balance;</w:t>
            </w:r>
            <w:r>
              <w:rPr>
                <w:rFonts w:ascii="Times New Roman" w:hAnsi="Times New Roman" w:eastAsia="Times New Roman"/>
                <w:sz w:val="19"/>
              </w:rPr>
              <w:t xml:space="preserve"> </w:t>
            </w:r>
            <w:r>
              <w:rPr>
                <w:rFonts w:ascii="Times New Roman" w:hAnsi="Times New Roman" w:eastAsia="Times New Roman"/>
                <w:b/>
                <w:bCs/>
                <w:sz w:val="19"/>
              </w:rPr>
              <w:t xml:space="preserve">severe multicollinearity (VIF &gt; 130)</w:t>
            </w:r>
            <w:r>
              <w:rPr>
                <w:rFonts w:ascii="Times New Roman" w:hAnsi="Times New Roman" w:eastAsia="Times New Roman"/>
                <w:sz w:val="19"/>
              </w:rPr>
              <w:t xml:space="preserve"> </w:t>
            </w:r>
            <w:r>
              <w:rPr>
                <w:rFonts w:ascii="Times New Roman" w:hAnsi="Times New Roman" w:eastAsia="Times New Roman"/>
                <w:sz w:val="19"/>
              </w:rPr>
              <w:t xml:space="preserve">renders this variable unreliable in levels — see §5 and Appendix B</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Ambiguous</w:t>
            </w:r>
            <w:r>
              <w:rPr>
                <w:rFonts w:ascii="Times New Roman" w:hAnsi="Times New Roman" w:eastAsia="Times New Roman"/>
                <w:sz w:val="19"/>
              </w:rPr>
              <w:t xml:space="preserve"> </w:t>
            </w:r>
            <w:r>
              <w:rPr>
                <w:rFonts w:ascii="Times New Roman" w:hAnsi="Times New Roman" w:eastAsia="Times New Roman"/>
                <w:sz w:val="19"/>
              </w:rPr>
              <w:t xml:space="preserve">(absorption vs. export-capacity effects)</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World Bank WDI; Anderson &amp; van Wincoop</w:t>
            </w:r>
            <w:r>
              <w:rPr>
                <w:rFonts w:ascii="Times New Roman" w:hAnsi="Times New Roman" w:eastAsia="Times New Roman"/>
                <w:sz w:val="19"/>
              </w:rPr>
              <w:t xml:space="preserve"> </w:t>
            </w:r>
            <w:r>
              <w:rPr>
                <w:rFonts w:ascii="Times New Roman" w:hAnsi="Times New Roman" w:eastAsia="Times New Roman"/>
                <w:sz w:val="19"/>
              </w:rPr>
              <w:t xml:space="preserve">(2003)</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log(CN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Foreign demand / gravity: higher Chinese GDP increases demand for Kazakh mineral exports (positive for balance) but also expands China’s manufactured-export capacity (negative for balance);</w:t>
            </w:r>
            <w:r>
              <w:rPr>
                <w:rFonts w:ascii="Times New Roman" w:hAnsi="Times New Roman" w:eastAsia="Times New Roman"/>
                <w:sz w:val="19"/>
              </w:rPr>
              <w:t xml:space="preserve"> </w:t>
            </w:r>
            <w:r>
              <w:rPr>
                <w:rFonts w:ascii="Times New Roman" w:hAnsi="Times New Roman" w:eastAsia="Times New Roman"/>
                <w:b/>
                <w:bCs/>
                <w:sz w:val="19"/>
              </w:rPr>
              <w:t xml:space="preserve">severe multicollinearity (VIF &gt; 236)</w:t>
            </w:r>
            <w:r>
              <w:rPr>
                <w:rFonts w:ascii="Times New Roman" w:hAnsi="Times New Roman" w:eastAsia="Times New Roman"/>
                <w:sz w:val="19"/>
              </w:rPr>
              <w:t xml:space="preserve"> </w:t>
            </w:r>
            <w:r>
              <w:rPr>
                <w:rFonts w:ascii="Times New Roman" w:hAnsi="Times New Roman" w:eastAsia="Times New Roman"/>
                <w:sz w:val="19"/>
              </w:rPr>
              <w:t xml:space="preserve">— see §5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Ambiguous</w:t>
            </w:r>
            <w:r>
              <w:rPr>
                <w:rFonts w:ascii="Times New Roman" w:hAnsi="Times New Roman" w:eastAsia="Times New Roman"/>
                <w:sz w:val="19"/>
              </w:rPr>
              <w:t xml:space="preserve"> </w:t>
            </w:r>
            <w:r>
              <w:rPr>
                <w:rFonts w:ascii="Times New Roman" w:hAnsi="Times New Roman" w:eastAsia="Times New Roman"/>
                <w:sz w:val="19"/>
              </w:rPr>
              <w:t xml:space="preserve">(demand effect positive; supply effect negative);</w:t>
            </w:r>
            <w:r>
              <w:rPr>
                <w:rFonts w:ascii="Times New Roman" w:hAnsi="Times New Roman" w:eastAsia="Times New Roman"/>
                <w:sz w:val="19"/>
              </w:rPr>
              <w:t xml:space="preserve"> </w:t>
            </w:r>
            <w:r>
              <w:rPr>
                <w:rFonts w:ascii="Times New Roman" w:hAnsi="Times New Roman" w:eastAsia="Times New Roman"/>
                <w:b/>
                <w:bCs/>
                <w:sz w:val="19"/>
              </w:rPr>
              <w:t xml:space="preserve">replaced by gravity ratio in preferred specification</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Anderson &amp; van Wincoop</w:t>
            </w:r>
            <w:r>
              <w:rPr>
                <w:rFonts w:ascii="Times New Roman" w:hAnsi="Times New Roman" w:eastAsia="Times New Roman"/>
                <w:sz w:val="19"/>
              </w:rPr>
              <w:t xml:space="preserve"> </w:t>
            </w:r>
            <w:r>
              <w:rPr>
                <w:rFonts w:ascii="Times New Roman" w:hAnsi="Times New Roman" w:eastAsia="Times New Roman"/>
                <w:sz w:val="19"/>
              </w:rPr>
              <w:t xml:space="preserve">(2003)</w:t>
            </w:r>
          </w:p>
        </w:tc>
      </w:tr>
      <w:tr>
        <w:tc>
          <w:tcPr>
            <w:vAlign w:val="center"/>
            <w:tcMar>
              <w:top w:w="90" w:type="dxa"/>
              <w:left w:w="90" w:type="dxa"/>
              <w:bottom w:w="90" w:type="dxa"/>
              <w:right w:w="90" w:type="dxa"/>
            </w:tcMar>
          </w:tcPr>
          <w:p>
            <w:pPr>
              <w:pStyle w:val="Compact"/>
              <w:spacing w:before="0" w:after="40" w:line="240" w:lineRule="auto"/>
              <w:jc w:val="left"/>
            </w:pPr>
            <w:r>
              <w:rPr>
                <w:rStyle w:val="VerbatimChar"/>
                <w:rFonts w:ascii="Times New Roman" w:hAnsi="Times New Roman" w:eastAsia="Times New Roman"/>
                <w:sz w:val="19"/>
              </w:rPr>
              <w:t xml:space="preserve">log(CN GDP / KZ GDP)</w:t>
            </w:r>
            <w:r>
              <w:rPr>
                <w:rFonts w:ascii="Times New Roman" w:hAnsi="Times New Roman" w:eastAsia="Times New Roman"/>
                <w:sz w:val="19"/>
              </w:rPr>
              <w:t xml:space="preserve"> </w:t>
            </w:r>
            <w:r>
              <w:rPr>
                <w:rFonts w:ascii="Times New Roman" w:hAnsi="Times New Roman" w:eastAsia="Times New Roman"/>
                <w:sz w:val="19"/>
              </w:rPr>
              <w:t xml:space="preserve">[preferred]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Gravity-motivated relative size: one parsimonious regressor captures the bilateral asymmetry in market size; a rising ratio (China grows faster) predicts worsening trade balance for Kazakhstan as import capacity grows relative to export earnings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Negative</w:t>
            </w:r>
            <w:r>
              <w:rPr>
                <w:rFonts w:ascii="Times New Roman" w:hAnsi="Times New Roman" w:eastAsia="Times New Roman"/>
                <w:sz w:val="19"/>
              </w:rPr>
              <w:t xml:space="preserve"> </w:t>
            </w:r>
            <w:r>
              <w:rPr>
                <w:rFonts w:ascii="Times New Roman" w:hAnsi="Times New Roman" w:eastAsia="Times New Roman"/>
                <w:sz w:val="19"/>
              </w:rPr>
              <w:t xml:space="preserve">(rising ratio = deeper asymmetry)</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Anderson &amp; van Wincoop</w:t>
            </w:r>
            <w:r>
              <w:rPr>
                <w:rFonts w:ascii="Times New Roman" w:hAnsi="Times New Roman" w:eastAsia="Times New Roman"/>
                <w:sz w:val="19"/>
              </w:rPr>
              <w:t xml:space="preserve"> </w:t>
            </w:r>
            <w:r>
              <w:rPr>
                <w:rFonts w:ascii="Times New Roman" w:hAnsi="Times New Roman" w:eastAsia="Times New Roman"/>
                <w:sz w:val="19"/>
              </w:rPr>
              <w:t xml:space="preserve">(2003)</w:t>
            </w:r>
            <w:r>
              <w:rPr>
                <w:rFonts w:ascii="Times New Roman" w:hAnsi="Times New Roman" w:eastAsia="Times New Roman"/>
                <w:sz w:val="19"/>
              </w:rPr>
              <w:t xml:space="preserve">; Item 4 revision</w:t>
            </w:r>
          </w:p>
        </w:tc>
      </w:tr>
    </w:tbl>
    <w:p>
      <w:pPr>
        <w:pStyle w:val="BodyText"/>
        <w:spacing w:line="240" w:lineRule="auto" w:after="80"/>
        <w:ind/>
        <w:jc w:val="left"/>
      </w:pPr>
      <w:r>
        <w:rPr>
          <w:i/>
          <w:iCs/>
          <w:sz w:val="20"/>
        </w:rPr>
        <w:t xml:space="preserve">Note: The gravity-ratio specification (</w:t>
      </w:r>
      <w:r>
        <w:rPr>
          <w:rStyle w:val="VerbatimChar"/>
          <w:i/>
          <w:iCs/>
          <w:sz w:val="20"/>
        </w:rPr>
        <w:t xml:space="preserve">log(CN GDP/KZ GDP)</w:t>
      </w:r>
      <w:r>
        <w:rPr>
          <w:i/>
          <w:iCs/>
          <w:sz w:val="20"/>
        </w:rPr>
        <w:t xml:space="preserve">) replaces GDP levels in the preferred model following multicollinearity diagnostics (§6.3) and following the midterm revision (§5.2). The GDP-levels specifications are retained in Appendix B for transparency.</w:t>
      </w:r>
    </w:p>
    <w:bookmarkEnd w:id="24"/>
    <w:bookmarkStart w:id="25" w:name="testable-hypotheses"/>
    <w:p>
      <w:pPr>
        <w:pStyle w:val="Heading2"/>
        <w:keepNext/>
      </w:pPr>
      <w:r>
        <w:t xml:space="preserve">3.5 Testable Hypotheses</w:t>
      </w:r>
    </w:p>
    <w:p>
      <w:pPr>
        <w:pStyle w:val="FirstParagraph"/>
        <w:ind w:firstLine="720"/>
        <w:jc w:val="both"/>
      </w:pPr>
      <w:r>
        <w:t xml:space="preserve">The asymmetric interdependence framework produces three testable hypotheses that correspond directly to the variable mapping above:</w:t>
      </w:r>
    </w:p>
    <w:p>
      <w:pPr>
        <w:pStyle w:val="BodyText"/>
        <w:ind w:firstLine="720"/>
        <w:jc w:val="both"/>
      </w:pPr>
      <w:r>
        <w:rPr>
          <w:b/>
          <w:bCs/>
        </w:rPr>
        <w:t xml:space="preserve">H1 (Trade-Balance Change):</w:t>
      </w:r>
      <w:r>
        <w:t xml:space="preserve"> </w:t>
      </w:r>
      <w:r>
        <w:t xml:space="preserve">The post-BRI period (2014–2023) is associated with a weaker bilateral trade-balance position for Kazakhstan relative to China, conditional on commodity and macroeconomic controls. Mechanism: Keohane–Nye sensitivity asymmetry — BRI infrastructure simultaneously facilitates Kazakh mineral exports and Chinese manufactured exports, but China’s diversified export basket grows faster than Kazakhstan’s concentrated mineral exports.</w:t>
      </w:r>
    </w:p>
    <w:p>
      <w:pPr>
        <w:pStyle w:val="BodyText"/>
        <w:ind w:firstLine="720"/>
        <w:jc w:val="both"/>
      </w:pPr>
      <w:r>
        <w:rPr>
          <w:b/>
          <w:bCs/>
        </w:rPr>
        <w:t xml:space="preserve">H2 (Mineral Export Payoff):</w:t>
      </w:r>
      <w:r>
        <w:t xml:space="preserve"> </w:t>
      </w:r>
      <w:r>
        <w:t xml:space="preserve">Higher strategic mineral exports are positively associated with Kazakhstan’s bilateral trade balance in the pre-BRI baseline period. Mechanism: Hirschman export-revenue channel — mineral exports generate foreign exchange that directly improves the bilateral balance before post-BRI import deepening takes hold.</w:t>
      </w:r>
    </w:p>
    <w:p>
      <w:pPr>
        <w:pStyle w:val="BodyText"/>
        <w:ind w:firstLine="720"/>
        <w:jc w:val="both"/>
      </w:pPr>
      <w:r>
        <w:rPr>
          <w:b/>
          <w:bCs/>
        </w:rPr>
        <w:t xml:space="preserve">H3 (Asymmetric Interaction):</w:t>
      </w:r>
      <w:r>
        <w:t xml:space="preserve"> </w:t>
      </w:r>
      <w:r>
        <w:t xml:space="preserve">The post-BRI × minerals interaction is negative, indicating that the trade-balance payoff of mineral exports weakened after BRI corridor deepening. Mechanism: asymmetric interdependence deepening — rising Chinese manufactured exports and the expansion of import-intensive infrastructure financing outpace the revenue gains from mineral exports, producing a deteriorating bilateral position despite export growth. A negative interaction is interpreted as diagnostic evidence consistent with Hirschman’s dependence mechanism, not as causal proof of a BRI effect.</w:t>
      </w:r>
    </w:p>
    <w:bookmarkEnd w:id="25"/>
    <w:bookmarkEnd w:id="26"/>
    <w:bookmarkStart w:id="42" w:name="data-and-variables"/>
    <w:p>
      <w:pPr>
        <w:pStyle w:val="Heading1"/>
        <w:keepNext/>
      </w:pPr>
      <w:r>
        <w:t xml:space="preserve">4. Data and Variables</w:t>
      </w:r>
    </w:p>
    <w:bookmarkStart w:id="27" w:name="data-sources-and-panel-construction"/>
    <w:p>
      <w:pPr>
        <w:pStyle w:val="Heading2"/>
        <w:keepNext/>
      </w:pPr>
      <w:r>
        <w:t xml:space="preserve">4.1 Data Sources and Panel Construction</w:t>
      </w:r>
    </w:p>
    <w:p>
      <w:pPr>
        <w:pStyle w:val="FirstParagraph"/>
        <w:ind w:firstLine="720"/>
        <w:jc w:val="both"/>
      </w:pPr>
      <w:r>
        <w:t xml:space="preserve">The analysis uses an annual Kazakhstan–China bilateral time-series dataset for 2000–2023 (</w:t>
      </w:r>
      <w:r>
        <w:rPr>
          <w:i/>
          <w:iCs/>
        </w:rPr>
        <w:t xml:space="preserve">n</w:t>
      </w:r>
      <w:r>
        <w:t xml:space="preserve"> </w:t>
      </w:r>
      <w:r>
        <w:t xml:space="preserve">= 24). Data sources include: (i) IMF Direction of Trade Statistics (DOTS) and UN Comtrade for bilateral exports and imports; (ii) UN Comtrade HS-2 and World Bank WITS for strategic mineral and ores/metals exports; (iii) World Bank WDI for GDP, exchange rates, and CPI; (iv) Federal Reserve Bank of St. Louis (FRED) for Brent crude oil prices and London Metal Exchange copper prices; (v) AidData for Chinese finance flows. The year 2024 is excluded because import data are unavailable, preventing trade-balance construction.</w:t>
      </w:r>
    </w:p>
    <w:p>
      <w:pPr>
        <w:pStyle w:val="BodyText"/>
        <w:jc w:val="both"/>
      </w:pPr>
      <w:r>
        <w:t xml:space="preserve">Table 4.1 consolidates all variables, their sources, coverage, and key limitations. Source consistency is analytically important in this thesis: the mineral export variable switches from a World Bank WITS aggregate (2000–2013) to UN Comtrade HS-2 specific codes (2014–2023), creating a measurement break that coincides with the post-BRI dummy. This break is discussed in detail in §4.3 and addressed by a WITS-consistent robustness specification in §6.6.</w:t>
      </w:r>
    </w:p>
    <w:p>
      <w:pPr>
        <w:pStyle w:val="BodyText"/>
        <w:jc w:val="both"/>
      </w:pPr>
      <w:r>
        <w:rPr>
          <w:b/>
          <w:bCs/>
        </w:rPr>
        <w:t xml:space="preserve">Table 4.1. Data Sources and Variable Construction</w:t>
      </w:r>
    </w:p>
    <w:tbl>
      <w:tblPr>
        <w:tblStyle w:val="Table"/>
        <w:tblW w:type="pct" w:w="5000"/>
        <w:jc w:val="center"/>
        <w:tblLayout w:type="autofit"/>
        <w:tblLook w:firstRow="1" w:lastRow="0" w:firstColumn="0" w:lastColumn="0" w:noHBand="0" w:noVBand="0" w:val="0020"/>
      </w:tblPr>
      <w:tblGrid>
        <w:gridCol w:w="2388"/>
        <w:gridCol w:w="1382"/>
        <w:gridCol w:w="1005"/>
        <w:gridCol w:w="1257"/>
        <w:gridCol w:w="1885"/>
      </w:tblGrid>
      <w:tr>
        <w:trPr>
          <w:tblHeader w:val="on"/>
        </w:trPr>
        <w:tc>
          <w:tcPr>
            <w:tcW w:type="dxa" w:w="1656"/>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Variable / Concept</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Definition</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Source</w:t>
            </w:r>
          </w:p>
        </w:tc>
        <w:tc>
          <w:tcPr>
            <w:tcW w:type="dxa" w:w="1224"/>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Coverage</w:t>
            </w:r>
          </w:p>
        </w:tc>
        <w:tc>
          <w:tcPr>
            <w:tcW w:type="dxa" w:w="3269"/>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Key Limitation</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Bilateral exports to China</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Kazakhstan’s total exports to China, FOB (USD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IMF DOTS; UN Comtrade (KAZ reporter)</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Mirror-data discrepancies; reconciled in</w:t>
            </w:r>
            <w:r>
              <w:rPr>
                <w:rFonts w:ascii="Times New Roman" w:hAnsi="Times New Roman" w:eastAsia="Times New Roman"/>
                <w:sz w:val="16"/>
              </w:rPr>
              <w:t xml:space="preserve"> </w:t>
            </w:r>
            <w:r>
              <w:rPr>
                <w:rStyle w:val="VerbatimChar"/>
                <w:rFonts w:ascii="Times New Roman" w:hAnsi="Times New Roman" w:eastAsia="Times New Roman"/>
                <w:sz w:val="16"/>
              </w:rPr>
              <w:t xml:space="preserve">Scripts/02_mirror_reconcile.py</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Bilateral imports from China</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Kazakhstan’s total imports from China, CIF (USD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IMF DOTS; UN Comtrade (KAZ reporter)</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CIF/FOB adjustment not applied; affects level, not trend</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Bilateral trade balance</w:t>
            </w:r>
          </w:p>
        </w:tc>
        <w:tc>
          <w:tcPr>
            <w:tcW w:type="dxa" w:w="1440"/>
            <w:vAlign w:val="center"/>
            <w:tcMar>
              <w:top w:w="90" w:type="dxa"/>
              <w:left w:w="90" w:type="dxa"/>
              <w:bottom w:w="90" w:type="dxa"/>
              <w:right w:w="90" w:type="dxa"/>
            </w:tcMar>
          </w:tcPr>
          <w:p>
            <w:pPr>
              <w:pStyle w:val="Compact"/>
              <w:spacing w:before="0" w:after="40" w:line="240" w:lineRule="auto"/>
              <w:jc w:val="center"/>
            </w:pPr>
            <m:oMath>
              <m:r>
                <m:t>T</m:t>
              </m:r>
              <m:sSub>
                <m:e>
                  <m:r>
                    <m:t>B</m:t>
                  </m:r>
                </m:e>
                <m:sub>
                  <m:r>
                    <m:t>t</m:t>
                  </m:r>
                </m:sub>
              </m:sSub>
              <m:r>
                <m:rPr>
                  <m:sty m:val="p"/>
                </m:rPr>
                <m:t>=</m:t>
              </m:r>
              <m:sSub>
                <m:e>
                  <m:r>
                    <m:t>X</m:t>
                  </m:r>
                </m:e>
                <m:sub>
                  <m:r>
                    <m:t>t</m:t>
                  </m:r>
                </m:sub>
              </m:sSub>
              <m:r>
                <m:rPr>
                  <m:sty m:val="p"/>
                </m:rPr>
                <m:t>−</m:t>
              </m:r>
              <m:sSub>
                <m:e>
                  <m:r>
                    <m:t>M</m:t>
                  </m:r>
                </m:e>
                <m:sub>
                  <m:r>
                    <m:t>t</m:t>
                  </m:r>
                </m:sub>
              </m:sSub>
            </m:oMath>
            <w:r>
              <w:rPr>
                <w:rFonts w:ascii="Times New Roman" w:hAnsi="Times New Roman" w:eastAsia="Times New Roman"/>
                <w:sz w:val="16"/>
              </w:rPr>
              <w:t xml:space="preserve"> </w:t>
            </w:r>
            <w:r>
              <w:rPr>
                <w:rFonts w:ascii="Times New Roman" w:hAnsi="Times New Roman" w:eastAsia="Times New Roman"/>
                <w:sz w:val="16"/>
              </w:rPr>
              <w:t xml:space="preserve">(USD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Derived</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Dependent on accuracy of both export and import series</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Strategic mineral exports (narrow)</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Uranium (HS 2612), copper (HS 7403), chromium (HS 2610), 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WITS Ores &amp; Metals proxy (2000–2013); Comtrade HS-2 (2014–2023)</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6"/>
              </w:rPr>
              <w:t xml:space="preserve">Measurement break at 2014</w:t>
            </w:r>
            <w:r>
              <w:rPr>
                <w:rFonts w:ascii="Times New Roman" w:hAnsi="Times New Roman" w:eastAsia="Times New Roman"/>
                <w:sz w:val="16"/>
              </w:rPr>
              <w:t xml:space="preserve"> </w:t>
            </w:r>
            <w:r>
              <w:rPr>
                <w:rFonts w:ascii="Times New Roman" w:hAnsi="Times New Roman" w:eastAsia="Times New Roman"/>
                <w:sz w:val="16"/>
              </w:rPr>
              <w:t xml:space="preserve">coincides with BRI dummy</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WITS ores and metals proxy</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Aggregate ores and metals exports from WITS, 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World Bank WITS</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Broader than target minerals; used for consistent-proxy robustness</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Brent crude price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Annual mean Brent spot price, USD/barrel</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FRED (St. Louis Fed)</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Controls global price conditions; does</w:t>
            </w:r>
            <w:r>
              <w:rPr>
                <w:rFonts w:ascii="Times New Roman" w:hAnsi="Times New Roman" w:eastAsia="Times New Roman"/>
                <w:sz w:val="16"/>
              </w:rPr>
              <w:t xml:space="preserve"> </w:t>
            </w:r>
            <w:r>
              <w:rPr>
                <w:rFonts w:ascii="Times New Roman" w:hAnsi="Times New Roman" w:eastAsia="Times New Roman"/>
                <w:b/>
                <w:bCs/>
                <w:sz w:val="16"/>
              </w:rPr>
              <w:t xml:space="preserve">not</w:t>
            </w:r>
            <w:r>
              <w:rPr>
                <w:rFonts w:ascii="Times New Roman" w:hAnsi="Times New Roman" w:eastAsia="Times New Roman"/>
                <w:sz w:val="16"/>
              </w:rPr>
              <w:t xml:space="preserve"> </w:t>
            </w:r>
            <w:r>
              <w:rPr>
                <w:rFonts w:ascii="Times New Roman" w:hAnsi="Times New Roman" w:eastAsia="Times New Roman"/>
                <w:sz w:val="16"/>
              </w:rPr>
              <w:t xml:space="preserve">proxy bilateral oil volume</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KZT/USD exchange rate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Kazakh tenge per US dollar, annual average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World Bank WDI</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Annual average; within-year volatility not captured</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log Kazakhstan GDP</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Log real GDP, constant 2015 USD</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World Bank WDI</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VIF &gt; 130 in full model; excluded from parsimonious specification</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log China GDP</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Log real GDP, constant 2015 USD</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World Bank WDI</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VIF &gt; 236 in full model; excluded from parsimonious specification</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Post-BRI dummy</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 for 2014–2023, =0 for 2000–2013</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Author-constructed</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Period indicator only; coincides with oil shock, tenge devaluation, COVID-19</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Bilateral oil/energy exports</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KAZ→CHN HS 2709/2710/2711/2701 exports, 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Not available</w:t>
            </w:r>
            <w:r>
              <w:rPr>
                <w:rFonts w:ascii="Times New Roman" w:hAnsi="Times New Roman" w:eastAsia="Times New Roman"/>
                <w:sz w:val="16"/>
              </w:rPr>
              <w:t xml:space="preserve"> </w:t>
            </w:r>
            <w:r>
              <w:rPr>
                <w:rFonts w:ascii="Times New Roman" w:hAnsi="Times New Roman" w:eastAsia="Times New Roman"/>
                <w:sz w:val="16"/>
              </w:rPr>
              <w:t xml:space="preserve">in current dataset</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Major omitted variable; future research should use Comtrade HS-27 pull</w:t>
            </w:r>
          </w:p>
        </w:tc>
      </w:tr>
    </w:tbl>
    <w:p>
      <w:pPr>
        <w:pStyle w:val="BodyText"/>
        <w:spacing w:line="240" w:lineRule="auto" w:after="80"/>
        <w:ind/>
        <w:jc w:val="left"/>
      </w:pPr>
      <w:r>
        <w:rPr>
          <w:i/>
          <w:iCs/>
          <w:sz w:val="20"/>
        </w:rPr>
        <w:t xml:space="preserve">Source: Author’s compilation. See</w:t>
      </w:r>
      <w:r>
        <w:rPr>
          <w:i/>
          <w:iCs/>
          <w:sz w:val="20"/>
        </w:rPr>
        <w:t xml:space="preserve"> </w:t>
      </w:r>
      <w:r>
        <w:rPr>
          <w:rStyle w:val="VerbatimChar"/>
          <w:i/>
          <w:iCs/>
          <w:sz w:val="20"/>
        </w:rPr>
        <w:t xml:space="preserve">Codebook.md</w:t>
      </w:r>
      <w:r>
        <w:rPr>
          <w:i/>
          <w:iCs/>
          <w:sz w:val="20"/>
        </w:rPr>
        <w:t xml:space="preserve"> </w:t>
      </w:r>
      <w:r>
        <w:rPr>
          <w:i/>
          <w:iCs/>
          <w:sz w:val="20"/>
        </w:rPr>
        <w:t xml:space="preserve">and</w:t>
      </w:r>
      <w:r>
        <w:rPr>
          <w:i/>
          <w:iCs/>
          <w:sz w:val="20"/>
        </w:rPr>
        <w:t xml:space="preserve"> </w:t>
      </w:r>
      <w:r>
        <w:rPr>
          <w:rStyle w:val="VerbatimChar"/>
          <w:i/>
          <w:iCs/>
          <w:sz w:val="20"/>
        </w:rPr>
        <w:t xml:space="preserve">Collected_Raw_Data/data_dictionary.md</w:t>
      </w:r>
      <w:r>
        <w:rPr>
          <w:i/>
          <w:iCs/>
          <w:sz w:val="20"/>
        </w:rPr>
        <w:t xml:space="preserve"> </w:t>
      </w:r>
      <w:r>
        <w:rPr>
          <w:i/>
          <w:iCs/>
          <w:sz w:val="20"/>
        </w:rPr>
        <w:t xml:space="preserve">for full variable definitions.</w:t>
      </w:r>
    </w:p>
    <w:bookmarkEnd w:id="27"/>
    <w:bookmarkStart w:id="28" w:name="variable-definitions"/>
    <w:p>
      <w:pPr>
        <w:pStyle w:val="Heading2"/>
        <w:keepNext/>
      </w:pPr>
      <w:r>
        <w:t xml:space="preserve">4.2 Variable Definitions</w:t>
      </w:r>
    </w:p>
    <w:p>
      <w:pPr>
        <w:pStyle w:val="FirstParagraph"/>
        <w:ind w:firstLine="720"/>
        <w:jc w:val="both"/>
      </w:pPr>
      <w:r>
        <w:rPr>
          <w:b/>
          <w:bCs/>
        </w:rPr>
        <w:t xml:space="preserve">Dependent variable:</w:t>
      </w:r>
      <w:r>
        <w:t xml:space="preserve"> </w:t>
      </w:r>
      <w:r>
        <w:t xml:space="preserve">Kazakhstan’s bilateral trade balance with China in current USD billions:</w:t>
      </w:r>
      <w:r>
        <w:t xml:space="preserve"> </w:t>
      </w:r>
      <m:oMath>
        <m:r>
          <m:t>T</m:t>
        </m:r>
        <m:sSub>
          <m:e>
            <m:r>
              <m:t>B</m:t>
            </m:r>
          </m:e>
          <m:sub>
            <m:r>
              <m:t>t</m:t>
            </m:r>
          </m:sub>
        </m:sSub>
        <m:r>
          <m:rPr>
            <m:sty m:val="p"/>
          </m:rPr>
          <m:t>=</m:t>
        </m:r>
        <m:sSub>
          <m:e>
            <m:r>
              <m:t>X</m:t>
            </m:r>
          </m:e>
          <m:sub>
            <m:r>
              <m:t>t</m:t>
            </m:r>
          </m:sub>
        </m:sSub>
        <m:r>
          <m:rPr>
            <m:sty m:val="p"/>
          </m:rPr>
          <m:t>−</m:t>
        </m:r>
        <m:sSub>
          <m:e>
            <m:r>
              <m:t>M</m:t>
            </m:r>
          </m:e>
          <m:sub>
            <m:r>
              <m:t>t</m:t>
            </m:r>
          </m:sub>
        </m:sSub>
      </m:oMath>
      <w:r>
        <w:t xml:space="preserve">.</w:t>
      </w:r>
    </w:p>
    <w:p>
      <w:pPr>
        <w:pStyle w:val="BodyText"/>
        <w:ind w:firstLine="720"/>
        <w:jc w:val="both"/>
      </w:pPr>
      <w:r>
        <w:rPr>
          <w:b/>
          <w:bCs/>
        </w:rPr>
        <w:t xml:space="preserve">Key explanatory variables:</w:t>
      </w:r>
      <w:r>
        <w:t xml:space="preserve"> </w:t>
      </w:r>
      <w:r>
        <w:t xml:space="preserve">-</w:t>
      </w:r>
      <w:r>
        <w:t xml:space="preserve"> </w:t>
      </w:r>
      <w:r>
        <w:rPr>
          <w:i/>
          <w:iCs/>
        </w:rPr>
        <w:t xml:space="preserve">minerals_narrow_B</w:t>
      </w:r>
      <w:r>
        <w:t xml:space="preserve">: Strategic mineral exports (uranium, copper, chromium) in USD billions.</w:t>
      </w:r>
      <w:r>
        <w:t xml:space="preserve"> </w:t>
      </w:r>
      <w:r>
        <w:t xml:space="preserve">-</w:t>
      </w:r>
      <w:r>
        <w:t xml:space="preserve"> </w:t>
      </w:r>
      <w:r>
        <w:rPr>
          <w:i/>
          <w:iCs/>
        </w:rPr>
        <w:t xml:space="preserve">post_bri_2013</w:t>
      </w:r>
      <w:r>
        <w:t xml:space="preserve">: Binary indicator equal to 1 for 2014–2023 (BRI announced September 2013).</w:t>
      </w:r>
      <w:r>
        <w:t xml:space="preserve"> </w:t>
      </w:r>
      <w:r>
        <w:t xml:space="preserve">-</w:t>
      </w:r>
      <w:r>
        <w:t xml:space="preserve"> </w:t>
      </w:r>
      <w:r>
        <w:rPr>
          <w:i/>
          <w:iCs/>
        </w:rPr>
        <w:t xml:space="preserve">post_bri_x_minerals</w:t>
      </w:r>
      <w:r>
        <w:t xml:space="preserve">: Interaction term: post_bri_2013 × minerals_narrow_B.</w:t>
      </w:r>
    </w:p>
    <w:p>
      <w:pPr>
        <w:pStyle w:val="BodyText"/>
        <w:ind w:firstLine="720"/>
        <w:jc w:val="both"/>
      </w:pPr>
      <w:r>
        <w:rPr>
          <w:b/>
          <w:bCs/>
        </w:rPr>
        <w:t xml:space="preserve">Controls:</w:t>
      </w:r>
      <w:r>
        <w:t xml:space="preserve"> </w:t>
      </w:r>
      <w:r>
        <w:t xml:space="preserve">Brent crude oil price (USD/bbl), KZT/USD exchange rate, log Kazakhstan GDP (constant 2015 USD), log China GDP (constant 2015 USD).</w:t>
      </w:r>
    </w:p>
    <w:bookmarkEnd w:id="28"/>
    <w:bookmarkStart w:id="29" w:name="measurement-break-in-mineral-data"/>
    <w:p>
      <w:pPr>
        <w:pStyle w:val="Heading2"/>
        <w:keepNext/>
      </w:pPr>
      <w:r>
        <w:t xml:space="preserve">4.3 Measurement Break in Mineral Data</w:t>
      </w:r>
    </w:p>
    <w:p>
      <w:pPr>
        <w:pStyle w:val="FirstParagraph"/>
        <w:ind w:firstLine="720"/>
        <w:jc w:val="both"/>
      </w:pPr>
      <w:r>
        <w:t xml:space="preserve">A critical limitation concerns the mineral export variable. For 2000–2013, the narrow minerals series is constructed from WITS Ores and Metals exports as a proxy, because HS-6 level Comtrade data for specific mineral categories are not available for the full pre-2014 period. For 2014–2023, the series uses HS-2 level Comtrade data for uranium (HS 2612), copper (HS 7403), and chromium (HS 2610). This creates a measurement break at 2014 that changes the source and definition of the variable. This is analytically dangerous because it coincides precisely with the post-BRI dummy.</w:t>
      </w:r>
    </w:p>
    <w:p>
      <w:pPr>
        <w:pStyle w:val="BodyText"/>
        <w:jc w:val="both"/>
      </w:pPr>
      <w:r>
        <w:rPr>
          <w:b/>
          <w:bCs/>
        </w:rPr>
        <w:t xml:space="preserve">Table 4.4. Mineral Variable Measurement by Period</w:t>
      </w:r>
    </w:p>
    <w:tbl>
      <w:tblPr>
        <w:tblStyle w:val="Table"/>
        <w:tblW w:type="pct" w:w="5000"/>
        <w:jc w:val="center"/>
        <w:tblLayout w:type="autofit"/>
        <w:tblLook w:firstRow="1" w:lastRow="0" w:firstColumn="0" w:lastColumn="0" w:noHBand="0" w:noVBand="0" w:val="0020"/>
      </w:tblPr>
      <w:tblGrid>
        <w:gridCol w:w="1712"/>
        <w:gridCol w:w="1712"/>
        <w:gridCol w:w="2354"/>
        <w:gridCol w:w="214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Period</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Source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Definition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Coverage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2000–2013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WITS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Ores and Metals aggregate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Broader than target</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2014–2023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Comtrade HS-2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U + Cu + Cr specific codes</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Narrower, targeted</w:t>
            </w:r>
          </w:p>
        </w:tc>
      </w:tr>
    </w:tbl>
    <w:p>
      <w:pPr>
        <w:pStyle w:val="BodyText"/>
        <w:ind w:firstLine="720"/>
        <w:jc w:val="both"/>
      </w:pPr>
      <w:r>
        <w:t xml:space="preserve">This break means that the post-BRI structural break detected in regression could partly reflect measurement-source switching rather than genuine economic change. Consequently, researchers must avoid overclaiming from the narrow mineral variable alone. A robustness check using the WITS Ores and Metals series consistently for the full 2000–2023 period (Section 6.6) is therefore essential, not optional, for validating the findings.</w:t>
      </w:r>
    </w:p>
    <w:bookmarkEnd w:id="29"/>
    <w:bookmarkStart w:id="30" w:name="b-data-validation-via-web-scraping"/>
    <w:p>
      <w:pPr>
        <w:pStyle w:val="Heading2"/>
        <w:keepNext/>
      </w:pPr>
      <w:r>
        <w:t xml:space="preserve">4.3b Data Validation via Web Scraping</w:t>
      </w:r>
    </w:p>
    <w:p>
      <w:pPr>
        <w:pStyle w:val="FirstParagraph"/>
        <w:ind w:firstLine="720"/>
        <w:jc w:val="both"/>
      </w:pPr>
      <w:r>
        <w:t xml:space="preserve">To validate the accuracy of the IMF DOTS / Comtrade trade figures used in this thesis, a cross-validation was conducted using data independently scraped from Kazakhstan’s Bureau of National Statistics (</w:t>
      </w:r>
      <w:r>
        <w:rPr>
          <w:rStyle w:val="VerbatimChar"/>
        </w:rPr>
        <w:t xml:space="preserve">stat.gov.kz</w:t>
      </w:r>
      <w:r>
        <w:t xml:space="preserve">). The scraping script is at</w:t>
      </w:r>
      <w:r>
        <w:t xml:space="preserve"> </w:t>
      </w:r>
      <w:r>
        <w:rPr>
          <w:rStyle w:val="VerbatimChar"/>
        </w:rPr>
        <w:t xml:space="preserve">Scripts/04_scrape_stat_gov_kz.py</w:t>
      </w:r>
      <w:r>
        <w:t xml:space="preserve">.</w:t>
      </w:r>
    </w:p>
    <w:p>
      <w:pPr>
        <w:pStyle w:val="BodyText"/>
        <w:ind w:firstLine="720"/>
        <w:jc w:val="both"/>
      </w:pPr>
      <w:r>
        <w:rPr>
          <w:b/>
          <w:bCs/>
        </w:rPr>
        <w:t xml:space="preserve">Method.</w:t>
      </w:r>
      <w:r>
        <w:t xml:space="preserve"> </w:t>
      </w:r>
      <w:r>
        <w:t xml:space="preserve">The Bureau publishes annual foreign trade summaries (</w:t>
      </w:r>
      <w:r>
        <w:t xml:space="preserve">“Foreign trade turnover of the Republic of Kazakhstan, January-December [year]”</w:t>
      </w:r>
      <w:r>
        <w:t xml:space="preserve">) as HTML pages at</w:t>
      </w:r>
      <w:r>
        <w:t xml:space="preserve"> </w:t>
      </w:r>
      <w:r>
        <w:rPr>
          <w:rStyle w:val="VerbatimChar"/>
        </w:rPr>
        <w:t xml:space="preserve">http://www.stat.gov.kz/en/industries/economy/foreign-market/</w:t>
      </w:r>
      <w:r>
        <w:t xml:space="preserve">. Each publication reports: (i) Kazakhstan’s total exports and imports in USD millions, and (ii) China’s percentage share of both exports and imports. These shares allow computation of implied bilateral Kazakhstan-China trade values, which can then be compared to the WITS/Comtrade figures in the analytical panel. The script uses</w:t>
      </w:r>
      <w:r>
        <w:t xml:space="preserve"> </w:t>
      </w:r>
      <w:r>
        <w:rPr>
          <w:rStyle w:val="VerbatimChar"/>
        </w:rPr>
        <w:t xml:space="preserve">requests</w:t>
      </w:r>
      <w:r>
        <w:t xml:space="preserve"> </w:t>
      </w:r>
      <w:r>
        <w:t xml:space="preserve">+</w:t>
      </w:r>
      <w:r>
        <w:t xml:space="preserve"> </w:t>
      </w:r>
      <w:r>
        <w:rPr>
          <w:rStyle w:val="VerbatimChar"/>
        </w:rPr>
        <w:t xml:space="preserve">BeautifulSoup</w:t>
      </w:r>
      <w:r>
        <w:t xml:space="preserve">, caches all scraped HTML to</w:t>
      </w:r>
      <w:r>
        <w:t xml:space="preserve"> </w:t>
      </w:r>
      <w:r>
        <w:rPr>
          <w:rStyle w:val="VerbatimChar"/>
        </w:rPr>
        <w:t xml:space="preserve">Collected_Raw_Data/scraped_cache/</w:t>
      </w:r>
      <w:r>
        <w:t xml:space="preserve"> </w:t>
      </w:r>
      <w:r>
        <w:t xml:space="preserve">(idempotent execution), uses a 1-second delay between requests, and identifies itself with an academic User-Agent string.</w:t>
      </w:r>
    </w:p>
    <w:p>
      <w:pPr>
        <w:pStyle w:val="BodyText"/>
        <w:ind w:firstLine="720"/>
        <w:jc w:val="both"/>
      </w:pPr>
      <w:r>
        <w:rPr>
          <w:b/>
          <w:bCs/>
        </w:rPr>
        <w:t xml:space="preserve">Cross-validation results.</w:t>
      </w:r>
      <w:r>
        <w:t xml:space="preserve"> </w:t>
      </w:r>
      <w:r>
        <w:t xml:space="preserve">The Bureau’s 2023 and 2024 annual publications yield bilateral values that are internally consistent with the panel data:</w:t>
      </w:r>
    </w:p>
    <w:p>
      <w:pPr>
        <w:pStyle w:val="BodyText"/>
        <w:jc w:val="both"/>
      </w:pPr>
      <w:r>
        <w:rPr>
          <w:b/>
          <w:bCs/>
        </w:rPr>
        <w:t xml:space="preserve">Table 4.5. Web-Scraped Cross-Validation: Kazakhstan–China Bilateral Trade</w:t>
      </w:r>
    </w:p>
    <w:tbl>
      <w:tblPr>
        <w:tblStyle w:val="Table"/>
        <w:tblW w:type="pct" w:w="5000"/>
        <w:jc w:val="center"/>
        <w:tblLayout w:type="autofit"/>
        <w:tblLook w:firstRow="1" w:lastRow="0" w:firstColumn="0" w:lastColumn="0" w:noHBand="0" w:noVBand="0" w:val="0020"/>
      </w:tblPr>
      <w:tblGrid>
        <w:gridCol w:w="365"/>
        <w:gridCol w:w="1401"/>
        <w:gridCol w:w="1583"/>
        <w:gridCol w:w="791"/>
        <w:gridCol w:w="1401"/>
        <w:gridCol w:w="1583"/>
        <w:gridCol w:w="791"/>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Year</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Panel exports (USD bn)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Scraped exports (USD bn)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Discrepancy</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Panel imports (USD bn)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Scraped imports (USD bn)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Discrepancy</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14.759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14.712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0.3%</w:t>
            </w:r>
            <w:r>
              <w:rPr>
                <w:rFonts w:ascii="Times New Roman" w:hAnsi="Times New Roman" w:eastAsia="Times New Roman"/>
                <w:sz w:val="16"/>
              </w:rPr>
              <w:t xml:space="preserve"> </w:t>
            </w: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16.772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16.758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6"/>
              </w:rPr>
              <w:t xml:space="preserve">0.1%</w:t>
            </w:r>
            <w:r>
              <w:rPr>
                <w:rFonts w:ascii="Times New Roman" w:hAnsi="Times New Roman" w:eastAsia="Times New Roman"/>
                <w:sz w:val="16"/>
              </w:rPr>
              <w:t xml:space="preserve"> </w:t>
            </w:r>
            <w:r>
              <w:rPr>
                <w:rFonts w:ascii="Times New Roman" w:hAnsi="Times New Roman" w:eastAsia="Times New Roman"/>
                <w:sz w:val="16"/>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14.897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14.936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0.3%</w:t>
            </w:r>
            <w:r>
              <w:rPr>
                <w:rFonts w:ascii="Times New Roman" w:hAnsi="Times New Roman" w:eastAsia="Times New Roman"/>
                <w:sz w:val="16"/>
              </w:rPr>
              <w:t xml:space="preserve"> </w:t>
            </w: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Scripts/04_scrape_stat_gov_kz.py</w:t>
      </w:r>
      <w:r>
        <w:rPr>
          <w:i/>
          <w:iCs/>
          <w:sz w:val="20"/>
        </w:rPr>
        <w:t xml:space="preserve">. Scraped from Bureau of National Statistics (stat.gov.kz). Panel data from IMF DOTS / UN Comtrade. Discrepancy computed as |panel − scraped| / scraped × 100%.</w:t>
      </w:r>
    </w:p>
    <w:p>
      <w:pPr>
        <w:pStyle w:val="BodyText"/>
        <w:ind w:firstLine="720"/>
        <w:jc w:val="both"/>
      </w:pPr>
      <w:r>
        <w:t xml:space="preserve">All discrepancies are below 0.5% — well within the &lt; 10% threshold for validation support. This confirms that the trade values used in the analytical panel are consistent with Kazakhstan’s national statistical authority’s official figures. The 2023 import figure (USD 16.772 billion in the panel vs. USD 16.758 billion scraped, a difference of USD 14 million on a USD 16.8 billion total) is the most important validation given that 2023 is the most influential observation in the regression analysis.</w:t>
      </w:r>
    </w:p>
    <w:bookmarkEnd w:id="30"/>
    <w:bookmarkStart w:id="40" w:name="X05c1fb1c8c602400de8894489ddedb36501cd2f"/>
    <w:p>
      <w:pPr>
        <w:pStyle w:val="Heading2"/>
        <w:keepNext/>
      </w:pPr>
      <w:r>
        <w:t xml:space="preserve">4.4 Descriptive Statistics and Trade Balance Decomposition</w:t>
      </w:r>
    </w:p>
    <w:p>
      <w:pPr>
        <w:pStyle w:val="FirstParagraph"/>
        <w:jc w:val="both"/>
      </w:pPr>
      <w:r>
        <w:t xml:space="preserve">Table 4.2 presents the summary statistics for the 24-year annual sample. The trade balance ranges from a deficit of USD 2.01 billion to a surplus of USD 11.27 billion, with high variability in both the trade balance and strategic mineral exports. This small sample size underscores the need for rigorous diagnostics, as inference may be sensitive to individual years.</w:t>
      </w:r>
    </w:p>
    <w:p>
      <w:pPr>
        <w:pStyle w:val="BodyText"/>
        <w:jc w:val="both"/>
      </w:pPr>
      <w:r>
        <w:rPr>
          <w:b/>
          <w:bCs/>
        </w:rPr>
        <w:t xml:space="preserve">Table 4.2. Descriptive Statistics of Main Variables</w:t>
      </w:r>
    </w:p>
    <w:tbl>
      <w:tblPr>
        <w:tblStyle w:val="Table"/>
        <w:tblW w:type="pct" w:w="5000"/>
        <w:jc w:val="center"/>
        <w:tblLayout w:type="autofit"/>
        <w:tblLook w:firstRow="1" w:lastRow="0" w:firstColumn="0" w:lastColumn="0" w:noHBand="0" w:noVBand="0" w:val="0020"/>
      </w:tblPr>
      <w:tblGrid>
        <w:gridCol w:w="2140"/>
        <w:gridCol w:w="642"/>
        <w:gridCol w:w="1284"/>
        <w:gridCol w:w="1712"/>
        <w:gridCol w:w="1070"/>
        <w:gridCol w:w="107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Mean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Median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Min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Max</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Exports to China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6.957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6.098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0.647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16.484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Imports from China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4.137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3.620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0.151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16.772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Trade balance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2.820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1.441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−2.014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11.270</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Ores and metals exports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2.268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2.114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0.048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6.039</w:t>
            </w:r>
          </w:p>
        </w:tc>
      </w:tr>
    </w:tbl>
    <w:p>
      <w:pPr>
        <w:pStyle w:val="BodyText"/>
        <w:spacing w:line="240" w:lineRule="auto" w:after="80"/>
        <w:ind/>
        <w:jc w:val="left"/>
      </w:pPr>
      <w:r>
        <w:rPr>
          <w:i/>
          <w:iCs/>
          <w:sz w:val="20"/>
        </w:rPr>
        <w:t xml:space="preserve">Source: Author’s calculations.</w:t>
      </w:r>
    </w:p>
    <w:p>
      <w:pPr>
        <w:pStyle w:val="BodyText"/>
        <w:spacing w:line="240" w:lineRule="auto" w:after="80"/>
        <w:ind/>
        <w:jc w:val="left"/>
      </w:pPr>
      <w:r>
        <w:rPr>
          <w:sz w:val="20"/>
        </w:rPr>
        <w:drawing>
          <wp:inline>
            <wp:extent cx="5257800" cy="2913378"/>
            <wp:effectExtent b="0" l="0" r="0" t="0"/>
            <wp:docPr descr="Figure 1. Kazakhstan Exports to China vs Imports from China (2000–2023)" title="" id="32" name="Picture"/>
            <a:graphic>
              <a:graphicData uri="http://schemas.openxmlformats.org/drawingml/2006/picture">
                <pic:pic>
                  <pic:nvPicPr>
                    <pic:cNvPr descr="../Outputs/generated_figures/fig_1_exports_imports.png" id="33" name="Picture"/>
                    <pic:cNvPicPr>
                      <a:picLocks noChangeArrowheads="1" noChangeAspect="1"/>
                    </pic:cNvPicPr>
                  </pic:nvPicPr>
                  <pic:blipFill>
                    <a:blip r:embed="rId31"/>
                    <a:stretch>
                      <a:fillRect/>
                    </a:stretch>
                  </pic:blipFill>
                  <pic:spPr bwMode="auto">
                    <a:xfrm>
                      <a:off x="0" y="0"/>
                      <a:ext cx="5257800" cy="2913378"/>
                    </a:xfrm>
                    <a:prstGeom prst="rect">
                      <a:avLst/>
                    </a:prstGeom>
                    <a:noFill/>
                    <a:ln w="9525">
                      <a:noFill/>
                      <a:headEnd/>
                      <a:tailEnd/>
                    </a:ln>
                  </pic:spPr>
                </pic:pic>
              </a:graphicData>
            </a:graphic>
          </wp:inline>
        </w:drawing>
      </w:r>
      <w:r>
        <w:rPr>
          <w:sz w:val="20"/>
        </w:rPr>
        <w:t xml:space="preserve"> </w:t>
      </w:r>
      <w:r>
        <w:rPr>
          <w:i/>
          <w:iCs/>
          <w:sz w:val="20"/>
        </w:rPr>
        <w:t xml:space="preserve">Source: Author’s construction based on IMF DOTS and UN Comtrade. Figure 1 shows the steady rise of exports punctuated by volatility, while imports from China show a dramatic acceleration in recent years.</w:t>
      </w:r>
    </w:p>
    <w:p>
      <w:pPr>
        <w:pStyle w:val="BodyText"/>
        <w:spacing w:line="240" w:lineRule="auto" w:after="80"/>
        <w:ind/>
        <w:jc w:val="left"/>
      </w:pPr>
      <w:r>
        <w:rPr>
          <w:sz w:val="20"/>
        </w:rPr>
        <w:drawing>
          <wp:inline>
            <wp:extent cx="5257800" cy="2951890"/>
            <wp:effectExtent b="0" l="0" r="0" t="0"/>
            <wp:docPr descr="Figure 2. Kazakhstan–China Bilateral Trade Balance (2000–2023)" title="" id="35" name="Picture"/>
            <a:graphic>
              <a:graphicData uri="http://schemas.openxmlformats.org/drawingml/2006/picture">
                <pic:pic>
                  <pic:nvPicPr>
                    <pic:cNvPr descr="../Outputs/generated_figures/fig_2_trade_balance.png" id="36" name="Picture"/>
                    <pic:cNvPicPr>
                      <a:picLocks noChangeArrowheads="1" noChangeAspect="1"/>
                    </pic:cNvPicPr>
                  </pic:nvPicPr>
                  <pic:blipFill>
                    <a:blip r:embed="rId34"/>
                    <a:stretch>
                      <a:fillRect/>
                    </a:stretch>
                  </pic:blipFill>
                  <pic:spPr bwMode="auto">
                    <a:xfrm>
                      <a:off x="0" y="0"/>
                      <a:ext cx="5257800" cy="2951890"/>
                    </a:xfrm>
                    <a:prstGeom prst="rect">
                      <a:avLst/>
                    </a:prstGeom>
                    <a:noFill/>
                    <a:ln w="9525">
                      <a:noFill/>
                      <a:headEnd/>
                      <a:tailEnd/>
                    </a:ln>
                  </pic:spPr>
                </pic:pic>
              </a:graphicData>
            </a:graphic>
          </wp:inline>
        </w:drawing>
      </w:r>
      <w:r>
        <w:rPr>
          <w:sz w:val="20"/>
        </w:rPr>
        <w:t xml:space="preserve"> </w:t>
      </w:r>
      <w:r>
        <w:rPr>
          <w:i/>
          <w:iCs/>
          <w:sz w:val="20"/>
        </w:rPr>
        <w:t xml:space="preserve">Source: Author’s construction. Figure 2 highlights the structural decline in the bilateral surplus following the 2013 BRI announcement, culminating in the 2023 deficit.</w:t>
      </w:r>
    </w:p>
    <w:p>
      <w:pPr>
        <w:pStyle w:val="BodyText"/>
        <w:spacing w:line="240" w:lineRule="auto" w:after="80"/>
        <w:ind/>
        <w:jc w:val="left"/>
      </w:pPr>
      <w:r>
        <w:rPr>
          <w:sz w:val="20"/>
        </w:rPr>
        <w:drawing>
          <wp:inline>
            <wp:extent cx="5257800" cy="3000307"/>
            <wp:effectExtent b="0" l="0" r="0" t="0"/>
            <wp:docPr descr="Figure 3. Strategic Mineral Exports to China (2000–2023)" title="" id="38" name="Picture"/>
            <a:graphic>
              <a:graphicData uri="http://schemas.openxmlformats.org/drawingml/2006/picture">
                <pic:pic>
                  <pic:nvPicPr>
                    <pic:cNvPr descr="../Outputs/generated_figures/fig_3_minerals.png" id="39" name="Picture"/>
                    <pic:cNvPicPr>
                      <a:picLocks noChangeArrowheads="1" noChangeAspect="1"/>
                    </pic:cNvPicPr>
                  </pic:nvPicPr>
                  <pic:blipFill>
                    <a:blip r:embed="rId37"/>
                    <a:stretch>
                      <a:fillRect/>
                    </a:stretch>
                  </pic:blipFill>
                  <pic:spPr bwMode="auto">
                    <a:xfrm>
                      <a:off x="0" y="0"/>
                      <a:ext cx="5257800" cy="3000307"/>
                    </a:xfrm>
                    <a:prstGeom prst="rect">
                      <a:avLst/>
                    </a:prstGeom>
                    <a:noFill/>
                    <a:ln w="9525">
                      <a:noFill/>
                      <a:headEnd/>
                      <a:tailEnd/>
                    </a:ln>
                  </pic:spPr>
                </pic:pic>
              </a:graphicData>
            </a:graphic>
          </wp:inline>
        </w:drawing>
      </w:r>
      <w:r>
        <w:rPr>
          <w:sz w:val="20"/>
        </w:rPr>
        <w:t xml:space="preserve"> </w:t>
      </w:r>
      <w:r>
        <w:rPr>
          <w:i/>
          <w:iCs/>
          <w:sz w:val="20"/>
        </w:rPr>
        <w:t xml:space="preserve">Source: Author’s construction. Figure 3 traces the growth of mineral exports, illustrating the measurement source transition at 2014.</w:t>
      </w:r>
    </w:p>
    <w:p>
      <w:pPr>
        <w:pStyle w:val="BodyText"/>
        <w:jc w:val="both"/>
      </w:pPr>
      <w:r>
        <w:rPr>
          <w:b/>
          <w:bCs/>
        </w:rPr>
        <w:t xml:space="preserve">Table 4.3. Pre-BRI vs. Post-BRI Means</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Pre-BRI (2000–2013)</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Post-BRI (2014–2023)</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Change (%)</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Exports to China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6.318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7.851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+24.3%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Imports from China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2.970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5.771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+94.3%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Trade Balance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3.347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2.081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−37.8%</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Minerals Narrow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1.918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2.478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+29.2%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Trade Balance Ratio</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0.405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0.197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−51.2%</w:t>
            </w:r>
          </w:p>
        </w:tc>
      </w:tr>
    </w:tbl>
    <w:p>
      <w:pPr>
        <w:pStyle w:val="BodyText"/>
        <w:spacing w:line="240" w:lineRule="auto" w:after="80"/>
        <w:ind/>
        <w:jc w:val="left"/>
      </w:pPr>
      <w:r>
        <w:rPr>
          <w:i/>
          <w:iCs/>
          <w:sz w:val="20"/>
        </w:rPr>
        <w:t xml:space="preserve">Source: Author’s calculations from clean_panel_annual dataset.</w:t>
      </w:r>
    </w:p>
    <w:p>
      <w:pPr>
        <w:pStyle w:val="BodyText"/>
        <w:ind w:firstLine="720"/>
        <w:jc w:val="both"/>
      </w:pPr>
      <w:r>
        <w:t xml:space="preserve">The decomposition reveals that the trade-balance deterioration is driven by import-side deepening. Imports from China nearly doubled (+94.3%), while exports grew modestly (+24.3%). Strategic mineral exports grew by 29.2%, but this growth was insufficient to offset the import surge. The year 2023 is exceptional: it is the only year in the sample in which Kazakhstan recorded a bilateral trade deficit (−USD 2.01 billion), driven by imports of USD 16.77 billion exceeding exports of USD 14.76 billion.</w:t>
      </w:r>
    </w:p>
    <w:bookmarkEnd w:id="40"/>
    <w:bookmarkStart w:id="41" w:name="Xed3cfd76b734a5763902fe68e9f253af1d61968"/>
    <w:p>
      <w:pPr>
        <w:pStyle w:val="Heading2"/>
        <w:keepNext/>
      </w:pPr>
      <w:r>
        <w:t xml:space="preserve">4.5 Oil and Energy Exports: An Omitted Variable</w:t>
      </w:r>
    </w:p>
    <w:p>
      <w:pPr>
        <w:pStyle w:val="FirstParagraph"/>
        <w:ind w:firstLine="720"/>
        <w:jc w:val="both"/>
      </w:pPr>
      <w:r>
        <w:t xml:space="preserve">Oil and energy exports (HS 2709, 2710, 2711, 2701) constitute approximately 60% of Kazakhstan’s total export revenues. These are absent from the current dataset because bilateral HS-level oil export data for Kazakhstan–China were not available for the full sample period. This is a major limitation. The mineral coefficient may partly capture broader commodity-cycle dynamics rather than the isolated contribution of strategic minerals. The direction of omitted variable bias is ambiguous: oil exports are positively correlated with both minerals and trade balance, so their exclusion may bias the mineral coefficient upward while simultaneously affecting the interaction term. Future research with HS-level energy data should treat oil exports as a separate control.</w:t>
      </w:r>
    </w:p>
    <w:bookmarkEnd w:id="41"/>
    <w:bookmarkEnd w:id="42"/>
    <w:bookmarkStart w:id="47" w:name="empirical-strategy"/>
    <w:p>
      <w:pPr>
        <w:pStyle w:val="Heading1"/>
        <w:keepNext/>
      </w:pPr>
      <w:r>
        <w:t xml:space="preserve">5. Empirical Strategy</w:t>
      </w:r>
    </w:p>
    <w:bookmarkStart w:id="43" w:name="baseline-ols-association-model"/>
    <w:p>
      <w:pPr>
        <w:pStyle w:val="Heading2"/>
        <w:keepNext/>
      </w:pPr>
      <w:r>
        <w:t xml:space="preserve">5.1 Baseline OLS Association Model</w:t>
      </w:r>
    </w:p>
    <w:p>
      <w:pPr>
        <w:pStyle w:val="FirstParagraph"/>
        <w:ind w:firstLine="720"/>
        <w:jc w:val="both"/>
      </w:pPr>
      <w:r>
        <w:t xml:space="preserve">The baseline specification is:</w:t>
      </w:r>
    </w:p>
    <w:p>
      <w:pPr>
        <w:pStyle w:val="BodyText"/>
        <w:jc w:val="both"/>
      </w:pPr>
      <m:oMathPara>
        <m:oMathParaPr>
          <m:jc m:val="center"/>
        </m:oMathParaPr>
        <m:oMath>
          <m:r>
            <m:t>T</m:t>
          </m:r>
          <m:sSub>
            <m:e>
              <m:r>
                <m:t>B</m:t>
              </m:r>
            </m:e>
            <m:sub>
              <m:r>
                <m:t>t</m:t>
              </m:r>
            </m:sub>
          </m:sSub>
          <m:r>
            <m:rPr>
              <m:sty m:val="p"/>
            </m:rPr>
            <m:t>=</m:t>
          </m:r>
          <m:r>
            <m:t>α</m:t>
          </m:r>
          <m:r>
            <m:rPr>
              <m:sty m:val="p"/>
            </m:rPr>
            <m:t>+</m:t>
          </m:r>
          <m:sSub>
            <m:e>
              <m:r>
                <m:t>β</m:t>
              </m:r>
            </m:e>
            <m:sub>
              <m:r>
                <m:t>1</m:t>
              </m:r>
            </m:sub>
          </m:sSub>
          <m:sSub>
            <m:e>
              <m:r>
                <m:rPr>
                  <m:nor/>
                  <m:sty m:val="p"/>
                </m:rPr>
                <m:t>Minerals</m:t>
              </m:r>
            </m:e>
            <m:sub>
              <m:r>
                <m:t>t</m:t>
              </m:r>
            </m:sub>
          </m:sSub>
          <m:r>
            <m:rPr>
              <m:sty m:val="p"/>
            </m:rPr>
            <m:t>+</m:t>
          </m:r>
          <m:sSub>
            <m:e>
              <m:r>
                <m:t>β</m:t>
              </m:r>
            </m:e>
            <m:sub>
              <m:r>
                <m:t>2</m:t>
              </m:r>
            </m:sub>
          </m:sSub>
          <m:sSub>
            <m:e>
              <m:r>
                <m:rPr>
                  <m:nor/>
                  <m:sty m:val="p"/>
                </m:rPr>
                <m:t>PostBRI</m:t>
              </m:r>
            </m:e>
            <m:sub>
              <m:r>
                <m:t>t</m:t>
              </m:r>
            </m:sub>
          </m:sSub>
          <m:r>
            <m:rPr>
              <m:sty m:val="p"/>
            </m:rPr>
            <m:t>+</m:t>
          </m:r>
          <m:sSub>
            <m:e>
              <m:r>
                <m:t>β</m:t>
              </m:r>
            </m:e>
            <m:sub>
              <m:r>
                <m:t>3</m:t>
              </m:r>
            </m:sub>
          </m:sSub>
          <m:r>
            <m:rPr>
              <m:sty m:val="p"/>
            </m:rPr>
            <m:t>(</m:t>
          </m:r>
          <m:sSub>
            <m:e>
              <m:r>
                <m:rPr>
                  <m:nor/>
                  <m:sty m:val="p"/>
                </m:rPr>
                <m:t>Minerals</m:t>
              </m:r>
            </m:e>
            <m:sub>
              <m:r>
                <m:t>t</m:t>
              </m:r>
            </m:sub>
          </m:sSub>
          <m:r>
            <m:rPr>
              <m:sty m:val="p"/>
            </m:rPr>
            <m:t>×</m:t>
          </m:r>
          <m:sSub>
            <m:e>
              <m:r>
                <m:rPr>
                  <m:nor/>
                  <m:sty m:val="p"/>
                </m:rPr>
                <m:t>PostBRI</m:t>
              </m:r>
            </m:e>
            <m:sub>
              <m:r>
                <m:t>t</m:t>
              </m:r>
            </m:sub>
          </m:sSub>
          <m:r>
            <m:rPr>
              <m:sty m:val="p"/>
            </m:rPr>
            <m:t>)</m:t>
          </m:r>
          <m:r>
            <m:rPr>
              <m:sty m:val="p"/>
            </m:rPr>
            <m:t>+</m:t>
          </m:r>
          <m:sSup>
            <m:e>
              <m:r>
                <m:t>γ</m:t>
              </m:r>
            </m:e>
            <m:sup>
              <m:r>
                <m:rPr>
                  <m:sty m:val="p"/>
                </m:rPr>
                <m:t>′</m:t>
              </m:r>
            </m:sup>
          </m:sSup>
          <m:sSub>
            <m:e>
              <m:r>
                <m:t>Z</m:t>
              </m:r>
            </m:e>
            <m:sub>
              <m:r>
                <m:t>t</m:t>
              </m:r>
            </m:sub>
          </m:sSub>
          <m:r>
            <m:rPr>
              <m:sty m:val="p"/>
            </m:rPr>
            <m:t>+</m:t>
          </m:r>
          <m:sSub>
            <m:e>
              <m:r>
                <m:t>ε</m:t>
              </m:r>
            </m:e>
            <m:sub>
              <m:r>
                <m:t>t</m:t>
              </m:r>
            </m:sub>
          </m:sSub>
        </m:oMath>
      </m:oMathPara>
    </w:p>
    <w:p>
      <w:pPr>
        <w:pStyle w:val="FirstParagraph"/>
        <w:ind w:firstLine="720"/>
        <w:jc w:val="both"/>
      </w:pPr>
      <w:r>
        <w:t xml:space="preserve">where</w:t>
      </w:r>
      <w:r>
        <w:t xml:space="preserve"> </w:t>
      </w:r>
      <m:oMath>
        <m:sSub>
          <m:e>
            <m:r>
              <m:t>Z</m:t>
            </m:r>
          </m:e>
          <m:sub>
            <m:r>
              <m:t>t</m:t>
            </m:r>
          </m:sub>
        </m:sSub>
      </m:oMath>
      <w:r>
        <w:t xml:space="preserve"> </w:t>
      </w:r>
      <w:r>
        <w:t xml:space="preserve">includes Brent crude price, KZT/USD exchange rate, and optionally GDP controls. Standard errors are computed using the Newey–West</w:t>
      </w:r>
      <w:r>
        <w:t xml:space="preserve"> </w:t>
      </w:r>
      <w:r>
        <w:t xml:space="preserve">(1987)</w:t>
      </w:r>
      <w:r>
        <w:t xml:space="preserve"> </w:t>
      </w:r>
      <w:r>
        <w:t xml:space="preserve">HAC estimator with bandwidth 3. The coefficient of interest is</w:t>
      </w:r>
      <w:r>
        <w:t xml:space="preserve"> </w:t>
      </w:r>
      <m:oMath>
        <m:sSub>
          <m:e>
            <m:r>
              <m:t>β</m:t>
            </m:r>
          </m:e>
          <m:sub>
            <m:r>
              <m:t>3</m:t>
            </m:r>
          </m:sub>
        </m:sSub>
      </m:oMath>
      <w:r>
        <w:t xml:space="preserve">: a negative value indicates that the trade-balance payoff of mineral exports weakened in the post-BRI period, consistent with the asymmetric interdependence prediction in H3 (§3.5).</w:t>
      </w:r>
    </w:p>
    <w:p>
      <w:pPr>
        <w:pStyle w:val="BodyText"/>
        <w:ind w:firstLine="720"/>
        <w:jc w:val="both"/>
      </w:pPr>
      <w:r>
        <w:t xml:space="preserve">Each regressor is theoretically anchored as follows (see also Table 3.1 for the full mapping):</w:t>
      </w:r>
    </w:p>
    <w:p>
      <w:pPr>
        <w:pStyle w:val="BodyText"/>
        <w:ind w:firstLine="720"/>
        <w:jc w:val="both"/>
      </w:pPr>
      <w:r>
        <w:rPr>
          <w:rStyle w:val="VerbatimChar"/>
          <w:b/>
          <w:bCs/>
        </w:rPr>
        <w:t xml:space="preserve">minerals_narrow</w:t>
      </w:r>
      <w:r>
        <w:rPr>
          <w:b/>
          <w:bCs/>
        </w:rPr>
        <w:t xml:space="preserve"> </w:t>
      </w:r>
      <w:r>
        <w:rPr>
          <w:b/>
          <w:bCs/>
        </w:rPr>
        <w:t xml:space="preserve">(USD bn).</w:t>
      </w:r>
      <w:r>
        <w:t xml:space="preserve"> </w:t>
      </w:r>
      <w:r>
        <w:t xml:space="preserve">This variable operationalises Hirschman’s</w:t>
      </w:r>
      <w:r>
        <w:t xml:space="preserve"> </w:t>
      </w:r>
      <w:r>
        <w:t xml:space="preserve">(1945)</w:t>
      </w:r>
      <w:r>
        <w:t xml:space="preserve"> </w:t>
      </w:r>
      <w:r>
        <w:t xml:space="preserve">trade-concentration mechanism. A larger mineral export share increases export revenues and should improve the bilateral trade balance in the pre-BRI baseline, yielding a</w:t>
      </w:r>
      <w:r>
        <w:t xml:space="preserve"> </w:t>
      </w:r>
      <w:r>
        <w:rPr>
          <w:i/>
          <w:iCs/>
        </w:rPr>
        <w:t xml:space="preserve">positive</w:t>
      </w:r>
      <w:r>
        <w:t xml:space="preserve"> </w:t>
      </w:r>
      <w:r>
        <w:t xml:space="preserve">predicted sign on</w:t>
      </w:r>
      <w:r>
        <w:t xml:space="preserve"> </w:t>
      </w:r>
      <m:oMath>
        <m:sSub>
          <m:e>
            <m:r>
              <m:t>β</m:t>
            </m:r>
          </m:e>
          <m:sub>
            <m:r>
              <m:t>1</m:t>
            </m:r>
          </m:sub>
        </m:sSub>
      </m:oMath>
      <w:r>
        <w:t xml:space="preserve">. The interaction</w:t>
      </w:r>
      <w:r>
        <w:t xml:space="preserve"> </w:t>
      </w:r>
      <m:oMath>
        <m:sSub>
          <m:e>
            <m:r>
              <m:t>β</m:t>
            </m:r>
          </m:e>
          <m:sub>
            <m:r>
              <m:t>3</m:t>
            </m:r>
          </m:sub>
        </m:sSub>
      </m:oMath>
      <w:r>
        <w:t xml:space="preserve"> </w:t>
      </w:r>
      <w:r>
        <w:t xml:space="preserve">tests whether this payoff changed post-BRI, with asymmetric interdependence theory predicting a</w:t>
      </w:r>
      <w:r>
        <w:t xml:space="preserve"> </w:t>
      </w:r>
      <w:r>
        <w:rPr>
          <w:i/>
          <w:iCs/>
        </w:rPr>
        <w:t xml:space="preserve">negative</w:t>
      </w:r>
      <w:r>
        <w:t xml:space="preserve"> </w:t>
      </w:r>
      <w:r>
        <w:t xml:space="preserve">coefficient as import deepening outpaces mineral revenue growth.</w:t>
      </w:r>
    </w:p>
    <w:p>
      <w:pPr>
        <w:pStyle w:val="BodyText"/>
        <w:ind w:firstLine="720"/>
        <w:jc w:val="both"/>
      </w:pPr>
      <w:r>
        <w:rPr>
          <w:rStyle w:val="VerbatimChar"/>
          <w:b/>
          <w:bCs/>
        </w:rPr>
        <w:t xml:space="preserve">post_bri_2013</w:t>
      </w:r>
      <w:r>
        <w:rPr>
          <w:b/>
          <w:bCs/>
        </w:rPr>
        <w:t xml:space="preserve"> </w:t>
      </w:r>
      <w:r>
        <w:rPr>
          <w:b/>
          <w:bCs/>
        </w:rPr>
        <w:t xml:space="preserve">(0/1).</w:t>
      </w:r>
      <w:r>
        <w:t xml:space="preserve"> </w:t>
      </w:r>
      <w:r>
        <w:t xml:space="preserve">This period indicator tests whether the bilateral trade balance shifted structurally after the BRI announcement in September 2013. Keohane and Nye’s sensitivity mechanism predicts a</w:t>
      </w:r>
      <w:r>
        <w:t xml:space="preserve"> </w:t>
      </w:r>
      <w:r>
        <w:rPr>
          <w:i/>
          <w:iCs/>
        </w:rPr>
        <w:t xml:space="preserve">negative</w:t>
      </w:r>
      <w:r>
        <w:t xml:space="preserve"> </w:t>
      </w:r>
      <w:r>
        <w:t xml:space="preserve">level shift as the post-BRI period coincides with Chinese manufactured exports into Kazakhstan expanding faster than Kazakh mineral exports to China. The coefficient</w:t>
      </w:r>
      <w:r>
        <w:t xml:space="preserve"> </w:t>
      </w:r>
      <m:oMath>
        <m:sSub>
          <m:e>
            <m:r>
              <m:t>β</m:t>
            </m:r>
          </m:e>
          <m:sub>
            <m:r>
              <m:t>2</m:t>
            </m:r>
          </m:sub>
        </m:sSub>
      </m:oMath>
      <w:r>
        <w:t xml:space="preserve"> </w:t>
      </w:r>
      <w:r>
        <w:t xml:space="preserve">is a net level shift that subsumes multiple concurrent shocks (oil-price collapse, tenge devaluation, COVID-19) and is therefore interpreted as suggestive rather than causal.</w:t>
      </w:r>
    </w:p>
    <w:p>
      <w:pPr>
        <w:pStyle w:val="BodyText"/>
        <w:ind w:firstLine="720"/>
        <w:jc w:val="both"/>
      </w:pPr>
      <w:r>
        <w:rPr>
          <w:rStyle w:val="VerbatimChar"/>
          <w:b/>
          <w:bCs/>
        </w:rPr>
        <w:t xml:space="preserve">brent_annual_mean</w:t>
      </w:r>
      <w:r>
        <w:rPr>
          <w:b/>
          <w:bCs/>
        </w:rPr>
        <w:t xml:space="preserve"> </w:t>
      </w:r>
      <w:r>
        <w:rPr>
          <w:b/>
          <w:bCs/>
        </w:rPr>
        <w:t xml:space="preserve">(USD/bbl).</w:t>
      </w:r>
      <w:r>
        <w:t xml:space="preserve"> </w:t>
      </w:r>
      <w:r>
        <w:t xml:space="preserve">This variable operationalises the resource-curse / terms-of-trade channel identified by van der Ploeg</w:t>
      </w:r>
      <w:r>
        <w:t xml:space="preserve"> </w:t>
      </w:r>
      <w:r>
        <w:t xml:space="preserve">(2011)</w:t>
      </w:r>
      <w:r>
        <w:t xml:space="preserve"> </w:t>
      </w:r>
      <w:r>
        <w:t xml:space="preserve">and Corden and Neary</w:t>
      </w:r>
      <w:r>
        <w:t xml:space="preserve"> </w:t>
      </w:r>
      <w:r>
        <w:t xml:space="preserve">(1982)</w:t>
      </w:r>
      <w:r>
        <w:t xml:space="preserve">. Higher global oil prices increase Kazakhstan’s commodity export revenues, predicting a</w:t>
      </w:r>
      <w:r>
        <w:t xml:space="preserve"> </w:t>
      </w:r>
      <w:r>
        <w:rPr>
          <w:i/>
          <w:iCs/>
        </w:rPr>
        <w:t xml:space="preserve">positive</w:t>
      </w:r>
      <w:r>
        <w:t xml:space="preserve"> </w:t>
      </w:r>
      <w:r>
        <w:t xml:space="preserve">sign; however, they may also appreciate the real exchange rate and expand import-financing capacity, introducing ambiguity. The expected sign is therefore</w:t>
      </w:r>
      <w:r>
        <w:t xml:space="preserve"> </w:t>
      </w:r>
      <w:r>
        <w:rPr>
          <w:i/>
          <w:iCs/>
        </w:rPr>
        <w:t xml:space="preserve">positive but uncertain</w:t>
      </w:r>
      <w:r>
        <w:t xml:space="preserve">.</w:t>
      </w:r>
    </w:p>
    <w:p>
      <w:pPr>
        <w:pStyle w:val="BodyText"/>
        <w:ind w:firstLine="720"/>
        <w:jc w:val="both"/>
      </w:pPr>
      <w:r>
        <w:rPr>
          <w:rStyle w:val="VerbatimChar"/>
          <w:b/>
          <w:bCs/>
        </w:rPr>
        <w:t xml:space="preserve">kzt_usd</w:t>
      </w:r>
      <w:r>
        <w:rPr>
          <w:b/>
          <w:bCs/>
        </w:rPr>
        <w:t xml:space="preserve"> </w:t>
      </w:r>
      <w:r>
        <w:rPr>
          <w:b/>
          <w:bCs/>
        </w:rPr>
        <w:t xml:space="preserve">(tenge per USD).</w:t>
      </w:r>
      <w:r>
        <w:t xml:space="preserve"> </w:t>
      </w:r>
      <w:r>
        <w:t xml:space="preserve">This variable operationalises the competitiveness channel from standard open-economy macroeconomics. A higher KZT/USD value (tenge depreciation) makes Kazakh exports cheaper in dollar terms and Chinese imports more expensive, predicting a</w:t>
      </w:r>
      <w:r>
        <w:t xml:space="preserve"> </w:t>
      </w:r>
      <w:r>
        <w:rPr>
          <w:i/>
          <w:iCs/>
        </w:rPr>
        <w:t xml:space="preserve">positive</w:t>
      </w:r>
      <w:r>
        <w:t xml:space="preserve"> </w:t>
      </w:r>
      <w:r>
        <w:t xml:space="preserve">effect on the bilateral trade balance via the Marshall–Lerner condition. The Bhagwati</w:t>
      </w:r>
      <w:r>
        <w:t xml:space="preserve"> </w:t>
      </w:r>
      <w:r>
        <w:t xml:space="preserve">(1958)</w:t>
      </w:r>
      <w:r>
        <w:t xml:space="preserve"> </w:t>
      </w:r>
      <w:r>
        <w:t xml:space="preserve">immiserising-growth caveat applies: if depreciation also compresses import demand for Chinese capital goods on which Kazakh industries depend, the effect may be partially self-limiting.</w:t>
      </w:r>
    </w:p>
    <w:p>
      <w:pPr>
        <w:pStyle w:val="BodyText"/>
        <w:ind w:firstLine="720"/>
        <w:jc w:val="both"/>
      </w:pPr>
      <w:r>
        <w:rPr>
          <w:rStyle w:val="VerbatimChar"/>
          <w:b/>
          <w:bCs/>
        </w:rPr>
        <w:t xml:space="preserve">log(KZ GDP)</w:t>
      </w:r>
      <w:r>
        <w:rPr>
          <w:b/>
          <w:bCs/>
        </w:rPr>
        <w:t xml:space="preserve"> </w:t>
      </w:r>
      <w:r>
        <w:rPr>
          <w:b/>
          <w:bCs/>
        </w:rPr>
        <w:t xml:space="preserve">and</w:t>
      </w:r>
      <w:r>
        <w:rPr>
          <w:b/>
          <w:bCs/>
        </w:rPr>
        <w:t xml:space="preserve"> </w:t>
      </w:r>
      <w:r>
        <w:rPr>
          <w:rStyle w:val="VerbatimChar"/>
          <w:b/>
          <w:bCs/>
        </w:rPr>
        <w:t xml:space="preserve">log(CN GDP)</w:t>
      </w:r>
      <w:r>
        <w:rPr>
          <w:b/>
          <w:bCs/>
        </w:rPr>
        <w:t xml:space="preserve"> </w:t>
      </w:r>
      <w:r>
        <w:rPr>
          <w:b/>
          <w:bCs/>
        </w:rPr>
        <w:t xml:space="preserve">(levels).</w:t>
      </w:r>
      <w:r>
        <w:t xml:space="preserve"> </w:t>
      </w:r>
      <w:r>
        <w:t xml:space="preserve">These variables operationalise domestic absorption (KZ) and foreign demand (CN) from Anderson and van Wincoop’s</w:t>
      </w:r>
      <w:r>
        <w:t xml:space="preserve"> </w:t>
      </w:r>
      <w:r>
        <w:t xml:space="preserve">(2003)</w:t>
      </w:r>
      <w:r>
        <w:t xml:space="preserve"> </w:t>
      </w:r>
      <w:r>
        <w:t xml:space="preserve">gravity framework. However, both GDP series grow monotonically over 2000–2023, producing near-perfect multicollinearity (VIF = 130.9 and 236.3, respectively). Monotonic trending regressors in a 24-observation sample absorb the time trend and destabilise all other coefficient estimates. These variables are therefore</w:t>
      </w:r>
      <w:r>
        <w:t xml:space="preserve"> </w:t>
      </w:r>
      <w:r>
        <w:rPr>
          <w:b/>
          <w:bCs/>
        </w:rPr>
        <w:t xml:space="preserve">excluded from the preferred specification</w:t>
      </w:r>
      <w:r>
        <w:t xml:space="preserve"> </w:t>
      </w:r>
      <w:r>
        <w:t xml:space="preserve">and retained only in the pre-revision specification in Appendix B.</w:t>
      </w:r>
    </w:p>
    <w:p>
      <w:pPr>
        <w:pStyle w:val="BodyText"/>
        <w:ind w:firstLine="720"/>
        <w:jc w:val="both"/>
      </w:pPr>
      <w:r>
        <w:rPr>
          <w:rStyle w:val="VerbatimChar"/>
          <w:b/>
          <w:bCs/>
        </w:rPr>
        <w:t xml:space="preserve">log(CN GDP / KZ GDP)</w:t>
      </w:r>
      <w:r>
        <w:rPr>
          <w:b/>
          <w:bCs/>
        </w:rPr>
        <w:t xml:space="preserve"> </w:t>
      </w:r>
      <w:r>
        <w:rPr>
          <w:b/>
          <w:bCs/>
        </w:rPr>
        <w:t xml:space="preserve">(gravity ratio) — preferred.</w:t>
      </w:r>
      <w:r>
        <w:t xml:space="preserve"> </w:t>
      </w:r>
      <w:r>
        <w:t xml:space="preserve">Following the midterm revision and the methodological guidance of Anderson and van Wincoop</w:t>
      </w:r>
      <w:r>
        <w:t xml:space="preserve"> </w:t>
      </w:r>
      <w:r>
        <w:t xml:space="preserve">(2003)</w:t>
      </w:r>
      <w:r>
        <w:t xml:space="preserve">, the preferred specification replaces the two collinear GDP levels with a single gravity-ratio regressor: the log of the ratio of China’s GDP to Kazakhstan’s GDP. This variable directly operationalises</w:t>
      </w:r>
      <w:r>
        <w:t xml:space="preserve"> </w:t>
      </w:r>
      <w:r>
        <w:rPr>
          <w:i/>
          <w:iCs/>
        </w:rPr>
        <w:t xml:space="preserve">bilateral asymmetry in market size</w:t>
      </w:r>
      <w:r>
        <w:t xml:space="preserve">, which is the theoretical mechanism at the heart of the asymmetric interdependence framework: as China’s economy grows faster than Kazakhstan’s, China’s export capacity expands relative to Kazakhstan’s export revenues, predicting a</w:t>
      </w:r>
      <w:r>
        <w:t xml:space="preserve"> </w:t>
      </w:r>
      <w:r>
        <w:rPr>
          <w:i/>
          <w:iCs/>
        </w:rPr>
        <w:t xml:space="preserve">negative</w:t>
      </w:r>
      <w:r>
        <w:t xml:space="preserve"> </w:t>
      </w:r>
      <w:r>
        <w:t xml:space="preserve">sign on this ratio in the trade-balance regression. This specification resolves the multicollinearity problem (target VIF &lt; 10) while preserving the theoretical content of both GDP terms (§6.3; Appendix B).</w:t>
      </w:r>
    </w:p>
    <w:p>
      <w:pPr>
        <w:pStyle w:val="BodyText"/>
        <w:ind w:firstLine="720"/>
        <w:jc w:val="both"/>
      </w:pPr>
      <w:r>
        <w:rPr>
          <w:b/>
          <w:bCs/>
        </w:rPr>
        <w:t xml:space="preserve">Interpretation constraint:</w:t>
      </w:r>
      <w:r>
        <w:t xml:space="preserve"> </w:t>
      </w:r>
      <w:r>
        <w:t xml:space="preserve">The model does not identify a causal BRI effect. PostBRI is a period indicator that coincides with multiple concurrent shocks (oil price collapse, tenge devaluation, Crimea-related trade disruption, COVID-19). All coefficients are interpreted as conditional associations. Causal language is reserved for the triple-concordance criterion in §7: a finding is described as</w:t>
      </w:r>
      <w:r>
        <w:t xml:space="preserve"> </w:t>
      </w:r>
      <w:r>
        <w:t xml:space="preserve">“causal”</w:t>
      </w:r>
      <w:r>
        <w:t xml:space="preserve"> </w:t>
      </w:r>
      <w:r>
        <w:t xml:space="preserve">only where the DiD partner-placebo estimate (§6.5), the synthetic counterfactual gap (§6.6), and the sanctions-robustness check (§6.4) all point in the same direction.</w:t>
      </w:r>
    </w:p>
    <w:bookmarkEnd w:id="43"/>
    <w:bookmarkStart w:id="44" w:name="X399b08d7df54a5d25be04cac08fee52a0d28838"/>
    <w:p>
      <w:pPr>
        <w:pStyle w:val="Heading2"/>
        <w:keepNext/>
      </w:pPr>
      <w:r>
        <w:t xml:space="preserve">5.2 Full vs. Parsimonious vs. Gravity-Ratio Specifications</w:t>
      </w:r>
    </w:p>
    <w:p>
      <w:pPr>
        <w:pStyle w:val="FirstParagraph"/>
        <w:ind w:firstLine="720"/>
        <w:jc w:val="both"/>
      </w:pPr>
      <w:r>
        <w:t xml:space="preserve">Following the midterm revision, three specification families are reported:</w:t>
      </w:r>
    </w:p>
    <w:p>
      <w:pPr>
        <w:pStyle w:val="Compact"/>
        <w:numPr>
          <w:ilvl w:val="0"/>
          <w:numId w:val="1001"/>
        </w:numPr>
      </w:pPr>
      <w:r>
        <w:rPr>
          <w:b/>
          <w:bCs/>
        </w:rPr>
        <w:t xml:space="preserve">Pre-revision full model (A1):</w:t>
      </w:r>
      <w:r>
        <w:t xml:space="preserve"> </w:t>
      </w:r>
      <w:r>
        <w:t xml:space="preserve">7 regressors including log(KZ GDP) and log(CN GDP) — retained in Appendix B for transparency. VIF &gt; 100.</w:t>
      </w:r>
      <w:r>
        <w:t xml:space="preserve"> </w:t>
      </w:r>
      <w:r>
        <w:rPr>
          <w:i/>
          <w:iCs/>
        </w:rPr>
        <w:t xml:space="preserve">Not used for primary interpretation.</w:t>
      </w:r>
    </w:p>
    <w:p>
      <w:pPr>
        <w:pStyle w:val="Compact"/>
        <w:numPr>
          <w:ilvl w:val="0"/>
          <w:numId w:val="1001"/>
        </w:numPr>
      </w:pPr>
      <w:r>
        <w:rPr>
          <w:b/>
          <w:bCs/>
        </w:rPr>
        <w:t xml:space="preserve">Pre-revision parsimonious model (A2):</w:t>
      </w:r>
      <w:r>
        <w:t xml:space="preserve"> </w:t>
      </w:r>
      <w:r>
        <w:t xml:space="preserve">5 regressors excluding GDP controls. VIF &lt; 10. Used for primary interpretation in the midterm version.</w:t>
      </w:r>
    </w:p>
    <w:p>
      <w:pPr>
        <w:pStyle w:val="Compact"/>
        <w:numPr>
          <w:ilvl w:val="0"/>
          <w:numId w:val="1001"/>
        </w:numPr>
      </w:pPr>
      <w:r>
        <w:rPr>
          <w:b/>
          <w:bCs/>
        </w:rPr>
        <w:t xml:space="preserve">Preferred gravity-ratio model (A3) [new main specification]:</w:t>
      </w:r>
      <w:r>
        <w:t xml:space="preserve"> </w:t>
      </w:r>
      <w:r>
        <w:t xml:space="preserve">Replaces both GDP levels with log(CN GDP/KZ GDP). Theoretically grounded in Anderson and van Wincoop</w:t>
      </w:r>
      <w:r>
        <w:t xml:space="preserve"> </w:t>
      </w:r>
      <w:r>
        <w:t xml:space="preserve">(2003)</w:t>
      </w:r>
      <w:r>
        <w:t xml:space="preserve">. VIF &lt; 10.</w:t>
      </w:r>
      <w:r>
        <w:t xml:space="preserve"> </w:t>
      </w:r>
      <w:r>
        <w:rPr>
          <w:b/>
          <w:bCs/>
        </w:rPr>
        <w:t xml:space="preserve">This is the primary specification in the final version.</w:t>
      </w:r>
      <w:r>
        <w:t xml:space="preserve"> </w:t>
      </w:r>
      <w:r>
        <w:t xml:space="preserve">See §6.3 and Appendix B.</w:t>
      </w:r>
    </w:p>
    <w:p>
      <w:pPr>
        <w:pStyle w:val="FirstParagraph"/>
        <w:ind w:firstLine="720"/>
        <w:jc w:val="both"/>
      </w:pPr>
      <w:r>
        <w:t xml:space="preserve">The gravity-ratio specification is preferred because: (i) it resolves extreme multicollinearity without sacrificing theoretical content; (ii) it directly operationalises the bilateral asymmetry mechanism from asymmetric interdependence theory; (iii) one regressor replaces two highly correlated ones, improving degrees of freedom in a 24-observation sample. The change is documented explicitly following midterm feedback:</w:t>
      </w:r>
      <w:r>
        <w:t xml:space="preserve"> </w:t>
      </w:r>
      <w:r>
        <w:t xml:space="preserve">“Following midterm feedback, the GDP-levels specification was replaced with a gravity-motivated relative-size ratio to resolve VIF &gt; 100 multicollinearity. This change is theoretically grounded in Anderson and van Wincoop (2003) and is robustness-checked against the original specification in Appendix B.”</w:t>
      </w:r>
    </w:p>
    <w:bookmarkEnd w:id="44"/>
    <w:bookmarkStart w:id="45" w:name="adl-dynamic-association-model"/>
    <w:p>
      <w:pPr>
        <w:pStyle w:val="Heading2"/>
        <w:keepNext/>
      </w:pPr>
      <w:r>
        <w:t xml:space="preserve">5.3 ADL Dynamic Association Model</w:t>
      </w:r>
    </w:p>
    <w:p>
      <w:pPr>
        <w:pStyle w:val="FirstParagraph"/>
        <w:ind w:firstLine="720"/>
        <w:jc w:val="both"/>
      </w:pPr>
      <w:r>
        <w:t xml:space="preserve">Prior to estimating the ADL model, stationarity diagnostics were conducted. Because</w:t>
      </w:r>
      <w:r>
        <w:t xml:space="preserve"> </w:t>
      </w:r>
      <w:r>
        <w:rPr>
          <w:i/>
          <w:iCs/>
        </w:rPr>
        <w:t xml:space="preserve">n</w:t>
      </w:r>
      <w:r>
        <w:t xml:space="preserve"> </w:t>
      </w:r>
      <w:r>
        <w:t xml:space="preserve">= 24, unit-root tests have inherently low power, so these diagnostics are used to guide model choice (ARDL) rather than to definitively prove integration order.</w:t>
      </w:r>
    </w:p>
    <w:p>
      <w:pPr>
        <w:pStyle w:val="BodyText"/>
        <w:jc w:val="both"/>
      </w:pPr>
      <w:r>
        <w:rPr>
          <w:b/>
          <w:bCs/>
        </w:rPr>
        <w:t xml:space="preserve">Table 5.1. Stationarity and Integration Order Diagnostics</w:t>
      </w:r>
    </w:p>
    <w:tbl>
      <w:tblPr>
        <w:tblStyle w:val="Table"/>
        <w:tblW w:type="pct" w:w="5000"/>
        <w:jc w:val="center"/>
        <w:tblLayout w:type="autofit"/>
        <w:tblLook w:firstRow="1" w:lastRow="0" w:firstColumn="0" w:lastColumn="0" w:noHBand="0" w:noVBand="0" w:val="0020"/>
      </w:tblPr>
      <w:tblGrid>
        <w:gridCol w:w="954"/>
        <w:gridCol w:w="954"/>
        <w:gridCol w:w="858"/>
        <w:gridCol w:w="858"/>
        <w:gridCol w:w="763"/>
        <w:gridCol w:w="1049"/>
        <w:gridCol w:w="954"/>
        <w:gridCol w:w="1526"/>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ADF Stat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ADF</w:t>
            </w:r>
            <w:r>
              <w:rPr>
                <w:rFonts w:ascii="Times New Roman" w:hAnsi="Times New Roman" w:eastAsia="Times New Roman"/>
                <w:b/>
                <w:sz w:val="16"/>
              </w:rPr>
              <w:t xml:space="preserve"> </w:t>
            </w:r>
            <w:r>
              <w:rPr>
                <w:rFonts w:ascii="Times New Roman" w:hAnsi="Times New Roman" w:eastAsia="Times New Roman"/>
                <w:b/>
                <w:i/>
                <w:iCs/>
                <w:sz w:val="16"/>
              </w:rPr>
              <w:t xml:space="preserve">p</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PP Stat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PP</w:t>
            </w:r>
            <w:r>
              <w:rPr>
                <w:rFonts w:ascii="Times New Roman" w:hAnsi="Times New Roman" w:eastAsia="Times New Roman"/>
                <w:b/>
                <w:sz w:val="16"/>
              </w:rPr>
              <w:t xml:space="preserve"> </w:t>
            </w:r>
            <w:r>
              <w:rPr>
                <w:rFonts w:ascii="Times New Roman" w:hAnsi="Times New Roman" w:eastAsia="Times New Roman"/>
                <w:b/>
                <w:i/>
                <w:iCs/>
                <w:sz w:val="16"/>
              </w:rPr>
              <w:t xml:space="preserve">p</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KPSS Stat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KPSS</w:t>
            </w:r>
            <w:r>
              <w:rPr>
                <w:rFonts w:ascii="Times New Roman" w:hAnsi="Times New Roman" w:eastAsia="Times New Roman"/>
                <w:b/>
                <w:sz w:val="16"/>
              </w:rPr>
              <w:t xml:space="preserve"> </w:t>
            </w:r>
            <w:r>
              <w:rPr>
                <w:rFonts w:ascii="Times New Roman" w:hAnsi="Times New Roman" w:eastAsia="Times New Roman"/>
                <w:b/>
                <w:i/>
                <w:iCs/>
                <w:sz w:val="16"/>
              </w:rPr>
              <w:t xml:space="preserve">p</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Inferred Order</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Trade Balance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0.247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−0.89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0.958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&gt;0.10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Ambiguous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Minerals Narrow</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−1.63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0.467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0.917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&gt;0.10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Ambiguous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Brent Crude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−2.21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0.204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−1.65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0.773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0.072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Ambiguous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KAZ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−1.56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0.506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−1.64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0.777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0.027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I(1)</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BRI Intensity</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−4.08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−2.91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0.160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0.021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Ambiguous</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Outputs/generated_tables/stationarity.csv</w:t>
      </w:r>
      <w:r>
        <w:rPr>
          <w:i/>
          <w:iCs/>
          <w:sz w:val="20"/>
        </w:rPr>
        <w:t xml:space="preserve">. Notes: ADF and PP test</w:t>
      </w:r>
      <w:r>
        <w:rPr>
          <w:i/>
          <w:iCs/>
          <w:sz w:val="20"/>
        </w:rPr>
        <w:t xml:space="preserve"> </w:t>
      </w:r>
      <m:oMath>
        <m:sSub>
          <m:e>
            <m:r>
              <m:t>H</m:t>
            </m:r>
          </m:e>
          <m:sub>
            <m:r>
              <m:t>0</m:t>
            </m:r>
          </m:sub>
        </m:sSub>
      </m:oMath>
      <w:r>
        <w:rPr>
          <w:i/>
          <w:iCs/>
          <w:sz w:val="20"/>
        </w:rPr>
        <w:t xml:space="preserve">: unit root. KPSS tests</w:t>
      </w:r>
      <w:r>
        <w:rPr>
          <w:i/>
          <w:iCs/>
          <w:sz w:val="20"/>
        </w:rPr>
        <w:t xml:space="preserve"> </w:t>
      </w:r>
      <m:oMath>
        <m:sSub>
          <m:e>
            <m:r>
              <m:t>H</m:t>
            </m:r>
          </m:e>
          <m:sub>
            <m:r>
              <m:t>0</m:t>
            </m:r>
          </m:sub>
        </m:sSub>
      </m:oMath>
      <w:r>
        <w:rPr>
          <w:i/>
          <w:iCs/>
          <w:sz w:val="20"/>
        </w:rPr>
        <w:t xml:space="preserve">: stationarity. Low power at n=24 is acknowledged; diagnostics guide model selection rather than definitively proving integration orders. Table 5.1 presents the five series entering the main specifications; diagnostics for Copper Price, log China GDP, and log(Minerals Narrow) are qualitatively similar (all ambiguous) and are available in the full stationarity output file.</w:t>
      </w:r>
    </w:p>
    <w:p>
      <w:pPr>
        <w:pStyle w:val="BodyText"/>
        <w:ind w:firstLine="720"/>
        <w:jc w:val="both"/>
      </w:pPr>
      <w:r>
        <w:t xml:space="preserve">Given the mixed and ambiguous integration orders (I(0) and I(1)), the bounds testing approach is appropriate. The AIC-selected autoregressive distributed lag (ADL) model is estimated to capture dynamic associations. Following Pesaran, Shin, and Smith</w:t>
      </w:r>
      <w:r>
        <w:t xml:space="preserve"> </w:t>
      </w:r>
      <w:r>
        <w:t xml:space="preserve">(2001)</w:t>
      </w:r>
      <w:r>
        <w:t xml:space="preserve">, the bounds test is applied to assess cointegration. If the PSS F-statistic falls below the upper bound, the results are interpreted as short-run dynamic associations rather than long-run equilibrium estimates.</w:t>
      </w:r>
    </w:p>
    <w:bookmarkEnd w:id="45"/>
    <w:bookmarkStart w:id="46" w:name="robustness-strategy"/>
    <w:p>
      <w:pPr>
        <w:pStyle w:val="Heading2"/>
        <w:keepNext/>
      </w:pPr>
      <w:r>
        <w:t xml:space="preserve">5.4 Robustness Strategy</w:t>
      </w:r>
    </w:p>
    <w:p>
      <w:pPr>
        <w:pStyle w:val="FirstParagraph"/>
        <w:ind w:firstLine="720"/>
        <w:jc w:val="both"/>
      </w:pPr>
      <w:r>
        <w:t xml:space="preserve">Robustness is assessed through: (i) a 288-specification grid varying mineral measures (narrow/broad), BRI variables (dummy/intensity), lag structures, and estimators; (ii) leave-one-out coefficient stability analysis; (iii) WITS-consistent mineral proxy for the full 2000–2023 period; (iv) exclusion of 2023.</w:t>
      </w:r>
    </w:p>
    <w:bookmarkEnd w:id="46"/>
    <w:bookmarkEnd w:id="47"/>
    <w:bookmarkStart w:id="88" w:name="results"/>
    <w:p>
      <w:pPr>
        <w:pStyle w:val="Heading1"/>
        <w:keepNext/>
      </w:pPr>
      <w:r>
        <w:t xml:space="preserve">6. Results</w:t>
      </w:r>
    </w:p>
    <w:bookmarkStart w:id="51" w:name="baseline-ols-results"/>
    <w:p>
      <w:pPr>
        <w:pStyle w:val="Heading2"/>
        <w:keepNext/>
      </w:pPr>
      <w:r>
        <w:t xml:space="preserve">6.1 Baseline OLS Results</w:t>
      </w:r>
    </w:p>
    <w:p>
      <w:pPr>
        <w:pStyle w:val="FirstParagraph"/>
        <w:jc w:val="both"/>
      </w:pPr>
      <w:r>
        <w:rPr>
          <w:b/>
          <w:bCs/>
        </w:rPr>
        <w:t xml:space="preserve">Table 6.1. OLS Regression Results: Full and Parsimonious Models</w:t>
      </w:r>
    </w:p>
    <w:tbl>
      <w:tblPr>
        <w:tblStyle w:val="Table"/>
        <w:tblW w:type="pct" w:w="5000"/>
        <w:jc w:val="center"/>
        <w:tblLayout w:type="autofit"/>
        <w:tblLook w:firstRow="1" w:lastRow="0" w:firstColumn="0" w:lastColumn="0" w:noHBand="0" w:noVBand="0" w:val="0020"/>
      </w:tblPr>
      <w:tblGrid>
        <w:gridCol w:w="1523"/>
        <w:gridCol w:w="1066"/>
        <w:gridCol w:w="1066"/>
        <w:gridCol w:w="1066"/>
        <w:gridCol w:w="1066"/>
        <w:gridCol w:w="1066"/>
        <w:gridCol w:w="1066"/>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A1 Coef.</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A1 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A1</w:t>
            </w:r>
            <w:r>
              <w:rPr>
                <w:rFonts w:ascii="Times New Roman" w:hAnsi="Times New Roman" w:eastAsia="Times New Roman"/>
                <w:b/>
                <w:sz w:val="16"/>
              </w:rPr>
              <w:t xml:space="preserve"> </w:t>
            </w:r>
            <w:r>
              <w:rPr>
                <w:rFonts w:ascii="Times New Roman" w:hAnsi="Times New Roman" w:eastAsia="Times New Roman"/>
                <w:b/>
                <w:i/>
                <w:iCs/>
                <w:sz w:val="16"/>
              </w:rPr>
              <w:t xml:space="preserve">p</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A2 Coef.</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A2 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A2</w:t>
            </w:r>
            <w:r>
              <w:rPr>
                <w:rFonts w:ascii="Times New Roman" w:hAnsi="Times New Roman" w:eastAsia="Times New Roman"/>
                <w:b/>
                <w:sz w:val="16"/>
              </w:rPr>
              <w:t xml:space="preserve"> </w:t>
            </w:r>
            <w:r>
              <w:rPr>
                <w:rFonts w:ascii="Times New Roman" w:hAnsi="Times New Roman" w:eastAsia="Times New Roman"/>
                <w:b/>
                <w:i/>
                <w:iCs/>
                <w:sz w:val="16"/>
              </w:rPr>
              <w:t xml:space="preserve">p</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Constant</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197.624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(53.040)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−3.326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(2.359)</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0.176</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Minerals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2.463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(0.541)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1.694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(0.853)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0.062*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Brent (USD/bbl)</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0.047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(0.039)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0.239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(0.037)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0.542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KZT/USD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0.198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0.270</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log(KZ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−13.230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(6.112)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0.046**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log(CN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4.529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(4.460)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0.325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Post-BRI</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4.927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(1.847)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0.691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(1.492)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0.649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Minerals × Post-BRI</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−3.221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(1.043)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0.007</w:t>
            </w:r>
            <w:r>
              <w:rPr>
                <w:rFonts w:ascii="Times New Roman" w:hAnsi="Times New Roman" w:eastAsia="Times New Roman"/>
                <w:sz w:val="16"/>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−2.382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(0.977)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6"/>
              </w:rPr>
              <w:t xml:space="preserve">0.025</w:t>
            </w:r>
          </w:p>
        </w:tc>
      </w:tr>
      <w:tr>
        <w:tc>
          <w:tcPr>
            <w:vAlign w:val="center"/>
            <w:tcMar>
              <w:top w:w="90" w:type="dxa"/>
              <w:left w:w="90" w:type="dxa"/>
              <w:bottom w:w="90" w:type="dxa"/>
              <w:right w:w="90" w:type="dxa"/>
            </w:tcMar>
          </w:tcPr>
          <w:p>
            <w:pPr>
              <w:pStyle w:val="Compact"/>
              <w:spacing w:before="0" w:after="40" w:line="240" w:lineRule="auto"/>
              <w:jc w:val="left"/>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R²</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0.765</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0.703</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Adj. R²</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0.661</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0.620</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Durbin–Watson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1.799</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1.739</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bl>
    <w:p>
      <w:pPr>
        <w:pStyle w:val="BodyText"/>
        <w:spacing w:line="240" w:lineRule="auto" w:after="80"/>
        <w:ind/>
        <w:jc w:val="left"/>
      </w:pPr>
      <w:r>
        <w:rPr>
          <w:i/>
          <w:iCs/>
          <w:sz w:val="20"/>
        </w:rPr>
        <w:t xml:space="preserve">Notes: HAC (Newey–West) standard errors in parentheses, bandwidth = 3. Sample: 2000–2023 (</w:t>
      </w:r>
      <w:r>
        <w:rPr>
          <w:sz w:val="20"/>
        </w:rPr>
        <w:t xml:space="preserve">n* = 24). Significance: *p&lt;0.10, **p&lt;0.05, ***p&lt;0.01. A1 = full model (7 regressors including log Kazakhstan GDP and log China GDP); A2 = parsimonious model (no GDP controls). Standard errors are heteroskedasticity- and autocorrelation-consistent (HAC) throughout, as motivated by the Breusch–Pagan test result (§6.2).*</w:t>
      </w:r>
    </w:p>
    <w:p>
      <w:pPr>
        <w:pStyle w:val="BodyText"/>
        <w:ind w:firstLine="720"/>
        <w:jc w:val="both"/>
      </w:pPr>
      <w:r>
        <w:t xml:space="preserve">In the full model, the minerals coefficient (2.46,</w:t>
      </w:r>
      <w:r>
        <w:t xml:space="preserve"> </w:t>
      </w:r>
      <w:r>
        <w:rPr>
          <w:i/>
          <w:iCs/>
        </w:rPr>
        <w:t xml:space="preserve">p</w:t>
      </w:r>
      <w:r>
        <w:t xml:space="preserve"> </w:t>
      </w:r>
      <w:r>
        <w:t xml:space="preserve">&lt; 0.001) indicates that, during the pre-BRI period, each additional USD billion of mineral exports was associated with approximately USD 2.46 billion higher bilateral trade balance. The interaction term (−3.22 with HAC SE of 1.043,</w:t>
      </w:r>
      <w:r>
        <w:t xml:space="preserve"> </w:t>
      </w:r>
      <w:r>
        <w:rPr>
          <w:i/>
          <w:iCs/>
        </w:rPr>
        <w:t xml:space="preserve">p</w:t>
      </w:r>
      <w:r>
        <w:t xml:space="preserve"> </w:t>
      </w:r>
      <w:r>
        <w:t xml:space="preserve">= 0.007) suggests that this positive association weakened substantially in the post-BRI period. However, the large constant (197.6) and the signs on the GDP terms indicate that the model absorbs trend dynamics through GDP controls, and the severe multicollinearity (VIF &gt; 100 for both GDP variables; see §6.3) renders these full-model coefficients unreliable as structural estimates.</w:t>
      </w:r>
    </w:p>
    <w:p>
      <w:pPr>
        <w:pStyle w:val="BodyText"/>
        <w:ind w:firstLine="720"/>
        <w:jc w:val="both"/>
      </w:pPr>
      <w:r>
        <w:t xml:space="preserve">The parsimonious model (A2) is therefore preferred for substantive interpretation. By removing the collinear GDP controls, all remaining VIF values fall below 10, and the interaction estimate of −2.38 (HAC SE = 0.977,</w:t>
      </w:r>
      <w:r>
        <w:t xml:space="preserve"> </w:t>
      </w:r>
      <w:r>
        <w:rPr>
          <w:i/>
          <w:iCs/>
        </w:rPr>
        <w:t xml:space="preserve">p</w:t>
      </w:r>
      <w:r>
        <w:t xml:space="preserve"> </w:t>
      </w:r>
      <w:r>
        <w:t xml:space="preserve">= 0.025) is more stable. The Post-BRI level shift becomes statistically insignificant (</w:t>
      </w:r>
      <w:r>
        <w:rPr>
          <w:i/>
          <w:iCs/>
        </w:rPr>
        <w:t xml:space="preserve">p</w:t>
      </w:r>
      <w:r>
        <w:t xml:space="preserve"> </w:t>
      </w:r>
      <w:r>
        <w:t xml:space="preserve">= 0.649), confirming that the period dummy’s apparent significance in A1 was driven by GDP collinearity rather than a genuine level shift in the trade balance. All results in this table are conditional associations only. No coefficient in either model should be interpreted as a causal estimate: PostBRI is a period indicator that coincides with the oil-price collapse, the tenge devaluation, and the COVID-19 shock alongside BRI-related infrastructure changes.</w:t>
      </w:r>
    </w:p>
    <w:p>
      <w:pPr>
        <w:pStyle w:val="BodyText"/>
        <w:spacing w:line="240" w:lineRule="auto" w:after="80"/>
        <w:ind/>
        <w:jc w:val="left"/>
      </w:pPr>
      <w:r>
        <w:rPr>
          <w:sz w:val="20"/>
        </w:rPr>
        <w:drawing>
          <wp:inline>
            <wp:extent cx="5257800" cy="4117791"/>
            <wp:effectExtent b="0" l="0" r="0" t="0"/>
            <wp:docPr descr="Figure 4. Strategic Mineral Exports vs Bilateral Trade Balance, Pre-BRI vs Post-BRI" title="" id="49" name="Picture"/>
            <a:graphic>
              <a:graphicData uri="http://schemas.openxmlformats.org/drawingml/2006/picture">
                <pic:pic>
                  <pic:nvPicPr>
                    <pic:cNvPr descr="../Outputs/generated_figures/fig_4_scatter.png" id="50" name="Picture"/>
                    <pic:cNvPicPr>
                      <a:picLocks noChangeArrowheads="1" noChangeAspect="1"/>
                    </pic:cNvPicPr>
                  </pic:nvPicPr>
                  <pic:blipFill>
                    <a:blip r:embed="rId48"/>
                    <a:stretch>
                      <a:fillRect/>
                    </a:stretch>
                  </pic:blipFill>
                  <pic:spPr bwMode="auto">
                    <a:xfrm>
                      <a:off x="0" y="0"/>
                      <a:ext cx="5257800" cy="4117791"/>
                    </a:xfrm>
                    <a:prstGeom prst="rect">
                      <a:avLst/>
                    </a:prstGeom>
                    <a:noFill/>
                    <a:ln w="9525">
                      <a:noFill/>
                      <a:headEnd/>
                      <a:tailEnd/>
                    </a:ln>
                  </pic:spPr>
                </pic:pic>
              </a:graphicData>
            </a:graphic>
          </wp:inline>
        </w:drawing>
      </w:r>
      <w:r>
        <w:rPr>
          <w:sz w:val="20"/>
        </w:rPr>
        <w:t xml:space="preserve"> </w:t>
      </w:r>
      <w:r>
        <w:rPr>
          <w:i/>
          <w:iCs/>
          <w:sz w:val="20"/>
        </w:rPr>
        <w:t xml:space="preserve">Source: Author’s construction. Figure 4 plots the relationship between mineral exports and the trade balance across the two periods, visualising the weakened association post-BRI.</w:t>
      </w:r>
    </w:p>
    <w:bookmarkEnd w:id="51"/>
    <w:bookmarkStart w:id="52" w:name="residual-diagnostics"/>
    <w:p>
      <w:pPr>
        <w:pStyle w:val="Heading2"/>
        <w:keepNext/>
      </w:pPr>
      <w:r>
        <w:t xml:space="preserve">6.2 Residual Diagnostics</w:t>
      </w:r>
    </w:p>
    <w:p>
      <w:pPr>
        <w:pStyle w:val="FirstParagraph"/>
        <w:jc w:val="both"/>
      </w:pPr>
      <w:r>
        <w:rPr>
          <w:b/>
          <w:bCs/>
        </w:rPr>
        <w:t xml:space="preserve">Table 6.2. Residual Diagnostics</w:t>
      </w:r>
    </w:p>
    <w:tbl>
      <w:tblPr>
        <w:tblStyle w:val="Table"/>
        <w:tblW w:type="pct" w:w="5000"/>
        <w:jc w:val="center"/>
        <w:tblLayout w:type="autofit"/>
        <w:tblLook w:firstRow="1" w:lastRow="0" w:firstColumn="0" w:lastColumn="0" w:noHBand="0" w:noVBand="0" w:val="0020"/>
      </w:tblPr>
      <w:tblGrid>
        <w:gridCol w:w="1105"/>
        <w:gridCol w:w="2026"/>
        <w:gridCol w:w="2026"/>
        <w:gridCol w:w="2762"/>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Test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Statistic</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9"/>
              </w:rPr>
              <w:t xml:space="preserve">p</w:t>
            </w:r>
            <w:r>
              <w:rPr>
                <w:rFonts w:ascii="Times New Roman" w:hAnsi="Times New Roman" w:eastAsia="Times New Roman"/>
                <w:b/>
                <w:sz w:val="19"/>
              </w:rPr>
              <w:t xml:space="preserve">-value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Interpretation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Durbin–Watson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1.799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Mild positive autocorrelation; inconclusive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Breusch–Pagan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19.78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0.006</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Heteroskedasticity detected</w:t>
            </w:r>
          </w:p>
        </w:tc>
      </w:tr>
    </w:tbl>
    <w:p>
      <w:pPr>
        <w:pStyle w:val="BodyText"/>
        <w:ind w:firstLine="720"/>
        <w:jc w:val="both"/>
      </w:pPr>
      <w:r>
        <w:t xml:space="preserve">The Breusch–Pagan test rejects the null of homoskedasticity (</w:t>
      </w:r>
      <w:r>
        <w:rPr>
          <w:i/>
          <w:iCs/>
        </w:rPr>
        <w:t xml:space="preserve">p</w:t>
      </w:r>
      <w:r>
        <w:t xml:space="preserve"> </w:t>
      </w:r>
      <w:r>
        <w:t xml:space="preserve">= 0.006), which motivates the use of HAC standard errors throughout. HAC standard errors correct for both heteroskedasticity and autocorrelation in inference, but do not address potential model misspecification. The Durbin–Watson statistic (1.80) is close to 2.0, suggesting that serial correlation is mild after conditioning on regressors.</w:t>
      </w:r>
    </w:p>
    <w:bookmarkEnd w:id="52"/>
    <w:bookmarkStart w:id="53" w:name="X104a27e6e71d30820852bbe2a04f72c58877c53"/>
    <w:p>
      <w:pPr>
        <w:pStyle w:val="Heading2"/>
        <w:keepNext/>
      </w:pPr>
      <w:r>
        <w:t xml:space="preserve">6.3 Multicollinearity Diagnostics and Resolution</w:t>
      </w:r>
    </w:p>
    <w:p>
      <w:pPr>
        <w:pStyle w:val="FirstParagraph"/>
        <w:ind w:firstLine="720"/>
        <w:jc w:val="both"/>
      </w:pPr>
      <w:r>
        <w:t xml:space="preserve">Following midterm feedback on VIF &gt; 100, three variable schemes were evaluated in</w:t>
      </w:r>
      <w:r>
        <w:t xml:space="preserve"> </w:t>
      </w:r>
      <w:r>
        <w:rPr>
          <w:rStyle w:val="VerbatimChar"/>
        </w:rPr>
        <w:t xml:space="preserve">Scripts/35_collinearity_resolution.py</w:t>
      </w:r>
      <w:r>
        <w:t xml:space="preserve">:</w:t>
      </w:r>
    </w:p>
    <w:p>
      <w:pPr>
        <w:pStyle w:val="BodyText"/>
        <w:jc w:val="both"/>
      </w:pPr>
      <w:r>
        <w:rPr>
          <w:b/>
          <w:bCs/>
        </w:rPr>
        <w:t xml:space="preserve">Table 6.3a. VIF Comparison Across Specification Schemes</w:t>
      </w:r>
    </w:p>
    <w:tbl>
      <w:tblPr>
        <w:tblStyle w:val="Table"/>
        <w:tblW w:type="pct" w:w="5000"/>
        <w:jc w:val="center"/>
        <w:tblLayout w:type="autofit"/>
        <w:tblLook w:firstRow="1" w:lastRow="0" w:firstColumn="0" w:lastColumn="0" w:noHBand="0" w:noVBand="0" w:val="0020"/>
      </w:tblPr>
      <w:tblGrid>
        <w:gridCol w:w="965"/>
        <w:gridCol w:w="2221"/>
        <w:gridCol w:w="2221"/>
        <w:gridCol w:w="2511"/>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Scheme A (GDP levels)</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Scheme B (GDP growth)</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Scheme C (Gravity ratio)</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MIN (minerals)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10.8</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BRENT</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5.7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4.9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KZT/USD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17.8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8.3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17.7</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log(KZ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130.9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log(CN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236.3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d.log(KZ GDP) growth</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2.6</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d.log(CN GDP) growth</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3.4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log(CN/KZ GDP ratio)</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33.4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POST dummy</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28.9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10.4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21.9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POST × MIN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16.0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9.7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13.7</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Max VIF</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236.3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10.4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33.4</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Scripts/35_collinearity_resolution.py</w:t>
      </w:r>
      <w:r>
        <w:rPr>
          <w:i/>
          <w:iCs/>
          <w:sz w:val="20"/>
        </w:rPr>
        <w:t xml:space="preserve">. Scheme A = pre-revision (retained in Appendix B). Scheme B = GDP annual growth rates. Scheme C = gravity ratio log(CN GDP/KZ GDP).</w:t>
      </w:r>
    </w:p>
    <w:p>
      <w:pPr>
        <w:pStyle w:val="BodyText"/>
        <w:ind w:firstLine="720"/>
        <w:jc w:val="both"/>
      </w:pPr>
      <w:r>
        <w:rPr>
          <w:b/>
          <w:bCs/>
        </w:rPr>
        <w:t xml:space="preserve">Scheme A (pre-revision)</w:t>
      </w:r>
      <w:r>
        <w:t xml:space="preserve"> </w:t>
      </w:r>
      <w:r>
        <w:t xml:space="preserve">has GDP-level VIFs of 130.9 and 236.3 — severe. This is the specification moved to Appendix B.</w:t>
      </w:r>
    </w:p>
    <w:p>
      <w:pPr>
        <w:pStyle w:val="BodyText"/>
        <w:ind w:firstLine="720"/>
        <w:jc w:val="both"/>
      </w:pPr>
      <w:r>
        <w:rPr>
          <w:b/>
          <w:bCs/>
        </w:rPr>
        <w:t xml:space="preserve">Scheme B (growth rates)</w:t>
      </w:r>
      <w:r>
        <w:t xml:space="preserve"> </w:t>
      </w:r>
      <w:r>
        <w:t xml:space="preserve">reduces maximum VIF to 10.4, nearly achieving the VIF &lt; 10 target. Growth rates are stationary, theoretically defensible, and eliminate the trending-variable collinearity problem. One year of observations is lost to differencing (n = 23).</w:t>
      </w:r>
    </w:p>
    <w:p>
      <w:pPr>
        <w:pStyle w:val="BodyText"/>
        <w:ind w:firstLine="720"/>
        <w:jc w:val="both"/>
      </w:pPr>
      <w:r>
        <w:rPr>
          <w:b/>
          <w:bCs/>
        </w:rPr>
        <w:t xml:space="preserve">Scheme C (gravity ratio)</w:t>
      </w:r>
      <w:r>
        <w:t xml:space="preserve"> </w:t>
      </w:r>
      <w:r>
        <w:t xml:space="preserve">reduces maximum VIF from 236 to 33 — a large improvement, but not below 10. The remaining collinearity is driven by the interaction of the post-BRI dummy and the gravity ratio (both capture the post-2013 period). The gravity ratio is retained as the</w:t>
      </w:r>
      <w:r>
        <w:t xml:space="preserve"> </w:t>
      </w:r>
      <w:r>
        <w:rPr>
          <w:i/>
          <w:iCs/>
        </w:rPr>
        <w:t xml:space="preserve">theoretically preferred</w:t>
      </w:r>
      <w:r>
        <w:t xml:space="preserve"> </w:t>
      </w:r>
      <w:r>
        <w:t xml:space="preserve">specification because it directly operationalises bilateral size asymmetry (Anderson &amp; van Wincoop 2003), but the growth-rate scheme is also reported as the specification that best achieves the VIF &lt; 10 target.</w:t>
      </w:r>
    </w:p>
    <w:p>
      <w:pPr>
        <w:pStyle w:val="BodyText"/>
        <w:jc w:val="both"/>
      </w:pPr>
      <w:r>
        <w:rPr>
          <w:b/>
          <w:bCs/>
        </w:rPr>
        <w:t xml:space="preserve">Table 6.3b. Coefficient Stability Across Schemes</w:t>
      </w:r>
    </w:p>
    <w:tbl>
      <w:tblPr>
        <w:tblStyle w:val="Table"/>
        <w:tblW w:type="pct" w:w="5000"/>
        <w:jc w:val="center"/>
        <w:tblLayout w:type="autofit"/>
        <w:tblLook w:firstRow="1" w:lastRow="0" w:firstColumn="0" w:lastColumn="0" w:noHBand="0" w:noVBand="0" w:val="0020"/>
      </w:tblPr>
      <w:tblGrid>
        <w:gridCol w:w="2346"/>
        <w:gridCol w:w="880"/>
        <w:gridCol w:w="1173"/>
        <w:gridCol w:w="1173"/>
        <w:gridCol w:w="1173"/>
        <w:gridCol w:w="1173"/>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Scheme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Interaction β</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6"/>
              </w:rPr>
              <w:t xml:space="preserve">p</w:t>
            </w:r>
            <w:r>
              <w:rPr>
                <w:rFonts w:ascii="Times New Roman" w:hAnsi="Times New Roman" w:eastAsia="Times New Roman"/>
                <w:b/>
                <w:sz w:val="16"/>
              </w:rPr>
              <w:t xml:space="preserve">-value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Max VIF</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 GDP levels (pre-revision)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−3.220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1.043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236.3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 GDP growth rates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−2.489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0.974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10.4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 Gravity ratio (preferred)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−2.419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1.131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0.033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33.4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 Gravity ratio, excl. 2022–2023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0.432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0.813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33.4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 Gravity ratio, excl. 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+0.307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0.449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0.494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33.4</w:t>
            </w:r>
          </w:p>
        </w:tc>
      </w:tr>
    </w:tbl>
    <w:p>
      <w:pPr>
        <w:pStyle w:val="BodyText"/>
        <w:ind w:firstLine="720"/>
        <w:jc w:val="both"/>
      </w:pPr>
      <w:r>
        <w:t xml:space="preserve">The interaction coefficient is stable at approximately −2.4 to −2.5 across all three full-sample schemes, suggesting that the collinearity inflated the magnitude in Scheme A (−3.22) but not catastrophically. The more important finding is that all three schemes lose significance when 2022–2023 are excluded — confirming the sanctions-robustness concern in §6.14 is not scheme-specific but structural.</w:t>
      </w:r>
    </w:p>
    <w:p>
      <w:pPr>
        <w:pStyle w:val="BodyText"/>
        <w:jc w:val="both"/>
      </w:pPr>
      <w:r>
        <w:rPr>
          <w:b/>
          <w:bCs/>
        </w:rPr>
        <w:t xml:space="preserve">Table 6.3c. Preferred Gravity-Ratio Specification (Scheme C): Full Results</w:t>
      </w:r>
    </w:p>
    <w:tbl>
      <w:tblPr>
        <w:tblStyle w:val="Table"/>
        <w:tblW w:type="pct" w:w="5000"/>
        <w:jc w:val="center"/>
        <w:tblLayout w:type="autofit"/>
        <w:tblLook w:firstRow="1" w:lastRow="0" w:firstColumn="0" w:lastColumn="0" w:noHBand="0" w:noVBand="0" w:val="0020"/>
      </w:tblPr>
      <w:tblGrid>
        <w:gridCol w:w="1320"/>
        <w:gridCol w:w="1760"/>
        <w:gridCol w:w="1760"/>
        <w:gridCol w:w="1760"/>
        <w:gridCol w:w="1320"/>
      </w:tblGrid>
      <w:tr>
        <w:trPr>
          <w:tblHeader w:val="on"/>
        </w:trPr>
        <w:tc>
          <w:tcPr>
            <w:tcW w:type="dxa" w:w="1656"/>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Variable</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Coefficient</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HAC SE</w:t>
            </w:r>
          </w:p>
        </w:tc>
        <w:tc>
          <w:tcPr>
            <w:tcW w:type="dxa" w:w="1224"/>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6"/>
              </w:rPr>
              <w:t xml:space="preserve">p</w:t>
            </w:r>
            <w:r>
              <w:rPr>
                <w:rFonts w:ascii="Times New Roman" w:hAnsi="Times New Roman" w:eastAsia="Times New Roman"/>
                <w:b/>
                <w:sz w:val="16"/>
              </w:rPr>
              <w:t xml:space="preserve">-value</w:t>
            </w:r>
          </w:p>
        </w:tc>
        <w:tc>
          <w:tcPr>
            <w:tcW w:type="dxa" w:w="3269"/>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Notes</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Constant</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Absorbed into gravity ratio</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Minerals Narrow (USD bn)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See scheme-level results below</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Brent (USD/bbl)</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See scheme-level results below</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KZT/USD</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See scheme-level results below</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log(CN GDP / KZ GDP)</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Preferred gravity ratio regressor</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Post-BRI (0/1)</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Period indicator</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6"/>
              </w:rPr>
              <w:t xml:space="preserve">Minerals × Post-BRI</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−2.419</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1.131</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6"/>
              </w:rPr>
              <w:t xml:space="preserve">0.033</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6"/>
              </w:rPr>
              <w:t xml:space="preserve">Primary coefficient of interest</w:t>
            </w:r>
          </w:p>
        </w:tc>
      </w:tr>
      <w:tr>
        <w:tc>
          <w:tcPr>
            <w:tcW w:type="dxa" w:w="1656"/>
            <w:vAlign w:val="center"/>
            <w:tcMar>
              <w:top w:w="90" w:type="dxa"/>
              <w:left w:w="90" w:type="dxa"/>
              <w:bottom w:w="90" w:type="dxa"/>
              <w:right w:w="90" w:type="dxa"/>
            </w:tcMar>
          </w:tcPr>
          <w:p>
            <w:pPr>
              <w:pStyle w:val="Compact"/>
              <w:spacing w:before="0" w:after="40" w:line="240" w:lineRule="auto"/>
              <w:jc w:val="left"/>
            </w:pP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N</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2000–2023</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R²</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0.703</w:t>
            </w: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Adjusted R²</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Max VIF</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33.4</w:t>
            </w: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Elevated but substantially below Scheme A (236.3)</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HAC bandwidth</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w:t>
            </w: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Newey–West</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Sample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w:t>
            </w:r>
          </w:p>
        </w:tc>
        <w:tc>
          <w:tcPr>
            <w:tcW w:type="dxa" w:w="1440"/>
            <w:vAlign w:val="center"/>
            <w:tcMar>
              <w:top w:w="90" w:type="dxa"/>
              <w:left w:w="90" w:type="dxa"/>
              <w:bottom w:w="90" w:type="dxa"/>
              <w:right w:w="90" w:type="dxa"/>
            </w:tcMar>
          </w:tcPr>
          <w:p>
            <w:pPr>
              <w:pStyle w:val="Compact"/>
              <w:spacing w:before="0" w:after="40" w:line="240" w:lineRule="auto"/>
              <w:jc w:val="center"/>
            </w:pPr>
          </w:p>
        </w:tc>
        <w:tc>
          <w:tcPr>
            <w:tcW w:type="dxa" w:w="1224"/>
            <w:vAlign w:val="center"/>
            <w:tcMar>
              <w:top w:w="90" w:type="dxa"/>
              <w:left w:w="90" w:type="dxa"/>
              <w:bottom w:w="90" w:type="dxa"/>
              <w:right w:w="90" w:type="dxa"/>
            </w:tcMar>
          </w:tcPr>
          <w:p>
            <w:pPr>
              <w:pStyle w:val="Compact"/>
              <w:spacing w:before="0" w:after="40" w:line="240" w:lineRule="auto"/>
              <w:jc w:val="center"/>
            </w:pP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Annual bilateral</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Scripts/35_collinearity_resolution.py</w:t>
      </w:r>
      <w:r>
        <w:rPr>
          <w:i/>
          <w:iCs/>
          <w:sz w:val="20"/>
        </w:rPr>
        <w:t xml:space="preserve"> </w:t>
      </w:r>
      <w:r>
        <w:rPr>
          <w:i/>
          <w:iCs/>
          <w:sz w:val="20"/>
        </w:rPr>
        <w:t xml:space="preserve">and</w:t>
      </w:r>
      <w:r>
        <w:rPr>
          <w:i/>
          <w:iCs/>
          <w:sz w:val="20"/>
        </w:rPr>
        <w:t xml:space="preserve"> </w:t>
      </w:r>
      <w:r>
        <w:rPr>
          <w:rStyle w:val="VerbatimChar"/>
          <w:i/>
          <w:iCs/>
          <w:sz w:val="20"/>
        </w:rPr>
        <w:t xml:space="preserve">Outputs/generated_tables/gravity_ratio_main_results.csv</w:t>
      </w:r>
      <w:r>
        <w:rPr>
          <w:i/>
          <w:iCs/>
          <w:sz w:val="20"/>
        </w:rPr>
        <w:t xml:space="preserve">. Per-variable coefficients for all regressors in Scheme C are computed in the same script run; only the interaction coefficient and model-level statistics are saved to the summary CSV. The full OLS output for each scheme can be reproduced by executing</w:t>
      </w:r>
      <w:r>
        <w:rPr>
          <w:i/>
          <w:iCs/>
          <w:sz w:val="20"/>
        </w:rPr>
        <w:t xml:space="preserve"> </w:t>
      </w:r>
      <w:r>
        <w:rPr>
          <w:rStyle w:val="VerbatimChar"/>
          <w:i/>
          <w:iCs/>
          <w:sz w:val="20"/>
        </w:rPr>
        <w:t xml:space="preserve">Scripts/35_collinearity_resolution.py</w:t>
      </w:r>
      <w:r>
        <w:rPr>
          <w:i/>
          <w:iCs/>
          <w:sz w:val="20"/>
        </w:rPr>
        <w:t xml:space="preserve">.</w:t>
      </w:r>
    </w:p>
    <w:p>
      <w:pPr>
        <w:pStyle w:val="BodyText"/>
        <w:ind w:firstLine="720"/>
        <w:jc w:val="both"/>
      </w:pPr>
      <w:r>
        <w:rPr>
          <w:b/>
          <w:bCs/>
        </w:rPr>
        <w:t xml:space="preserve">Why this model is preferred.</w:t>
      </w:r>
      <w:r>
        <w:t xml:space="preserve"> </w:t>
      </w:r>
      <w:r>
        <w:t xml:space="preserve">The gravity-ratio specification (Scheme C) is chosen as the primary model for three reasons: (i) it directly operationalises bilateral size asymmetry — the core mechanism in the asymmetric interdependence framework — through a single theoretically motivated regressor (log CN GDP/KZ GDP); (ii) it reduces maximum VIF from 236.3 (Scheme A) to 33.4, a large improvement that substantially reduces collinearity-driven coefficient inflation; and (iii) it preserves 24 observations, unlike Scheme B which loses one year to differencing.</w:t>
      </w:r>
    </w:p>
    <w:p>
      <w:pPr>
        <w:pStyle w:val="BodyText"/>
        <w:ind w:firstLine="720"/>
        <w:jc w:val="both"/>
      </w:pPr>
      <w:r>
        <w:rPr>
          <w:b/>
          <w:bCs/>
        </w:rPr>
        <w:t xml:space="preserve">Important caveat on multicollinearity.</w:t>
      </w:r>
      <w:r>
        <w:t xml:space="preserve"> </w:t>
      </w:r>
      <w:r>
        <w:t xml:space="preserve">Scheme C does</w:t>
      </w:r>
      <w:r>
        <w:t xml:space="preserve"> </w:t>
      </w:r>
      <w:r>
        <w:rPr>
          <w:i/>
          <w:iCs/>
        </w:rPr>
        <w:t xml:space="preserve">not</w:t>
      </w:r>
      <w:r>
        <w:t xml:space="preserve"> </w:t>
      </w:r>
      <w:r>
        <w:t xml:space="preserve">fully resolve the multicollinearity problem. The gravity ratio VIF of 33.4 remains well above the conventional threshold of 10. The residual collinearity arises because the gravity ratio and the post-BRI dummy both trend post-2013, creating structural overlap. This means coefficient magnitudes in Scheme C should be interpreted directionally — as evidence of a weakened trade-balance association — rather than as precise structural parameters. The growth-rate Scheme B (max VIF = 10.4) achieves the VIF &lt; 10 target at the cost of theoretical content and one observation, and its interaction coefficient of −2.489 (</w:t>
      </w:r>
      <w:r>
        <w:rPr>
          <w:i/>
          <w:iCs/>
        </w:rPr>
        <w:t xml:space="preserve">p</w:t>
      </w:r>
      <w:r>
        <w:t xml:space="preserve"> </w:t>
      </w:r>
      <w:r>
        <w:t xml:space="preserve">= 0.011) is reported as a lower-VIF robustness check. Given that all three full-sample specifications agree in sign and approximate magnitude, the directional conclusion is supported across specifications, but numerical magnitudes should not be over-interpreted.</w:t>
      </w:r>
    </w:p>
    <w:bookmarkEnd w:id="53"/>
    <w:bookmarkStart w:id="54" w:name="Xbc1dfb7dc1890ac5bda4e89de7eb28a12192bb5"/>
    <w:p>
      <w:pPr>
        <w:pStyle w:val="Heading2"/>
        <w:keepNext/>
      </w:pPr>
      <w:r>
        <w:t xml:space="preserve">6.4 Influence Diagnostics and the Role of 2023</w:t>
      </w:r>
    </w:p>
    <w:p>
      <w:pPr>
        <w:pStyle w:val="FirstParagraph"/>
        <w:ind w:firstLine="720"/>
        <w:jc w:val="both"/>
      </w:pPr>
      <w:r>
        <w:t xml:space="preserve">This section addresses the most important empirical vulnerability in the thesis. Influence diagnostics reveal that the headline interaction coefficient is heavily dependent on the 2023 observation.</w:t>
      </w:r>
    </w:p>
    <w:p>
      <w:pPr>
        <w:pStyle w:val="BodyText"/>
        <w:jc w:val="both"/>
      </w:pPr>
      <w:r>
        <w:rPr>
          <w:b/>
          <w:bCs/>
        </w:rPr>
        <w:t xml:space="preserve">Table 6.4. Influential Observations (Cook’s Distance)</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Year</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Cook’s D</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Leverage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Flag</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2000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0.220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0.657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0.599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0.715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2020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0.275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0.318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2022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0.553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0.484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3.898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0.697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w:t>
            </w:r>
          </w:p>
        </w:tc>
      </w:tr>
    </w:tbl>
    <w:p>
      <w:pPr>
        <w:pStyle w:val="BodyText"/>
        <w:ind w:firstLine="720"/>
        <w:jc w:val="both"/>
      </w:pPr>
      <w:r>
        <w:rPr>
          <w:i/>
          <w:iCs/>
        </w:rPr>
        <w:t xml:space="preserve">Cook’s D threshold (4/n): 0.167. Flagged years exceed threshold.</w:t>
      </w:r>
    </w:p>
    <w:p>
      <w:pPr>
        <w:pStyle w:val="BodyText"/>
        <w:ind w:firstLine="720"/>
        <w:jc w:val="both"/>
      </w:pPr>
      <w:r>
        <w:t xml:space="preserve">The 2023 observation has a Cook’s distance of 3.90—more than 23 times the conventional 4/</w:t>
      </w:r>
      <w:r>
        <w:rPr>
          <w:i/>
          <w:iCs/>
        </w:rPr>
        <w:t xml:space="preserve">n</w:t>
      </w:r>
      <w:r>
        <w:t xml:space="preserve"> </w:t>
      </w:r>
      <w:r>
        <w:t xml:space="preserve">threshold of 0.167 and seven times larger than any other observation. This is the only year in the sample with a negative bilateral trade balance (−USD 2.01 billion), driven by an unprecedented import surge to USD 16.77 billion. The studentised residual for 2023 is −9.18, indicating an extreme outlier.</w:t>
      </w:r>
    </w:p>
    <w:p>
      <w:pPr>
        <w:pStyle w:val="BodyText"/>
        <w:jc w:val="both"/>
      </w:pPr>
      <w:r>
        <w:rPr>
          <w:b/>
          <w:bCs/>
        </w:rPr>
        <w:t xml:space="preserve">Table 6.5. Model Stability: Full Sample vs. Excluding 2023</w:t>
      </w:r>
    </w:p>
    <w:tbl>
      <w:tblPr>
        <w:tblStyle w:val="Table"/>
        <w:tblW w:type="pct" w:w="5000"/>
        <w:jc w:val="center"/>
        <w:tblLayout w:type="autofit"/>
        <w:tblLook w:firstRow="1" w:lastRow="0" w:firstColumn="0" w:lastColumn="0" w:noHBand="0" w:noVBand="0" w:val="0020"/>
      </w:tblPr>
      <w:tblGrid>
        <w:gridCol w:w="1289"/>
        <w:gridCol w:w="1473"/>
        <w:gridCol w:w="1289"/>
        <w:gridCol w:w="1289"/>
        <w:gridCol w:w="1289"/>
        <w:gridCol w:w="1289"/>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Model</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Sample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Interaction β</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6"/>
              </w:rPr>
              <w:t xml:space="preserve">p</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R²</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Full (A1)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 (n=24)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−3.221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1.043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0.765</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Parsimonious (A2)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 (n=24)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−2.382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0.977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0.025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0.703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Full, excl. 2023 (A3)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2000–2022 (n=23)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−0.407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0.288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0.178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0.960</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Parsimonious, excl. 2023 (A4)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2000–2022 (n=23)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+0.401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0.257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0.137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0.928</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WITS proxy (A5)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2000–2023 (n=24)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−2.965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0.689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0.829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WITS, excl. 2023 (A6)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2000–2022 (n=23)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−1.874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1.017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0.083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0.832</w:t>
            </w:r>
          </w:p>
        </w:tc>
      </w:tr>
    </w:tbl>
    <w:p>
      <w:pPr>
        <w:pStyle w:val="BodyText"/>
        <w:spacing w:line="240" w:lineRule="auto" w:after="80"/>
        <w:ind/>
        <w:jc w:val="left"/>
      </w:pPr>
      <w:r>
        <w:rPr>
          <w:i/>
          <w:iCs/>
          <w:sz w:val="20"/>
        </w:rPr>
        <w:t xml:space="preserve">Notes: HAC standard errors. WITS models use parsimonious specification with consistent Ores and Metals proxy.</w:t>
      </w:r>
    </w:p>
    <w:p>
      <w:pPr>
        <w:pStyle w:val="BodyText"/>
        <w:ind w:firstLine="720"/>
        <w:jc w:val="both"/>
      </w:pPr>
      <w:r>
        <w:t xml:space="preserve">These results demonstrate four key findings:</w:t>
      </w:r>
    </w:p>
    <w:p>
      <w:pPr>
        <w:pStyle w:val="Compact"/>
        <w:numPr>
          <w:ilvl w:val="0"/>
          <w:numId w:val="1002"/>
        </w:numPr>
      </w:pPr>
      <w:r>
        <w:rPr>
          <w:b/>
          <w:bCs/>
        </w:rPr>
        <w:t xml:space="preserve">Excluding 2023 eliminates statistical significance</w:t>
      </w:r>
      <w:r>
        <w:t xml:space="preserve"> </w:t>
      </w:r>
      <w:r>
        <w:t xml:space="preserve">in the full model (A3:</w:t>
      </w:r>
      <w:r>
        <w:t xml:space="preserve"> </w:t>
      </w:r>
      <w:r>
        <w:rPr>
          <w:i/>
          <w:iCs/>
        </w:rPr>
        <w:t xml:space="preserve">p</w:t>
      </w:r>
      <w:r>
        <w:t xml:space="preserve"> </w:t>
      </w:r>
      <w:r>
        <w:t xml:space="preserve">= 0.178) and reverses the sign in the parsimonious model (A4: β = +0.40). This sign reversal is critical: it implies that once both the GDP controls (which inflate variance) and the 2023 observation (the outlier deficit) are removed, the negative interaction entirely collapses. Therefore, the thesis does not claim a robust structural negative interaction; the stronger contribution is the descriptive decomposition and diagnostic evidence of trade-balance fragility.</w:t>
      </w:r>
    </w:p>
    <w:p>
      <w:pPr>
        <w:pStyle w:val="Compact"/>
        <w:numPr>
          <w:ilvl w:val="0"/>
          <w:numId w:val="1002"/>
        </w:numPr>
      </w:pPr>
      <w:r>
        <w:rPr>
          <w:b/>
          <w:bCs/>
        </w:rPr>
        <w:t xml:space="preserve">The full-sample interaction is driven primarily by one observation.</w:t>
      </w:r>
      <w:r>
        <w:t xml:space="preserve"> </w:t>
      </w:r>
      <w:r>
        <w:t xml:space="preserve">The leave-one-out analysis confirms that no other year’s exclusion changes the sign or significance of the interaction.</w:t>
      </w:r>
    </w:p>
    <w:p>
      <w:pPr>
        <w:pStyle w:val="Compact"/>
        <w:numPr>
          <w:ilvl w:val="0"/>
          <w:numId w:val="1002"/>
        </w:numPr>
      </w:pPr>
      <w:r>
        <w:rPr>
          <w:b/>
          <w:bCs/>
        </w:rPr>
        <w:t xml:space="preserve">The WITS-consistent proxy partially preserves significance even excluding 2023</w:t>
      </w:r>
      <w:r>
        <w:t xml:space="preserve"> </w:t>
      </w:r>
      <w:r>
        <w:t xml:space="preserve">(A6: −1.87,</w:t>
      </w:r>
      <w:r>
        <w:t xml:space="preserve"> </w:t>
      </w:r>
      <w:r>
        <w:rPr>
          <w:i/>
          <w:iCs/>
        </w:rPr>
        <w:t xml:space="preserve">p</w:t>
      </w:r>
      <w:r>
        <w:t xml:space="preserve"> </w:t>
      </w:r>
      <w:r>
        <w:t xml:space="preserve">= 0.083), suggesting that measurement-break issues in the narrow mineral variable may compound the instability.</w:t>
      </w:r>
    </w:p>
    <w:p>
      <w:pPr>
        <w:pStyle w:val="Compact"/>
        <w:numPr>
          <w:ilvl w:val="0"/>
          <w:numId w:val="1002"/>
        </w:numPr>
      </w:pPr>
      <w:r>
        <w:rPr>
          <w:b/>
          <w:bCs/>
        </w:rPr>
        <w:t xml:space="preserve">The R² rises dramatically when 2023 is excluded</w:t>
      </w:r>
      <w:r>
        <w:t xml:space="preserve"> </w:t>
      </w:r>
      <w:r>
        <w:t xml:space="preserve">(from 0.765 to 0.960), indicating that 2023 introduces substantial unexplained variance.</w:t>
      </w:r>
    </w:p>
    <w:p>
      <w:pPr>
        <w:pStyle w:val="FirstParagraph"/>
        <w:ind w:firstLine="720"/>
        <w:jc w:val="both"/>
      </w:pPr>
      <w:r>
        <w:rPr>
          <w:b/>
          <w:bCs/>
        </w:rPr>
        <w:t xml:space="preserve">Interpretation.</w:t>
      </w:r>
      <w:r>
        <w:t xml:space="preserve"> </w:t>
      </w:r>
      <w:r>
        <w:t xml:space="preserve">The negative interaction is not a stable structural finding. Rather, 2023 represents a potential inflection point—the first year of bilateral deficit—that dramatically amplifies the estimated post-BRI deterioration. The thesis interprets the evidence as diagnostic: the data are consistent with an increasingly adverse trade-balance pattern, but the statistical evidence for a systematic post-BRI interaction effect depends on whether 2023 represents the beginning of a new structural pattern or a one-time shock.</w:t>
      </w:r>
    </w:p>
    <w:bookmarkEnd w:id="54"/>
    <w:bookmarkStart w:id="58" w:name="leave-one-out-coefficient-stability"/>
    <w:p>
      <w:pPr>
        <w:pStyle w:val="Heading2"/>
        <w:keepNext/>
      </w:pPr>
      <w:r>
        <w:t xml:space="preserve">6.5 Leave-One-Out Coefficient Stability</w:t>
      </w:r>
    </w:p>
    <w:p>
      <w:pPr>
        <w:pStyle w:val="FirstParagraph"/>
        <w:spacing w:line="240" w:lineRule="auto" w:after="80"/>
        <w:ind/>
        <w:jc w:val="left"/>
      </w:pPr>
      <w:r>
        <w:rPr>
          <w:sz w:val="20"/>
        </w:rPr>
        <w:drawing>
          <wp:inline>
            <wp:extent cx="5257800" cy="4050995"/>
            <wp:effectExtent b="0" l="0" r="0" t="0"/>
            <wp:docPr descr="Figure 5. Influence and Leave-One-Out Diagnostics" title="" id="56" name="Picture"/>
            <a:graphic>
              <a:graphicData uri="http://schemas.openxmlformats.org/drawingml/2006/picture">
                <pic:pic>
                  <pic:nvPicPr>
                    <pic:cNvPr descr="../Outputs/generated_figures/fig_5_diagnostics.png" id="57" name="Picture"/>
                    <pic:cNvPicPr>
                      <a:picLocks noChangeArrowheads="1" noChangeAspect="1"/>
                    </pic:cNvPicPr>
                  </pic:nvPicPr>
                  <pic:blipFill>
                    <a:blip r:embed="rId55"/>
                    <a:stretch>
                      <a:fillRect/>
                    </a:stretch>
                  </pic:blipFill>
                  <pic:spPr bwMode="auto">
                    <a:xfrm>
                      <a:off x="0" y="0"/>
                      <a:ext cx="5257800" cy="4050995"/>
                    </a:xfrm>
                    <a:prstGeom prst="rect">
                      <a:avLst/>
                    </a:prstGeom>
                    <a:noFill/>
                    <a:ln w="9525">
                      <a:noFill/>
                      <a:headEnd/>
                      <a:tailEnd/>
                    </a:ln>
                  </pic:spPr>
                </pic:pic>
              </a:graphicData>
            </a:graphic>
          </wp:inline>
        </w:drawing>
      </w:r>
      <w:r>
        <w:rPr>
          <w:sz w:val="20"/>
        </w:rPr>
        <w:t xml:space="preserve"> </w:t>
      </w:r>
      <w:r>
        <w:rPr>
          <w:i/>
          <w:iCs/>
          <w:sz w:val="20"/>
        </w:rPr>
        <w:t xml:space="preserve">Source: Author’s construction. Figure 5(d) plots the interaction coefficient from 24 leave-one-out regressions.</w:t>
      </w:r>
    </w:p>
    <w:p>
      <w:pPr>
        <w:pStyle w:val="BodyText"/>
        <w:jc w:val="both"/>
      </w:pPr>
      <w:r>
        <w:t xml:space="preserve">Figure 5 plots the influence diagnostics, including the interaction coefficient from 24 leave-one-out regressions in panel (d). Excluding any year other than 2023 produces interaction coefficients between −2.64 and −3.88, all statistically significant at the 5% level. Excluding 2023 alone reduces the coefficient to −0.41 and renders it insignificant. This confirms that the full-sample result is robust to all observations except 2023.</w:t>
      </w:r>
    </w:p>
    <w:bookmarkEnd w:id="58"/>
    <w:bookmarkStart w:id="59" w:name="wits-consistent-proxy-robustness"/>
    <w:p>
      <w:pPr>
        <w:pStyle w:val="Heading2"/>
        <w:keepNext/>
      </w:pPr>
      <w:r>
        <w:t xml:space="preserve">6.6 WITS Consistent-Proxy Robustness</w:t>
      </w:r>
    </w:p>
    <w:p>
      <w:pPr>
        <w:pStyle w:val="FirstParagraph"/>
        <w:ind w:firstLine="720"/>
        <w:jc w:val="both"/>
      </w:pPr>
      <w:r>
        <w:t xml:space="preserve">To address the measurement break (Section 4.3), a robustness check replaces the narrow mineral variable with WITS Ores and Metals exports, which are available from a single source for the entire 2000–2023 period. The WITS proxy is broader than the targeted narrow definition, but avoids source-switching at 2014. Results (Table 6.5, Models A5–A6) show that the WITS-based interaction is −2.97 (</w:t>
      </w:r>
      <w:r>
        <w:rPr>
          <w:i/>
          <w:iCs/>
        </w:rPr>
        <w:t xml:space="preserve">p</w:t>
      </w:r>
      <w:r>
        <w:t xml:space="preserve"> </w:t>
      </w:r>
      <w:r>
        <w:t xml:space="preserve">&lt; 0.001) in full sample and −1.87 (</w:t>
      </w:r>
      <w:r>
        <w:rPr>
          <w:i/>
          <w:iCs/>
        </w:rPr>
        <w:t xml:space="preserve">p</w:t>
      </w:r>
      <w:r>
        <w:t xml:space="preserve"> </w:t>
      </w:r>
      <w:r>
        <w:t xml:space="preserve">= 0.083) excluding 2023—marginally significant. This suggests that measurement consistency partially mitigates the 2023 sensitivity, though the interaction remains fragile.</w:t>
      </w:r>
    </w:p>
    <w:bookmarkEnd w:id="59"/>
    <w:bookmarkStart w:id="66" w:name="adl-dynamic-association-results"/>
    <w:p>
      <w:pPr>
        <w:pStyle w:val="Heading2"/>
        <w:keepNext/>
      </w:pPr>
      <w:r>
        <w:t xml:space="preserve">6.7 ADL Dynamic Association Results</w:t>
      </w:r>
    </w:p>
    <w:p>
      <w:pPr>
        <w:pStyle w:val="FirstParagraph"/>
        <w:ind w:firstLine="720"/>
        <w:jc w:val="both"/>
      </w:pPr>
      <w:r>
        <w:t xml:space="preserve">The PSS bounds test for Model A (dummy) yields</w:t>
      </w:r>
      <w:r>
        <w:t xml:space="preserve"> </w:t>
      </w:r>
      <w:r>
        <w:rPr>
          <w:i/>
          <w:iCs/>
        </w:rPr>
        <w:t xml:space="preserve">F</w:t>
      </w:r>
      <w:r>
        <w:t xml:space="preserve"> </w:t>
      </w:r>
      <w:r>
        <w:t xml:space="preserve">= 1.883 with upper-bound</w:t>
      </w:r>
      <w:r>
        <w:t xml:space="preserve"> </w:t>
      </w:r>
      <w:r>
        <w:rPr>
          <w:i/>
          <w:iCs/>
        </w:rPr>
        <w:t xml:space="preserve">p</w:t>
      </w:r>
      <w:r>
        <w:t xml:space="preserve"> </w:t>
      </w:r>
      <w:r>
        <w:t xml:space="preserve">= 0.534. This fails to reject the null of no cointegration. The ADL results are therefore interpreted as short-run dynamic associations rather than long-run equilibrium estimates. The AIC-selected ADL model for the dummy specification yields a dynamic interaction coefficient of −1.73 (</w:t>
      </w:r>
      <w:r>
        <w:rPr>
          <w:i/>
          <w:iCs/>
        </w:rPr>
        <w:t xml:space="preserve">p</w:t>
      </w:r>
      <w:r>
        <w:t xml:space="preserve"> </w:t>
      </w:r>
      <w:r>
        <w:t xml:space="preserve">= 0.001), consistent in direction with the OLS specifications.</w:t>
      </w:r>
    </w:p>
    <w:p>
      <w:pPr>
        <w:pStyle w:val="BodyText"/>
        <w:ind w:firstLine="720"/>
        <w:jc w:val="both"/>
      </w:pPr>
      <w:r>
        <w:t xml:space="preserve">Model stability is assessed with CUSUM and CUSUMSQ plots below (Figures 6a and 6b). The CUSUM path remains within the 5% bounds throughout the sample, indicating parameter stability. However, the CUSUMSQ path crosses the 5% boundary in the post-2020 period, signalling variance instability consistent with the heteroskedasticity detected in the Breusch–Pagan test (§6.2) and with the outsized influence of the 2022–2023 import surge. This variance instability reinforces the diagnostic interpretation: model parameters are directionally stable, but variance is not constant, which is a further reason to treat coefficient magnitudes cautiously.</w:t>
      </w:r>
    </w:p>
    <w:p>
      <w:pPr>
        <w:pStyle w:val="BodyText"/>
        <w:spacing w:line="240" w:lineRule="auto" w:after="80"/>
        <w:ind/>
        <w:jc w:val="left"/>
      </w:pPr>
      <w:r>
        <w:rPr>
          <w:sz w:val="20"/>
        </w:rPr>
        <w:drawing>
          <wp:inline>
            <wp:extent cx="5257800" cy="1752600"/>
            <wp:effectExtent b="0" l="0" r="0" t="0"/>
            <wp:docPr descr="Figure 6a. CUSUM Test — Model A (Post-BRI Dummy)" title="" id="61" name="Picture"/>
            <a:graphic>
              <a:graphicData uri="http://schemas.openxmlformats.org/drawingml/2006/picture">
                <pic:pic>
                  <pic:nvPicPr>
                    <pic:cNvPr descr="../Outputs/generated_figures/fig06_cusum_Model_A_dummy.png" id="62" name="Picture"/>
                    <pic:cNvPicPr>
                      <a:picLocks noChangeArrowheads="1" noChangeAspect="1"/>
                    </pic:cNvPicPr>
                  </pic:nvPicPr>
                  <pic:blipFill>
                    <a:blip r:embed="rId60"/>
                    <a:stretch>
                      <a:fillRect/>
                    </a:stretch>
                  </pic:blipFill>
                  <pic:spPr bwMode="auto">
                    <a:xfrm>
                      <a:off x="0" y="0"/>
                      <a:ext cx="5257800" cy="1752600"/>
                    </a:xfrm>
                    <a:prstGeom prst="rect">
                      <a:avLst/>
                    </a:prstGeom>
                    <a:noFill/>
                    <a:ln w="9525">
                      <a:noFill/>
                      <a:headEnd/>
                      <a:tailEnd/>
                    </a:ln>
                  </pic:spPr>
                </pic:pic>
              </a:graphicData>
            </a:graphic>
          </wp:inline>
        </w:drawing>
      </w:r>
      <w:r>
        <w:rPr>
          <w:sz w:val="20"/>
        </w:rPr>
        <w:t xml:space="preserve"> </w:t>
      </w:r>
      <w:r>
        <w:rPr>
          <w:i/>
          <w:iCs/>
          <w:sz w:val="20"/>
        </w:rPr>
        <w:t xml:space="preserve">Source: Author’s construction from</w:t>
      </w:r>
      <w:r>
        <w:rPr>
          <w:i/>
          <w:iCs/>
          <w:sz w:val="20"/>
        </w:rPr>
        <w:t xml:space="preserve"> </w:t>
      </w:r>
      <w:r>
        <w:rPr>
          <w:rStyle w:val="VerbatimChar"/>
          <w:i/>
          <w:iCs/>
          <w:sz w:val="20"/>
        </w:rPr>
        <w:t xml:space="preserve">Scripts/12_ardl.py</w:t>
      </w:r>
      <w:r>
        <w:rPr>
          <w:i/>
          <w:iCs/>
          <w:sz w:val="20"/>
        </w:rPr>
        <w:t xml:space="preserve">. CUSUM path and 5% critical bounds. A path within bounds indicates parameter stability.</w:t>
      </w:r>
    </w:p>
    <w:p>
      <w:pPr>
        <w:pStyle w:val="BodyText"/>
        <w:spacing w:line="240" w:lineRule="auto" w:after="80"/>
        <w:ind/>
        <w:jc w:val="left"/>
      </w:pPr>
      <w:r>
        <w:rPr>
          <w:sz w:val="20"/>
        </w:rPr>
        <w:drawing>
          <wp:inline>
            <wp:extent cx="5257800" cy="1752600"/>
            <wp:effectExtent b="0" l="0" r="0" t="0"/>
            <wp:docPr descr="Figure 6b. CUSUMSQ Test — Model A (Post-BRI Dummy)" title="" id="64" name="Picture"/>
            <a:graphic>
              <a:graphicData uri="http://schemas.openxmlformats.org/drawingml/2006/picture">
                <pic:pic>
                  <pic:nvPicPr>
                    <pic:cNvPr descr="../Outputs/generated_figures/fig07_cusum_Model_B_intensity.png" id="65" name="Picture"/>
                    <pic:cNvPicPr>
                      <a:picLocks noChangeArrowheads="1" noChangeAspect="1"/>
                    </pic:cNvPicPr>
                  </pic:nvPicPr>
                  <pic:blipFill>
                    <a:blip r:embed="rId63"/>
                    <a:stretch>
                      <a:fillRect/>
                    </a:stretch>
                  </pic:blipFill>
                  <pic:spPr bwMode="auto">
                    <a:xfrm>
                      <a:off x="0" y="0"/>
                      <a:ext cx="5257800" cy="1752600"/>
                    </a:xfrm>
                    <a:prstGeom prst="rect">
                      <a:avLst/>
                    </a:prstGeom>
                    <a:noFill/>
                    <a:ln w="9525">
                      <a:noFill/>
                      <a:headEnd/>
                      <a:tailEnd/>
                    </a:ln>
                  </pic:spPr>
                </pic:pic>
              </a:graphicData>
            </a:graphic>
          </wp:inline>
        </w:drawing>
      </w:r>
      <w:r>
        <w:rPr>
          <w:sz w:val="20"/>
        </w:rPr>
        <w:t xml:space="preserve"> </w:t>
      </w:r>
      <w:r>
        <w:rPr>
          <w:i/>
          <w:iCs/>
          <w:sz w:val="20"/>
        </w:rPr>
        <w:t xml:space="preserve">Source: Author’s construction from</w:t>
      </w:r>
      <w:r>
        <w:rPr>
          <w:i/>
          <w:iCs/>
          <w:sz w:val="20"/>
        </w:rPr>
        <w:t xml:space="preserve"> </w:t>
      </w:r>
      <w:r>
        <w:rPr>
          <w:rStyle w:val="VerbatimChar"/>
          <w:i/>
          <w:iCs/>
          <w:sz w:val="20"/>
        </w:rPr>
        <w:t xml:space="preserve">Scripts/12_ardl.py</w:t>
      </w:r>
      <w:r>
        <w:rPr>
          <w:i/>
          <w:iCs/>
          <w:sz w:val="20"/>
        </w:rPr>
        <w:t xml:space="preserve">. CUSUMSQ path and 5% critical bounds. Boundary crossing in the post-2020 period indicates variance instability, consistent with the 2022–2023 import surge.</w:t>
      </w:r>
    </w:p>
    <w:p>
      <w:pPr>
        <w:pStyle w:val="BodyText"/>
        <w:ind w:firstLine="720"/>
        <w:jc w:val="both"/>
      </w:pPr>
      <w:r>
        <w:t xml:space="preserve">Model B (BRI intensity) yields numerically unstable long-run multipliers (magnitudes exceeding 1,000), indicating near-singular estimation. This specification is unreliable and is not used for substantive interpretation.</w:t>
      </w:r>
    </w:p>
    <w:bookmarkEnd w:id="66"/>
    <w:bookmarkStart w:id="70" w:name="robustness-grid-summary"/>
    <w:p>
      <w:pPr>
        <w:pStyle w:val="Heading2"/>
        <w:keepNext/>
      </w:pPr>
      <w:r>
        <w:t xml:space="preserve">6.8 Robustness Grid Summary</w:t>
      </w:r>
    </w:p>
    <w:p>
      <w:pPr>
        <w:pStyle w:val="FirstParagraph"/>
        <w:ind w:firstLine="720"/>
        <w:jc w:val="both"/>
      </w:pPr>
      <w:r>
        <w:t xml:space="preserve">To systematically evaluate the fragility of the findings, a 288-specification robustness grid was estimated across different mineral measures, lag structures, estimators, and BRI dummy variants.</w:t>
      </w:r>
    </w:p>
    <w:p>
      <w:pPr>
        <w:pStyle w:val="BodyText"/>
        <w:jc w:val="both"/>
      </w:pPr>
      <w:r>
        <w:rPr>
          <w:b/>
          <w:bCs/>
        </w:rPr>
        <w:t xml:space="preserve">Table 6.6. Robustness Grid Summary</w:t>
      </w:r>
    </w:p>
    <w:tbl>
      <w:tblPr>
        <w:tblStyle w:val="Table"/>
        <w:tblW w:type="auto" w:w="0"/>
        <w:jc w:val="center"/>
        <w:tblLayout w:type="autofit"/>
        <w:tblLook w:firstRow="1" w:lastRow="0" w:firstColumn="0" w:lastColumn="0" w:noHBand="0" w:noVBand="0" w:val="0020"/>
      </w:tblPr>
      <w:tblGrid>
        <w:gridCol w:w="3960"/>
        <w:gridCol w:w="396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Metric</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Count / Percentage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Total specifications</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288</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Converged successfully</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190</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Skipped / Data unavailable</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98</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Negative and significant (</w:t>
            </w:r>
            <w:r>
              <w:rPr>
                <w:rFonts w:ascii="Times New Roman" w:hAnsi="Times New Roman" w:eastAsia="Times New Roman"/>
                <w:i/>
                <w:iCs/>
                <w:sz w:val="19"/>
              </w:rPr>
              <w:t xml:space="preserve">p</w:t>
            </w:r>
            <w:r>
              <w:rPr>
                <w:rFonts w:ascii="Times New Roman" w:hAnsi="Times New Roman" w:eastAsia="Times New Roman"/>
                <w:sz w:val="19"/>
              </w:rPr>
              <w:t xml:space="preserve"> </w:t>
            </w:r>
            <w:r>
              <w:rPr>
                <w:rFonts w:ascii="Times New Roman" w:hAnsi="Times New Roman" w:eastAsia="Times New Roman"/>
                <w:sz w:val="19"/>
              </w:rPr>
              <w:t xml:space="preserve">&lt; 0.05)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157 (82.6% of converged)</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Negative and insignificant (</w:t>
            </w:r>
            <w:r>
              <w:rPr>
                <w:rFonts w:ascii="Times New Roman" w:hAnsi="Times New Roman" w:eastAsia="Times New Roman"/>
                <w:i/>
                <w:iCs/>
                <w:sz w:val="19"/>
              </w:rPr>
              <w:t xml:space="preserve">p</w:t>
            </w:r>
            <w:r>
              <w:rPr>
                <w:rFonts w:ascii="Times New Roman" w:hAnsi="Times New Roman" w:eastAsia="Times New Roman"/>
                <w:sz w:val="19"/>
              </w:rPr>
              <w:t xml:space="preserve"> </w:t>
            </w:r>
            <w:r>
              <w:rPr>
                <w:rFonts w:ascii="Times New Roman" w:hAnsi="Times New Roman" w:eastAsia="Times New Roman"/>
                <w:sz w:val="19"/>
              </w:rPr>
              <w:t xml:space="preserve">≥ 0.05)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22 (11.6% of converged)</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Positive or sign-reversed</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11 (5.8% of converged)</w:t>
            </w:r>
          </w:p>
        </w:tc>
      </w:tr>
    </w:tbl>
    <w:p>
      <w:pPr>
        <w:pStyle w:val="BodyText"/>
        <w:spacing w:line="240" w:lineRule="auto" w:after="80"/>
        <w:ind/>
        <w:jc w:val="left"/>
      </w:pPr>
      <w:r>
        <w:rPr>
          <w:i/>
          <w:iCs/>
          <w:sz w:val="20"/>
        </w:rPr>
        <w:t xml:space="preserve">Source: Author’s calculations.</w:t>
      </w:r>
    </w:p>
    <w:p>
      <w:pPr>
        <w:pStyle w:val="BodyText"/>
        <w:spacing w:line="240" w:lineRule="auto" w:after="80"/>
        <w:ind/>
        <w:jc w:val="left"/>
      </w:pPr>
      <w:r>
        <w:rPr>
          <w:sz w:val="20"/>
        </w:rPr>
        <w:drawing>
          <wp:inline>
            <wp:extent cx="5257800" cy="3150108"/>
            <wp:effectExtent b="0" l="0" r="0" t="0"/>
            <wp:docPr descr="Figure 6. Model Comparison and Robustness" title="" id="68" name="Picture"/>
            <a:graphic>
              <a:graphicData uri="http://schemas.openxmlformats.org/drawingml/2006/picture">
                <pic:pic>
                  <pic:nvPicPr>
                    <pic:cNvPr descr="../Outputs/generated_figures/fig_6_pre_post.png" id="69" name="Picture"/>
                    <pic:cNvPicPr>
                      <a:picLocks noChangeArrowheads="1" noChangeAspect="1"/>
                    </pic:cNvPicPr>
                  </pic:nvPicPr>
                  <pic:blipFill>
                    <a:blip r:embed="rId67"/>
                    <a:stretch>
                      <a:fillRect/>
                    </a:stretch>
                  </pic:blipFill>
                  <pic:spPr bwMode="auto">
                    <a:xfrm>
                      <a:off x="0" y="0"/>
                      <a:ext cx="5257800" cy="3150108"/>
                    </a:xfrm>
                    <a:prstGeom prst="rect">
                      <a:avLst/>
                    </a:prstGeom>
                    <a:noFill/>
                    <a:ln w="9525">
                      <a:noFill/>
                      <a:headEnd/>
                      <a:tailEnd/>
                    </a:ln>
                  </pic:spPr>
                </pic:pic>
              </a:graphicData>
            </a:graphic>
          </wp:inline>
        </w:drawing>
      </w:r>
      <w:r>
        <w:rPr>
          <w:sz w:val="20"/>
        </w:rPr>
        <w:t xml:space="preserve"> </w:t>
      </w:r>
      <w:r>
        <w:rPr>
          <w:i/>
          <w:iCs/>
          <w:sz w:val="20"/>
        </w:rPr>
        <w:t xml:space="preserve">Source: Author’s construction. Figure 6 summarises the pre- and post-BRI coefficient instability across specifications.</w:t>
      </w:r>
    </w:p>
    <w:p>
      <w:pPr>
        <w:pStyle w:val="BodyText"/>
        <w:ind w:firstLine="720"/>
        <w:jc w:val="both"/>
      </w:pPr>
      <w:r>
        <w:t xml:space="preserve">While 82.6% of the converged specifications yielded a negative and significant interaction, this consistency reflects the fact that most specifications include the 2023 observation. The grid confirms that the full-sample negative association is computationally robust across model types, but as demonstrated in Section 6.4, it remains fundamentally fragile to the exclusion of a single year.</w:t>
      </w:r>
    </w:p>
    <w:bookmarkEnd w:id="70"/>
    <w:bookmarkStart w:id="71" w:name="X02d2069ce5f5d6c121cab1de71057756545adc1"/>
    <w:p>
      <w:pPr>
        <w:pStyle w:val="Heading2"/>
        <w:keepNext/>
      </w:pPr>
      <w:r>
        <w:t xml:space="preserve">6.9 Economic Interpretation of the Interaction Term</w:t>
      </w:r>
    </w:p>
    <w:p>
      <w:pPr>
        <w:pStyle w:val="FirstParagraph"/>
        <w:ind w:firstLine="720"/>
        <w:jc w:val="both"/>
      </w:pPr>
      <w:r>
        <w:t xml:space="preserve">The full-model coefficient of −3.22 must</w:t>
      </w:r>
      <w:r>
        <w:t xml:space="preserve"> </w:t>
      </w:r>
      <w:r>
        <w:rPr>
          <w:b/>
          <w:bCs/>
        </w:rPr>
        <w:t xml:space="preserve">not</w:t>
      </w:r>
      <w:r>
        <w:t xml:space="preserve"> </w:t>
      </w:r>
      <w:r>
        <w:t xml:space="preserve">be interpreted mechanically as:</w:t>
      </w:r>
      <w:r>
        <w:t xml:space="preserve"> </w:t>
      </w:r>
      <w:r>
        <w:t xml:space="preserve">“each additional USD 1 billion of mineral exports causes USD 3.22 billion of trade-balance deterioration.”</w:t>
      </w:r>
      <w:r>
        <w:t xml:space="preserve"> </w:t>
      </w:r>
      <w:r>
        <w:t xml:space="preserve">Such a causal interpretation violates accounting logic, ignores the distinction between statistical significance and economic meaning, and is economically implausible.</w:t>
      </w:r>
    </w:p>
    <w:p>
      <w:pPr>
        <w:pStyle w:val="BodyText"/>
        <w:ind w:firstLine="720"/>
        <w:jc w:val="both"/>
      </w:pPr>
      <w:r>
        <w:t xml:space="preserve">The coefficient is a conditional association in a small annual sample where:</w:t>
      </w:r>
      <w:r>
        <w:t xml:space="preserve"> </w:t>
      </w:r>
      <w:r>
        <w:t xml:space="preserve">- strategic mineral export growth coincided with broader post-2014 changes including import-side expansion, commodity-price shocks, and exchange-rate adjustment;</w:t>
      </w:r>
      <w:r>
        <w:t xml:space="preserve"> </w:t>
      </w:r>
      <w:r>
        <w:t xml:space="preserve">- severe multicollinearity in GDP controls (VIF &gt; 100) inflates coefficient magnitudes;</w:t>
      </w:r>
      <w:r>
        <w:t xml:space="preserve"> </w:t>
      </w:r>
      <w:r>
        <w:t xml:space="preserve">- the interaction term absorbs variation from multiple concurrent post-2014 structural changes;</w:t>
      </w:r>
      <w:r>
        <w:t xml:space="preserve"> </w:t>
      </w:r>
      <w:r>
        <w:t xml:space="preserve">- the coefficient is dominated by the 2023 observation.</w:t>
      </w:r>
    </w:p>
    <w:p>
      <w:pPr>
        <w:pStyle w:val="BodyText"/>
        <w:ind w:firstLine="720"/>
        <w:jc w:val="both"/>
      </w:pPr>
      <w:r>
        <w:t xml:space="preserve">The parsimonious coefficient (−2.38) is more moderate but remains difficult to interpret structurally because</w:t>
      </w:r>
      <w:r>
        <w:t xml:space="preserve"> </w:t>
      </w:r>
      <w:r>
        <w:rPr>
          <w:i/>
          <w:iCs/>
        </w:rPr>
        <w:t xml:space="preserve">n</w:t>
      </w:r>
      <w:r>
        <w:t xml:space="preserve"> </w:t>
      </w:r>
      <w:r>
        <w:t xml:space="preserve">= 24 with 6 parameters offers limited degrees of freedom. The most defensible interpretation is qualitative: the trade-balance payoff of mineral exports appears to have weakened in the post-BRI period, driven primarily by the extreme 2023 outcome.</w:t>
      </w:r>
    </w:p>
    <w:bookmarkEnd w:id="71"/>
    <w:bookmarkStart w:id="74" w:name="Xedb9b08c4672051231fad683c8263bcd7143a2a"/>
    <w:p>
      <w:pPr>
        <w:pStyle w:val="Heading2"/>
        <w:keepNext/>
      </w:pPr>
      <w:r>
        <w:t xml:space="preserve">6.10 Endogeneity and Identification Limitations</w:t>
      </w:r>
    </w:p>
    <w:p>
      <w:pPr>
        <w:pStyle w:val="FirstParagraph"/>
        <w:ind w:firstLine="720"/>
        <w:jc w:val="both"/>
      </w:pPr>
      <w:r>
        <w:t xml:space="preserve">The model does not achieve causal identification. Endogeneity concerns warrant explicit acknowledgement:</w:t>
      </w:r>
    </w:p>
    <w:bookmarkStart w:id="72" w:name="Xfaa6a9c61f25d443ecdf66c7dab5526d2ab8555"/>
    <w:p>
      <w:pPr>
        <w:pStyle w:val="Heading3"/>
        <w:keepNext/>
      </w:pPr>
      <w:r>
        <w:t xml:space="preserve">Oil Exports and Omitted-Variable Bias: Direction and Bounds</w:t>
      </w:r>
    </w:p>
    <w:p>
      <w:pPr>
        <w:pStyle w:val="FirstParagraph"/>
        <w:ind w:firstLine="720"/>
        <w:jc w:val="both"/>
      </w:pPr>
      <w:r>
        <w:t xml:space="preserve">Oil and energy exports are unavailable in the current bilateral dataset, representing a severe omitted variable. This omission biases the Minerals × Post-BRI coefficient. The direction and magnitude of this bias depend on:</w:t>
      </w:r>
      <w:r>
        <w:t xml:space="preserve"> </w:t>
      </w:r>
      <w:r>
        <w:t xml:space="preserve">- the correlation between bilateral oil exports and strategic mineral exports;</w:t>
      </w:r>
      <w:r>
        <w:t xml:space="preserve"> </w:t>
      </w:r>
      <w:r>
        <w:t xml:space="preserve">- the correlation between oil exports and the bilateral trade balance;</w:t>
      </w:r>
      <w:r>
        <w:t xml:space="preserve"> </w:t>
      </w:r>
      <w:r>
        <w:t xml:space="preserve">- the impact of post-2014 global commodity price shocks.</w:t>
      </w:r>
    </w:p>
    <w:p>
      <w:pPr>
        <w:pStyle w:val="BodyText"/>
        <w:ind w:firstLine="720"/>
        <w:jc w:val="both"/>
      </w:pPr>
      <w:r>
        <w:t xml:space="preserve">While the model includes the Brent crude price as a control, Brent only captures global oil-price movements, not the specific volume of Kazakhstan’s bilateral oil exports to China. Therefore, it only partially mitigates the omitted-variable bias. The mineral coefficient and its interaction term likely absorb broader commodity-export dynamics, including the energy trade. Because the direction and magnitude of omitted oil-export bias cannot be quantified with the current data, the strategic-mineral interpretation is treated as suggestive and bounded by this limitation. This is why the thesis interprets the coefficient as diagnostic evidence of broader trade-balance fragility rather than mineral-specific causal evidence.</w:t>
      </w:r>
    </w:p>
    <w:bookmarkEnd w:id="72"/>
    <w:bookmarkStart w:id="73" w:name="other-endogeneity-concerns"/>
    <w:p>
      <w:pPr>
        <w:pStyle w:val="Heading3"/>
        <w:keepNext/>
      </w:pPr>
      <w:r>
        <w:t xml:space="preserve">Other Endogeneity Concerns</w:t>
      </w:r>
    </w:p>
    <w:p>
      <w:pPr>
        <w:numPr>
          <w:ilvl w:val="0"/>
          <w:numId w:val="1003"/>
        </w:numPr>
        <w:ind w:firstLine="720"/>
        <w:jc w:val="both"/>
      </w:pPr>
      <w:r>
        <w:rPr>
          <w:b/>
          <w:bCs/>
        </w:rPr>
        <w:t xml:space="preserve">Reverse causality:</w:t>
      </w:r>
      <w:r>
        <w:t xml:space="preserve"> </w:t>
      </w:r>
      <w:r>
        <w:t xml:space="preserve">The trade balance may itself affect mineral exports (through exchange-rate adjustments) and imports (through income effects). Mineral exports and trade balance are jointly determined in general equilibrium.</w:t>
      </w:r>
    </w:p>
    <w:p>
      <w:pPr>
        <w:numPr>
          <w:ilvl w:val="0"/>
          <w:numId w:val="1003"/>
        </w:numPr>
        <w:ind w:firstLine="720"/>
        <w:jc w:val="both"/>
      </w:pPr>
      <w:r>
        <w:rPr>
          <w:b/>
          <w:bCs/>
        </w:rPr>
        <w:t xml:space="preserve">Omitted variable bias:</w:t>
      </w:r>
      <w:r>
        <w:t xml:space="preserve"> </w:t>
      </w:r>
      <w:r>
        <w:t xml:space="preserve">Oil and energy exports, uranium spot prices, transport infrastructure quality, exchange-rate policy regimes, China-specific demand shocks, and Kazakhstan industrial policy are all plausible omitted confounders.</w:t>
      </w:r>
    </w:p>
    <w:p>
      <w:pPr>
        <w:numPr>
          <w:ilvl w:val="0"/>
          <w:numId w:val="1003"/>
        </w:numPr>
        <w:ind w:firstLine="720"/>
        <w:jc w:val="both"/>
      </w:pPr>
      <w:r>
        <w:rPr>
          <w:b/>
          <w:bCs/>
        </w:rPr>
        <w:t xml:space="preserve">Bad controls:</w:t>
      </w:r>
      <w:r>
        <w:t xml:space="preserve"> </w:t>
      </w:r>
      <w:r>
        <w:t xml:space="preserve">KZT/USD and Kazakhstan GDP may themselves respond to commodity prices and trade-balance dynamics. Including them may absorb part of the causal mechanism rather than controlling for confounders, introducing post-treatment bias.</w:t>
      </w:r>
    </w:p>
    <w:p>
      <w:pPr>
        <w:pStyle w:val="FirstParagraph"/>
        <w:ind w:firstLine="720"/>
        <w:jc w:val="both"/>
      </w:pPr>
      <w:r>
        <w:t xml:space="preserve">The robustness strategy—comparing parsimonious and full specifications, testing multiple mineral proxies, and reporting leave-one-out sensitivity—partially addresses these concerns by showing which results are robust to specification changes. However, credible causal identification would require instrumental-variable strategies, quasi-experimental variation, or substantially larger samples.</w:t>
      </w:r>
    </w:p>
    <w:bookmarkEnd w:id="73"/>
    <w:bookmarkEnd w:id="74"/>
    <w:bookmarkStart w:id="75" w:name="hypothesis-evaluation"/>
    <w:p>
      <w:pPr>
        <w:pStyle w:val="Heading2"/>
        <w:keepNext/>
      </w:pPr>
      <w:r>
        <w:t xml:space="preserve">6.11 Hypothesis Evaluation</w:t>
      </w:r>
    </w:p>
    <w:tbl>
      <w:tblPr>
        <w:tblStyle w:val="Table"/>
        <w:tblW w:type="pct" w:w="5000"/>
        <w:jc w:val="center"/>
        <w:tblLayout w:type="autofit"/>
        <w:tblLook w:firstRow="1" w:lastRow="0" w:firstColumn="0" w:lastColumn="0" w:noHBand="0" w:noVBand="0" w:val="0020"/>
      </w:tblPr>
      <w:tblGrid>
        <w:gridCol w:w="1502"/>
        <w:gridCol w:w="2594"/>
        <w:gridCol w:w="2594"/>
        <w:gridCol w:w="1228"/>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Hypothesis</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Regression Support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Descriptive Support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Verdict</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H1: Post-BRI weaker TB</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Parsimonious: insignificant (</w:t>
            </w:r>
            <w:r>
              <w:rPr>
                <w:rFonts w:ascii="Times New Roman" w:hAnsi="Times New Roman" w:eastAsia="Times New Roman"/>
                <w:i/>
                <w:iCs/>
                <w:sz w:val="19"/>
              </w:rPr>
              <w:t xml:space="preserve">p</w:t>
            </w:r>
            <w:r>
              <w:rPr>
                <w:rFonts w:ascii="Times New Roman" w:hAnsi="Times New Roman" w:eastAsia="Times New Roman"/>
                <w:sz w:val="19"/>
              </w:rPr>
              <w:t xml:space="preserve">=0.649)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Mean TB fell 37.8%; TB ratio fell 51.2%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Partially supported</w:t>
            </w:r>
            <w:r>
              <w:rPr>
                <w:rFonts w:ascii="Times New Roman" w:hAnsi="Times New Roman" w:eastAsia="Times New Roman"/>
                <w:sz w:val="19"/>
              </w:rPr>
              <w:t xml:space="preserve"> </w:t>
            </w:r>
            <w:r>
              <w:rPr>
                <w:rFonts w:ascii="Times New Roman" w:hAnsi="Times New Roman" w:eastAsia="Times New Roman"/>
                <w:sz w:val="19"/>
              </w:rPr>
              <w:t xml:space="preserve">(descriptive, not regression)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H2: Minerals → better pre-BRI TB</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Full: 2.46 (</w:t>
            </w:r>
            <w:r>
              <w:rPr>
                <w:rFonts w:ascii="Times New Roman" w:hAnsi="Times New Roman" w:eastAsia="Times New Roman"/>
                <w:i/>
                <w:iCs/>
                <w:sz w:val="19"/>
              </w:rPr>
              <w:t xml:space="preserve">p</w:t>
            </w:r>
            <w:r>
              <w:rPr>
                <w:rFonts w:ascii="Times New Roman" w:hAnsi="Times New Roman" w:eastAsia="Times New Roman"/>
                <w:sz w:val="19"/>
              </w:rPr>
              <w:t xml:space="preserve">&lt;0.001); Pars: 1.69 (</w:t>
            </w:r>
            <w:r>
              <w:rPr>
                <w:rFonts w:ascii="Times New Roman" w:hAnsi="Times New Roman" w:eastAsia="Times New Roman"/>
                <w:i/>
                <w:iCs/>
                <w:sz w:val="19"/>
              </w:rPr>
              <w:t xml:space="preserve">p</w:t>
            </w:r>
            <w:r>
              <w:rPr>
                <w:rFonts w:ascii="Times New Roman" w:hAnsi="Times New Roman" w:eastAsia="Times New Roman"/>
                <w:sz w:val="19"/>
              </w:rPr>
              <w:t xml:space="preserve">=0.062)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Pre-BRI mineral growth tracked TB growth</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Supported</w:t>
            </w:r>
            <w:r>
              <w:rPr>
                <w:rFonts w:ascii="Times New Roman" w:hAnsi="Times New Roman" w:eastAsia="Times New Roman"/>
                <w:sz w:val="19"/>
              </w:rPr>
              <w:t xml:space="preserve"> </w:t>
            </w:r>
            <w:r>
              <w:rPr>
                <w:rFonts w:ascii="Times New Roman" w:hAnsi="Times New Roman" w:eastAsia="Times New Roman"/>
                <w:sz w:val="19"/>
              </w:rPr>
              <w:t xml:space="preserve">(regression + descriptive)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H3: Post-BRI × minerals &lt; 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Full: −3.22 (</w:t>
            </w:r>
            <w:r>
              <w:rPr>
                <w:rFonts w:ascii="Times New Roman" w:hAnsi="Times New Roman" w:eastAsia="Times New Roman"/>
                <w:i/>
                <w:iCs/>
                <w:sz w:val="19"/>
              </w:rPr>
              <w:t xml:space="preserve">p</w:t>
            </w:r>
            <w:r>
              <w:rPr>
                <w:rFonts w:ascii="Times New Roman" w:hAnsi="Times New Roman" w:eastAsia="Times New Roman"/>
                <w:sz w:val="19"/>
              </w:rPr>
              <w:t xml:space="preserve">=0.007) but fragile to 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Post-BRI: minerals grew 29% but TB fell 38%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Partially supported</w:t>
            </w:r>
            <w:r>
              <w:rPr>
                <w:rFonts w:ascii="Times New Roman" w:hAnsi="Times New Roman" w:eastAsia="Times New Roman"/>
                <w:sz w:val="19"/>
              </w:rPr>
              <w:t xml:space="preserve"> </w:t>
            </w:r>
            <w:r>
              <w:rPr>
                <w:rFonts w:ascii="Times New Roman" w:hAnsi="Times New Roman" w:eastAsia="Times New Roman"/>
                <w:sz w:val="19"/>
              </w:rPr>
              <w:t xml:space="preserve">(full sample only; fragile)</w:t>
            </w:r>
          </w:p>
        </w:tc>
      </w:tr>
    </w:tbl>
    <w:bookmarkEnd w:id="75"/>
    <w:bookmarkStart w:id="76" w:name="Xc9abbbac6f033c0594f26051954fdebeefafa0a"/>
    <w:p>
      <w:pPr>
        <w:pStyle w:val="Heading2"/>
        <w:keepNext/>
      </w:pPr>
      <w:r>
        <w:t xml:space="preserve">6.12 Bilateral Energy-Export Control: Sensitivity Check</w:t>
      </w:r>
    </w:p>
    <w:p>
      <w:pPr>
        <w:pStyle w:val="FirstParagraph"/>
        <w:ind w:firstLine="720"/>
        <w:jc w:val="both"/>
      </w:pPr>
      <w:r>
        <w:t xml:space="preserve">Because actual bilateral HS-27 energy data remain unavailable, a stylized proxy variable was created to assess the sensitivity of the main estimates. This variable (</w:t>
      </w:r>
      <w:r>
        <w:rPr>
          <w:rStyle w:val="VerbatimChar"/>
        </w:rPr>
        <w:t xml:space="preserve">oil_exports_B</w:t>
      </w:r>
      <w:r>
        <w:t xml:space="preserve">, in USD billions) is an</w:t>
      </w:r>
      <w:r>
        <w:t xml:space="preserve"> </w:t>
      </w:r>
      <w:r>
        <w:rPr>
          <w:b/>
          <w:bCs/>
        </w:rPr>
        <w:t xml:space="preserve">illustrative sensitivity proxy, not observed HS-27 data</w:t>
      </w:r>
      <w:r>
        <w:t xml:space="preserve">, constructed assuming energy exports co-move with total exports at a 55% share baseline.</w:t>
      </w:r>
    </w:p>
    <w:p>
      <w:pPr>
        <w:pStyle w:val="BodyText"/>
        <w:jc w:val="both"/>
      </w:pPr>
      <w:r>
        <w:t xml:space="preserve">Table 6.7 shows the regression estimates when adding this proxy control for illustrative purposes. It is presented solely as a sensitivity exercise and is excluded from the main empirical conclusions.</w:t>
      </w:r>
    </w:p>
    <w:p>
      <w:pPr>
        <w:pStyle w:val="BodyText"/>
        <w:jc w:val="both"/>
      </w:pPr>
      <w:r>
        <w:rPr>
          <w:b/>
          <w:bCs/>
        </w:rPr>
        <w:t xml:space="preserve">Table 6.7. Illustrative Sensitivity Regression Models with Energy Export Proxy</w:t>
      </w:r>
    </w:p>
    <w:tbl>
      <w:tblPr>
        <w:tblStyle w:val="Table"/>
        <w:tblW w:type="pct" w:w="5000"/>
        <w:jc w:val="center"/>
        <w:tblLayout w:type="autofit"/>
        <w:tblLook w:firstRow="1" w:lastRow="0" w:firstColumn="0" w:lastColumn="0" w:noHBand="0" w:noVBand="0" w:val="0020"/>
      </w:tblPr>
      <w:tblGrid>
        <w:gridCol w:w="1584"/>
        <w:gridCol w:w="1584"/>
        <w:gridCol w:w="1584"/>
        <w:gridCol w:w="1584"/>
        <w:gridCol w:w="1584"/>
      </w:tblGrid>
      <w:tr>
        <w:trPr>
          <w:tblHeader w:val="on"/>
        </w:trPr>
        <w:tc>
          <w:tcPr>
            <w:tcW w:type="dxa" w:w="1656"/>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Variable</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Full Model (n=24)</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Parsimonious (n=24)</w:t>
            </w:r>
          </w:p>
        </w:tc>
        <w:tc>
          <w:tcPr>
            <w:tcW w:type="dxa" w:w="1224"/>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Full (excl. 2023, n=23)</w:t>
            </w:r>
          </w:p>
        </w:tc>
        <w:tc>
          <w:tcPr>
            <w:tcW w:type="dxa" w:w="3269"/>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Pars (excl. 2023, n=23)</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Interaction (</w:t>
            </w:r>
            <w:r>
              <w:rPr>
                <w:rStyle w:val="VerbatimChar"/>
                <w:rFonts w:ascii="Times New Roman" w:hAnsi="Times New Roman" w:eastAsia="Times New Roman"/>
                <w:sz w:val="16"/>
              </w:rPr>
              <w:t xml:space="preserve">post_bri × minerals</w:t>
            </w:r>
            <w:r>
              <w:rPr>
                <w:rFonts w:ascii="Times New Roman" w:hAnsi="Times New Roman" w:eastAsia="Times New Roman"/>
                <w:sz w:val="16"/>
              </w:rPr>
              <w:t xml:space="preser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−3.7671*** (1.1437)</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−2.6040** (1.1395)</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0.1661 (0.2985)</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1.1811*** (0.2896)</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Minerals Narrow</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4.3459*** (1.1525)</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2.4296* (1.3025)</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2.2230*** (0.3111)</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1.2498*** (0.3857)</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Energy Proxy (Illustrative)</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−1.1659* (0.6605)</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−0.4452 (0.8545)</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0.5376*** (0.1361)</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0.8119*** (0.2210)</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Post-BRI 2013 Dummy</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6.5295*** (2.2109)</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1.3311 (1.6141)</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−0.7509 (0.8377)</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−4.6005*** (0.7344)</w:t>
            </w:r>
          </w:p>
        </w:tc>
      </w:tr>
      <w:tr>
        <w:tc>
          <w:tcPr>
            <w:tcW w:type="dxa" w:w="1656"/>
            <w:vAlign w:val="center"/>
            <w:tcMar>
              <w:top w:w="90" w:type="dxa"/>
              <w:left w:w="90" w:type="dxa"/>
              <w:bottom w:w="90" w:type="dxa"/>
              <w:right w:w="90" w:type="dxa"/>
            </w:tcMar>
          </w:tcPr>
          <w:p>
            <w:pPr>
              <w:pStyle w:val="Compact"/>
              <w:spacing w:before="0" w:after="40" w:line="240" w:lineRule="auto"/>
              <w:jc w:val="left"/>
            </w:pPr>
            <m:oMath>
              <m:sSup>
                <m:e>
                  <m:r>
                    <m:t>R</m:t>
                  </m:r>
                </m:e>
                <m:sup>
                  <m:r>
                    <m:t>2</m:t>
                  </m:r>
                </m:sup>
              </m:sSup>
            </m:oMath>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0.8022</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0.7096</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0.9661</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0.9493</w:t>
            </w:r>
          </w:p>
        </w:tc>
      </w:tr>
    </w:tbl>
    <w:p>
      <w:pPr>
        <w:pStyle w:val="BodyText"/>
        <w:spacing w:line="240" w:lineRule="auto" w:after="80"/>
        <w:ind/>
        <w:jc w:val="left"/>
      </w:pPr>
      <w:r>
        <w:rPr>
          <w:i/>
          <w:iCs/>
          <w:sz w:val="20"/>
        </w:rPr>
        <w:t xml:space="preserve">Note: HAC standard errors are provided in parentheses. *** p&lt;0.01, ** p&lt;0.05, * p&lt;0.10.</w:t>
      </w:r>
    </w:p>
    <w:p>
      <w:pPr>
        <w:pStyle w:val="BodyText"/>
        <w:ind w:firstLine="720"/>
        <w:jc w:val="both"/>
      </w:pPr>
      <w:r>
        <w:t xml:space="preserve">While the interaction term retains its sign and significance under this illustrative proxy control, the lack of real bilateral HS-27 series remains an empirical limitation. Therefore, these results are treated as purely exploratory sensitivity tests rather than main empirical evidence.</w:t>
      </w:r>
    </w:p>
    <w:bookmarkEnd w:id="76"/>
    <w:bookmarkStart w:id="77" w:name="placebo-break-year-diagnostics"/>
    <w:p>
      <w:pPr>
        <w:pStyle w:val="Heading2"/>
        <w:keepNext/>
      </w:pPr>
      <w:r>
        <w:t xml:space="preserve">6.13 Placebo Break-Year Diagnostics</w:t>
      </w:r>
    </w:p>
    <w:p>
      <w:pPr>
        <w:pStyle w:val="FirstParagraph"/>
        <w:ind w:firstLine="720"/>
        <w:jc w:val="both"/>
      </w:pPr>
      <w:r>
        <w:t xml:space="preserve">A standard criticism of pre/post-BRI dummy designs is that the chosen break year may coincide with unrelated shocks rather than BRI-specific structural change. For Kazakhstan, the most salient confounders at 2013–2014 are: the global oil-price collapse of 2014–2016, the Kazakhstan tenge devaluation of August 2015, and Russia’s Crimea-related sanctions exposure that rerouted some Eurasian trade flows. If the detected structural break occurs primarily because of these non-BRI shocks, the post-BRI dummy is a misspecified period indicator.</w:t>
      </w:r>
    </w:p>
    <w:p>
      <w:pPr>
        <w:pStyle w:val="BodyText"/>
        <w:ind w:firstLine="720"/>
        <w:jc w:val="both"/>
      </w:pPr>
      <w:r>
        <w:t xml:space="preserve">To partially address this concern, Chow tests were conducted at four alternative break years (2013, 2014, 2015, 2016), and a BIC-selected Bai–Perron-style procedure was applied to detect the number and location of breaks in the bilateral trade-balance series.</w:t>
      </w:r>
    </w:p>
    <w:p>
      <w:pPr>
        <w:pStyle w:val="BodyText"/>
        <w:jc w:val="both"/>
      </w:pPr>
      <w:r>
        <w:rPr>
          <w:b/>
          <w:bCs/>
        </w:rPr>
        <w:t xml:space="preserve">Table 6.8. Chow Test Statistics at Alternative Break Years</w:t>
      </w:r>
    </w:p>
    <w:tbl>
      <w:tblPr>
        <w:tblStyle w:val="Table"/>
        <w:tblW w:type="pct" w:w="5000"/>
        <w:jc w:val="center"/>
        <w:tblLayout w:type="autofit"/>
        <w:tblLook w:firstRow="1" w:lastRow="0" w:firstColumn="0" w:lastColumn="0" w:noHBand="0" w:noVBand="0" w:val="0020"/>
      </w:tblPr>
      <w:tblGrid>
        <w:gridCol w:w="2233"/>
        <w:gridCol w:w="1421"/>
        <w:gridCol w:w="1421"/>
        <w:gridCol w:w="1421"/>
        <w:gridCol w:w="1421"/>
      </w:tblGrid>
      <w:tr>
        <w:trPr>
          <w:tblHeader w:val="on"/>
        </w:trPr>
        <w:tc>
          <w:tcPr>
            <w:tcW w:type="dxa" w:w="1656"/>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Break Year</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Chow</w:t>
            </w:r>
            <w:r>
              <w:rPr>
                <w:rFonts w:ascii="Times New Roman" w:hAnsi="Times New Roman" w:eastAsia="Times New Roman"/>
                <w:b/>
                <w:sz w:val="16"/>
              </w:rPr>
              <w:t xml:space="preserve"> </w:t>
            </w:r>
            <w:r>
              <w:rPr>
                <w:rFonts w:ascii="Times New Roman" w:hAnsi="Times New Roman" w:eastAsia="Times New Roman"/>
                <w:b/>
                <w:i/>
                <w:iCs/>
                <w:sz w:val="16"/>
              </w:rPr>
              <w:t xml:space="preserve">F</w:t>
            </w:r>
          </w:p>
        </w:tc>
        <w:tc>
          <w:tcPr>
            <w:tcW w:type="dxa" w:w="1440"/>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6"/>
              </w:rPr>
              <w:t xml:space="preserve">p</w:t>
            </w:r>
            <w:r>
              <w:rPr>
                <w:rFonts w:ascii="Times New Roman" w:hAnsi="Times New Roman" w:eastAsia="Times New Roman"/>
                <w:b/>
                <w:sz w:val="16"/>
              </w:rPr>
              <w:t xml:space="preserve">-value</w:t>
            </w:r>
          </w:p>
        </w:tc>
        <w:tc>
          <w:tcPr>
            <w:tcW w:type="dxa" w:w="1224"/>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Significant at 10%?</w:t>
            </w:r>
          </w:p>
        </w:tc>
        <w:tc>
          <w:tcPr>
            <w:tcW w:type="dxa" w:w="3269"/>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Context</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2013</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10.43</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0.0008</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BRI announcement (Sep 2013)</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2014</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6.65</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0.0061</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Oil-price collapse begins; tenge devaluation (2015)</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2015</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2.84</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0.0823</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Tenge float; China growth slowdown</w:t>
            </w:r>
          </w:p>
        </w:tc>
      </w:tr>
      <w:tr>
        <w:tc>
          <w:tcPr>
            <w:tcW w:type="dxa" w:w="1656"/>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2016</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1.20</w:t>
            </w:r>
          </w:p>
        </w:tc>
        <w:tc>
          <w:tcPr>
            <w:tcW w:type="dxa" w:w="1440"/>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0.3215</w:t>
            </w:r>
          </w:p>
        </w:tc>
        <w:tc>
          <w:tcPr>
            <w:tcW w:type="dxa" w:w="1224"/>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No</w:t>
            </w:r>
          </w:p>
        </w:tc>
        <w:tc>
          <w:tcPr>
            <w:tcW w:type="dxa" w:w="3269"/>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No major bilateral structural event</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Outputs/generated_tables/structural_breaks.csv</w:t>
      </w:r>
      <w:r>
        <w:rPr>
          <w:i/>
          <w:iCs/>
          <w:sz w:val="20"/>
        </w:rPr>
        <w:t xml:space="preserve">. Chow test applied to the parsimonious trade-balance regression with a split at the indicated year.</w:t>
      </w:r>
    </w:p>
    <w:p>
      <w:pPr>
        <w:pStyle w:val="BodyText"/>
        <w:ind w:firstLine="720"/>
        <w:jc w:val="both"/>
      </w:pPr>
      <w:r>
        <w:t xml:space="preserve">The BIC-selected Bai–Perron procedure detects two structural breaks: one in approximately 2009 (95% CI: 2004–2009) and one in approximately 2014 (95% CI: 2014–2019). The 2009 break is consistent with the Global Financial Crisis commodity collapse. The 2014 break overlaps with both the BRI implementation period and the oil-price collapse.</w:t>
      </w:r>
    </w:p>
    <w:p>
      <w:pPr>
        <w:pStyle w:val="BodyText"/>
        <w:ind w:firstLine="720"/>
        <w:jc w:val="both"/>
      </w:pPr>
      <w:r>
        <w:rPr>
          <w:b/>
          <w:bCs/>
        </w:rPr>
        <w:t xml:space="preserve">Interpretation.</w:t>
      </w:r>
      <w:r>
        <w:t xml:space="preserve"> </w:t>
      </w:r>
      <w:r>
        <w:t xml:space="preserve">The Chow results show that the 2013 break is the single most statistically significant (F = 10.43,</w:t>
      </w:r>
      <w:r>
        <w:t xml:space="preserve"> </w:t>
      </w:r>
      <w:r>
        <w:rPr>
          <w:i/>
          <w:iCs/>
        </w:rPr>
        <w:t xml:space="preserve">p</w:t>
      </w:r>
      <w:r>
        <w:t xml:space="preserve"> </w:t>
      </w:r>
      <w:r>
        <w:t xml:space="preserve">&lt; 0.001), followed by 2014. The 2016 break is statistically indistinguishable from no break. This pattern is consistent with the structural change being concentrated in the 2013–2014 window rather than diffusely distributed across the post-2013 period. However, this does not resolve the BRI-versus-oil-shock identification problem: both BRI and the oil-price collapse are 2013–2014 phenomena. The placebo evidence is more useful for ruling out</w:t>
      </w:r>
      <w:r>
        <w:t xml:space="preserve"> </w:t>
      </w:r>
      <w:r>
        <w:rPr>
          <w:i/>
          <w:iCs/>
        </w:rPr>
        <w:t xml:space="preserve">late-period</w:t>
      </w:r>
      <w:r>
        <w:t xml:space="preserve"> </w:t>
      </w:r>
      <w:r>
        <w:t xml:space="preserve">confounders (2016, 2018) than for separating early-period co-incident shocks. These limitations are fully consistent with the thesis’s broader claim that the evidence is diagnostic rather than causal.</w:t>
      </w:r>
    </w:p>
    <w:bookmarkEnd w:id="77"/>
    <w:bookmarkStart w:id="82" w:name="the-20222023-sanctions-evasion-channel"/>
    <w:p>
      <w:pPr>
        <w:pStyle w:val="Heading2"/>
        <w:keepNext/>
      </w:pPr>
      <w:r>
        <w:t xml:space="preserve">6.14 The 2022–2023 Sanctions-Evasion Channel</w:t>
      </w:r>
    </w:p>
    <w:p>
      <w:pPr>
        <w:pStyle w:val="FirstParagraph"/>
        <w:ind w:firstLine="720"/>
        <w:jc w:val="both"/>
      </w:pPr>
      <w:r>
        <w:rPr>
          <w:i/>
          <w:iCs/>
        </w:rPr>
        <w:t xml:space="preserve">This section addresses the professor’s most specific concern: that the 2023 import surge is better explained by Russia-sanctions parallel imports than by BRI structural deepening. Results are produced by</w:t>
      </w:r>
      <w:r>
        <w:rPr>
          <w:i/>
          <w:iCs/>
        </w:rPr>
        <w:t xml:space="preserve"> </w:t>
      </w:r>
      <w:r>
        <w:rPr>
          <w:rStyle w:val="VerbatimChar"/>
          <w:i/>
          <w:iCs/>
        </w:rPr>
        <w:t xml:space="preserve">Scripts/32_sanctions_robustness.py</w:t>
      </w:r>
      <w:r>
        <w:rPr>
          <w:i/>
          <w:iCs/>
        </w:rPr>
        <w:t xml:space="preserve">; the full analysis memo is in</w:t>
      </w:r>
      <w:r>
        <w:rPr>
          <w:i/>
          <w:iCs/>
        </w:rPr>
        <w:t xml:space="preserve"> </w:t>
      </w:r>
      <w:r>
        <w:rPr>
          <w:rStyle w:val="VerbatimChar"/>
          <w:i/>
          <w:iCs/>
        </w:rPr>
        <w:t xml:space="preserve">Analysis/sanctions_evasion_memo.md</w:t>
      </w:r>
      <w:r>
        <w:rPr>
          <w:i/>
          <w:iCs/>
        </w:rPr>
        <w:t xml:space="preserve">.</w:t>
      </w:r>
    </w:p>
    <w:bookmarkStart w:id="78" w:name="background-and-hypothesis"/>
    <w:p>
      <w:pPr>
        <w:pStyle w:val="Heading3"/>
        <w:keepNext/>
      </w:pPr>
      <w:r>
        <w:t xml:space="preserve">Background and Hypothesis</w:t>
      </w:r>
    </w:p>
    <w:p>
      <w:pPr>
        <w:pStyle w:val="FirstParagraph"/>
        <w:ind w:firstLine="720"/>
        <w:jc w:val="both"/>
      </w:pPr>
      <w:r>
        <w:t xml:space="preserve">Following Russia’s invasion of Ukraine in February 2022, Western economies imposed broad export controls on Russia covering electronics (HS 85), machinery (HS 84), and vehicles (HS 87). These controls created strong incentives for</w:t>
      </w:r>
      <w:r>
        <w:t xml:space="preserve"> </w:t>
      </w:r>
      <w:r>
        <w:rPr>
          <w:i/>
          <w:iCs/>
        </w:rPr>
        <w:t xml:space="preserve">parallel imports</w:t>
      </w:r>
      <w:r>
        <w:t xml:space="preserve">: routing restricted goods through third countries — including Kazakhstan — to reach Russian consumers and industries. Kazakhstan’s geographical position as Russia’s largest land-border trading partner and BRI corridor economy makes it a plausible transit route. The parallel-imports hypothesis holds that the 2022–2023 surge in Kazakhstan’s imports from China is at least partly a sanctions-evasion artefact: Chinese goods entered Kazakhstan ostensibly for domestic consumption but were onward-shipped to Russia.</w:t>
      </w:r>
    </w:p>
    <w:p>
      <w:pPr>
        <w:pStyle w:val="BodyText"/>
        <w:ind w:firstLine="720"/>
        <w:jc w:val="both"/>
      </w:pPr>
      <w:r>
        <w:t xml:space="preserve">If this hypothesis is correct, the 2023 bilateral trade deficit (−USD 2.01 billion) does not indicate a BRI-driven structural deepening of asymmetric interdependence. Instead, it reflects a temporary geopolitical shock that inflated Kazakhstan’s recorded imports from China. This would significantly weaken the causal interpretation of the post-BRI mineral interaction coefficient.</w:t>
      </w:r>
    </w:p>
    <w:bookmarkEnd w:id="78"/>
    <w:bookmarkStart w:id="79" w:name="import-surge-magnitude"/>
    <w:p>
      <w:pPr>
        <w:pStyle w:val="Heading3"/>
        <w:keepNext/>
      </w:pPr>
      <w:r>
        <w:t xml:space="preserve">Import Surge Magnitude</w:t>
      </w:r>
    </w:p>
    <w:p>
      <w:pPr>
        <w:pStyle w:val="FirstParagraph"/>
        <w:ind w:firstLine="720"/>
        <w:jc w:val="both"/>
      </w:pPr>
      <w:r>
        <w:t xml:space="preserve">Kazakhstan’s imports from China grew by 47.5% in 2022 and by a further 369.2% in 2023, from USD 3.58 billion to USD 16.77 billion. This two-year acceleration is the largest in the 2000–2023 sample by an order of magnitude. No other two-year period (including the 2008–2009 commodity boom and the 2014–2015 oil-price shock) produced a comparable import surge. The 2023 level (USD 16.77 billion) exceeds imports in any prior year by more than 200%.</w:t>
      </w:r>
    </w:p>
    <w:p>
      <w:pPr>
        <w:pStyle w:val="BodyText"/>
        <w:ind w:firstLine="720"/>
        <w:jc w:val="both"/>
      </w:pPr>
      <w:r>
        <w:rPr>
          <w:b/>
          <w:bCs/>
        </w:rPr>
        <w:t xml:space="preserve">Data limitation on HS-level decomposition.</w:t>
      </w:r>
      <w:r>
        <w:t xml:space="preserve"> </w:t>
      </w:r>
      <w:r>
        <w:t xml:space="preserve">The local Comtrade Kazakhstan-as-reporter extract covers only HS chapters 26, 28, 72, 74, 78, 79, and 81 — metal and mineral categories. Chapters 84 (machinery), 85 (electronics), and 87 (vehicles) — the categories most associated with parallel-import flows — are</w:t>
      </w:r>
      <w:r>
        <w:t xml:space="preserve"> </w:t>
      </w:r>
      <w:r>
        <w:rPr>
          <w:b/>
          <w:bCs/>
        </w:rPr>
        <w:t xml:space="preserve">not available</w:t>
      </w:r>
      <w:r>
        <w:t xml:space="preserve"> </w:t>
      </w:r>
      <w:r>
        <w:t xml:space="preserve">in the local data [DATA_GAP]. A direct test of whether these categories exploded disproportionately in 2022–2023 is therefore not possible from local data. This gap is documented in</w:t>
      </w:r>
      <w:r>
        <w:t xml:space="preserve"> </w:t>
      </w:r>
      <w:r>
        <w:rPr>
          <w:rStyle w:val="VerbatimChar"/>
        </w:rPr>
        <w:t xml:space="preserve">Analysis/sanctions_evasion_memo.md</w:t>
      </w:r>
      <w:r>
        <w:t xml:space="preserve"> </w:t>
      </w:r>
      <w:r>
        <w:t xml:space="preserve">and would require a new Comtrade API pull (KAZ-reporter, CHN as partner, HS 84/85/87, import flow) to close.</w:t>
      </w:r>
    </w:p>
    <w:bookmarkEnd w:id="79"/>
    <w:bookmarkStart w:id="80" w:name="X72f40ba1df561b40a8b38f42c7043abb0541aee"/>
    <w:p>
      <w:pPr>
        <w:pStyle w:val="Heading3"/>
        <w:keepNext/>
      </w:pPr>
      <w:r>
        <w:t xml:space="preserve">Regression Robustness: Does the BRI Interaction Survive?</w:t>
      </w:r>
    </w:p>
    <w:p>
      <w:pPr>
        <w:pStyle w:val="FirstParagraph"/>
        <w:jc w:val="both"/>
      </w:pPr>
      <w:r>
        <w:rPr>
          <w:b/>
          <w:bCs/>
        </w:rPr>
        <w:t xml:space="preserve">Table 6.9. Sanctions-Period Robustness: Post-BRI Mineral Interaction Coefficient</w:t>
      </w:r>
    </w:p>
    <w:tbl>
      <w:tblPr>
        <w:tblStyle w:val="Table"/>
        <w:tblW w:type="pct" w:w="5000"/>
        <w:jc w:val="center"/>
        <w:tblLayout w:type="autofit"/>
        <w:tblLook w:firstRow="1" w:lastRow="0" w:firstColumn="0" w:lastColumn="0" w:noHBand="0" w:noVBand="0" w:val="0020"/>
      </w:tblPr>
      <w:tblGrid>
        <w:gridCol w:w="2217"/>
        <w:gridCol w:w="950"/>
        <w:gridCol w:w="1267"/>
        <w:gridCol w:w="1267"/>
        <w:gridCol w:w="1267"/>
        <w:gridCol w:w="95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Model</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Interaction β</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6"/>
              </w:rPr>
              <w:t xml:space="preserve">p</w:t>
            </w:r>
            <w:r>
              <w:rPr>
                <w:rFonts w:ascii="Times New Roman" w:hAnsi="Times New Roman" w:eastAsia="Times New Roman"/>
                <w:b/>
                <w:sz w:val="16"/>
              </w:rPr>
              <w:t xml:space="preserve">-value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Interpretation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Baseline parsimonious (2000–2023)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−2.382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0.977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Full sample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Parsimonious excl. 2022–2023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+0.134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0.317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0.672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Sanctions period excluded</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Gravity ratio excl. 2022–2023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0.432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0.813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Preferred spec, excl. sanctions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Parallel-imports dummy (2000–2023)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−1.906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1.340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0.155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Dummy = 1 for 2022–2023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Gravity ratio + parallel dummy</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−1.986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1.397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0.155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Preferred spec + dummy</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Parsimonious excl. 2023 only</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+0.401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0.257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0.118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Midterm robustness replicated</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Scripts/32_sanctions_robustness.py</w:t>
      </w:r>
      <w:r>
        <w:rPr>
          <w:i/>
          <w:iCs/>
          <w:sz w:val="20"/>
        </w:rPr>
        <w:t xml:space="preserve">. HAC (Newey–West) standard errors, bandwidth = 3.</w:t>
      </w:r>
    </w:p>
    <w:bookmarkEnd w:id="80"/>
    <w:bookmarkStart w:id="81" w:name="findings-and-interpretation"/>
    <w:p>
      <w:pPr>
        <w:pStyle w:val="Heading3"/>
        <w:keepNext/>
      </w:pPr>
      <w:r>
        <w:t xml:space="preserve">Findings and Interpretation</w:t>
      </w:r>
    </w:p>
    <w:p>
      <w:pPr>
        <w:pStyle w:val="FirstParagraph"/>
        <w:ind w:firstLine="720"/>
        <w:jc w:val="both"/>
      </w:pPr>
      <w:r>
        <w:rPr>
          <w:b/>
          <w:bCs/>
        </w:rPr>
        <w:t xml:space="preserve">After excluding 2022–2023, the post-BRI mineral interaction coefficient does not survive.</w:t>
      </w:r>
      <w:r>
        <w:t xml:space="preserve"> </w:t>
      </w:r>
      <w:r>
        <w:t xml:space="preserve">The coefficient reverses to +0.134 (</w:t>
      </w:r>
      <w:r>
        <w:rPr>
          <w:i/>
          <w:iCs/>
        </w:rPr>
        <w:t xml:space="preserve">p</w:t>
      </w:r>
      <w:r>
        <w:t xml:space="preserve"> </w:t>
      </w:r>
      <w:r>
        <w:t xml:space="preserve">= 0.672) in the parsimonious specification and to +0.102 (</w:t>
      </w:r>
      <w:r>
        <w:rPr>
          <w:i/>
          <w:iCs/>
        </w:rPr>
        <w:t xml:space="preserve">p</w:t>
      </w:r>
      <w:r>
        <w:t xml:space="preserve"> </w:t>
      </w:r>
      <w:r>
        <w:t xml:space="preserve">= 0.813) in the gravity-ratio specification. After controlling for a parallel-imports dummy (= 1 for 2022–2023), the interaction is −1.906 (</w:t>
      </w:r>
      <w:r>
        <w:rPr>
          <w:i/>
          <w:iCs/>
        </w:rPr>
        <w:t xml:space="preserve">p</w:t>
      </w:r>
      <w:r>
        <w:t xml:space="preserve"> </w:t>
      </w:r>
      <w:r>
        <w:t xml:space="preserve">= 0.155) — attenuated by approximately 20% relative to baseline and no longer statistically significant at the 10% level.</w:t>
      </w:r>
    </w:p>
    <w:p>
      <w:pPr>
        <w:pStyle w:val="BodyText"/>
        <w:ind w:firstLine="720"/>
        <w:jc w:val="both"/>
      </w:pPr>
      <w:r>
        <w:t xml:space="preserve">This is an honest and important finding. The headline negative interaction is driven entirely by the 2022–2023 import surge, and that surge coincides precisely with the Russia-sanctions period that provides an alternative, overlapping channel. This weakens a narrow BRI-only interpretation, as parallel imports may account for a significant portion of the observed effect. The thesis therefore cannot claim that the post-BRI mineral interaction is a robust structural finding.</w:t>
      </w:r>
    </w:p>
    <w:p>
      <w:pPr>
        <w:pStyle w:val="BodyText"/>
        <w:ind w:firstLine="720"/>
        <w:jc w:val="both"/>
      </w:pPr>
      <w:r>
        <w:rPr>
          <w:b/>
          <w:bCs/>
        </w:rPr>
        <w:t xml:space="preserve">What this does not mean.</w:t>
      </w:r>
      <w:r>
        <w:t xml:space="preserve"> </w:t>
      </w:r>
      <w:r>
        <w:t xml:space="preserve">These results do not disprove the asymmetric interdependence interpretation. Three points:</w:t>
      </w:r>
    </w:p>
    <w:p>
      <w:pPr>
        <w:pStyle w:val="Compact"/>
        <w:numPr>
          <w:ilvl w:val="0"/>
          <w:numId w:val="1004"/>
        </w:numPr>
      </w:pPr>
      <w:r>
        <w:rPr>
          <w:i/>
          <w:iCs/>
        </w:rPr>
        <w:t xml:space="preserve">BRI infrastructure may have enabled the parallel-import routing.</w:t>
      </w:r>
      <w:r>
        <w:t xml:space="preserve"> </w:t>
      </w:r>
      <w:r>
        <w:t xml:space="preserve">Kazakhstan’s expanded trade capacity — a direct BRI outcome — may be what made it a viable transit route for sanctions-evasion flows. The channels are not mutually exclusive.</w:t>
      </w:r>
    </w:p>
    <w:p>
      <w:pPr>
        <w:pStyle w:val="Compact"/>
        <w:numPr>
          <w:ilvl w:val="0"/>
          <w:numId w:val="1004"/>
        </w:numPr>
      </w:pPr>
      <w:r>
        <w:rPr>
          <w:i/>
          <w:iCs/>
        </w:rPr>
        <w:t xml:space="preserve">The 2022 import growth (47.5%) preceded the 2023 surge (369.2%).</w:t>
      </w:r>
      <w:r>
        <w:t xml:space="preserve"> </w:t>
      </w:r>
      <w:r>
        <w:t xml:space="preserve">Even excluding 2023, the 2022 import acceleration is historically large, suggesting some structural acceleration preceded the extreme 2023 observation.</w:t>
      </w:r>
    </w:p>
    <w:p>
      <w:pPr>
        <w:pStyle w:val="Compact"/>
        <w:numPr>
          <w:ilvl w:val="0"/>
          <w:numId w:val="1004"/>
        </w:numPr>
      </w:pPr>
      <w:r>
        <w:rPr>
          <w:i/>
          <w:iCs/>
        </w:rPr>
        <w:t xml:space="preserve">The descriptive decomposition remains robust.</w:t>
      </w:r>
      <w:r>
        <w:t xml:space="preserve"> </w:t>
      </w:r>
      <w:r>
        <w:t xml:space="preserve">Imports from China grew by 94.3% on average in the full post-BRI period (2014–2023). Even excluding 2022–2023 (years 9–10 of the post-BRI period), the remaining post-BRI import growth is substantial.</w:t>
      </w:r>
    </w:p>
    <w:p>
      <w:pPr>
        <w:pStyle w:val="FirstParagraph"/>
        <w:ind w:firstLine="720"/>
        <w:jc w:val="both"/>
      </w:pPr>
      <w:r>
        <w:rPr>
          <w:b/>
          <w:bCs/>
        </w:rPr>
        <w:t xml:space="preserve">Causal language threshold.</w:t>
      </w:r>
      <w:r>
        <w:t xml:space="preserve"> </w:t>
      </w:r>
      <w:r>
        <w:t xml:space="preserve">In light of these results, the thesis applies the triple-concordance criterion established in §5.1: a BRI-specific causal claim requires that (a) the DiD partner placebo (§6.15), (b) the synthetic counterfactual (§6.16), and (c) this sanctions robustness check all point in the same direction. The sanctions check does</w:t>
      </w:r>
      <w:r>
        <w:t xml:space="preserve"> </w:t>
      </w:r>
      <w:r>
        <w:rPr>
          <w:b/>
          <w:bCs/>
        </w:rPr>
        <w:t xml:space="preserve">not</w:t>
      </w:r>
      <w:r>
        <w:t xml:space="preserve"> </w:t>
      </w:r>
      <w:r>
        <w:t xml:space="preserve">support a China-specific BRI causal channel. Therefore, all post-BRI effect claims in this thesis are described as</w:t>
      </w:r>
      <w:r>
        <w:t xml:space="preserve"> </w:t>
      </w:r>
      <w:r>
        <w:t xml:space="preserve">“consistent with”</w:t>
      </w:r>
      <w:r>
        <w:t xml:space="preserve"> </w:t>
      </w:r>
      <w:r>
        <w:t xml:space="preserve">or</w:t>
      </w:r>
      <w:r>
        <w:t xml:space="preserve"> </w:t>
      </w:r>
      <w:r>
        <w:t xml:space="preserve">“associated with”</w:t>
      </w:r>
      <w:r>
        <w:t xml:space="preserve"> </w:t>
      </w:r>
      <w:r>
        <w:t xml:space="preserve">asymmetric interdependence rather than as causal evidence.</w:t>
      </w:r>
    </w:p>
    <w:bookmarkEnd w:id="81"/>
    <w:bookmarkEnd w:id="82"/>
    <w:bookmarkStart w:id="83" w:name="X4fa68bcb6e47ae3fbd22e6c6ba26d244792e5ff"/>
    <w:p>
      <w:pPr>
        <w:pStyle w:val="Heading2"/>
        <w:keepNext/>
      </w:pPr>
      <w:r>
        <w:t xml:space="preserve">6.15 Comparative Analysis: Interrupted Time Series with Placebo Break Years</w:t>
      </w:r>
    </w:p>
    <w:p>
      <w:pPr>
        <w:pStyle w:val="FirstParagraph"/>
        <w:ind w:firstLine="720"/>
        <w:jc w:val="both"/>
      </w:pPr>
      <w:r>
        <w:rPr>
          <w:i/>
          <w:iCs/>
        </w:rPr>
        <w:t xml:space="preserve">Results produced by</w:t>
      </w:r>
      <w:r>
        <w:rPr>
          <w:i/>
          <w:iCs/>
        </w:rPr>
        <w:t xml:space="preserve"> </w:t>
      </w:r>
      <w:r>
        <w:rPr>
          <w:rStyle w:val="VerbatimChar"/>
          <w:i/>
          <w:iCs/>
        </w:rPr>
        <w:t xml:space="preserve">Scripts/33_multi_partner_panel.py</w:t>
      </w:r>
      <w:r>
        <w:rPr>
          <w:i/>
          <w:iCs/>
        </w:rPr>
        <w:t xml:space="preserve"> </w:t>
      </w:r>
      <w:r>
        <w:rPr>
          <w:i/>
          <w:iCs/>
        </w:rPr>
        <w:t xml:space="preserve">and</w:t>
      </w:r>
      <w:r>
        <w:rPr>
          <w:i/>
          <w:iCs/>
        </w:rPr>
        <w:t xml:space="preserve"> </w:t>
      </w:r>
      <w:r>
        <w:rPr>
          <w:rStyle w:val="VerbatimChar"/>
          <w:i/>
          <w:iCs/>
        </w:rPr>
        <w:t xml:space="preserve">Scripts/34_did_partner_placebo.py</w:t>
      </w:r>
      <w:r>
        <w:rPr>
          <w:i/>
          <w:iCs/>
        </w:rPr>
        <w:t xml:space="preserve">.</w:t>
      </w:r>
      <w:r>
        <w:rPr>
          <w:i/>
          <w:iCs/>
        </w:rPr>
        <w:t xml:space="preserve"> </w:t>
      </w:r>
      <w:r>
        <w:rPr>
          <w:rStyle w:val="VerbatimChar"/>
          <w:i/>
          <w:iCs/>
        </w:rPr>
        <w:t xml:space="preserve">Outputs/generated_tables/did_partner_placebo.csv</w:t>
      </w:r>
      <w:r>
        <w:rPr>
          <w:i/>
          <w:iCs/>
        </w:rPr>
        <w:t xml:space="preserve"> </w:t>
      </w:r>
      <w:r>
        <w:rPr>
          <w:i/>
          <w:iCs/>
        </w:rPr>
        <w:t xml:space="preserve">contains the full results table. The event-study figure is at</w:t>
      </w:r>
      <w:r>
        <w:rPr>
          <w:i/>
          <w:iCs/>
        </w:rPr>
        <w:t xml:space="preserve"> </w:t>
      </w:r>
      <w:r>
        <w:rPr>
          <w:rStyle w:val="VerbatimChar"/>
          <w:i/>
          <w:iCs/>
        </w:rPr>
        <w:t xml:space="preserve">Outputs/generated_figures/fig_did_event_study.png</w:t>
      </w:r>
      <w:r>
        <w:rPr>
          <w:i/>
          <w:iCs/>
        </w:rPr>
        <w:t xml:space="preserve">.</w:t>
      </w:r>
    </w:p>
    <w:p>
      <w:pPr>
        <w:pStyle w:val="BodyText"/>
        <w:ind w:firstLine="720"/>
        <w:jc w:val="both"/>
      </w:pPr>
      <w:r>
        <w:rPr>
          <w:b/>
          <w:bCs/>
        </w:rPr>
        <w:t xml:space="preserve">Data availability note.</w:t>
      </w:r>
      <w:r>
        <w:t xml:space="preserve"> </w:t>
      </w:r>
      <w:r>
        <w:t xml:space="preserve">The preferred design for this section is a two-way fixed-effects (TWFE) DiD using Kazakhstan’s bilateral trade balance with multiple partners (China, Russia, EU/Germany, Uzbekistan, Turkey, USA) as treatment and control units. This design requires bilateral trade data that is not available in the local repository: the IMF DOTS API — which provides the necessary annual bilateral flows — was unreachable during the analysis run (network access blocked in this environment). This is documented as a [DATA_GAP] in</w:t>
      </w:r>
      <w:r>
        <w:t xml:space="preserve"> </w:t>
      </w:r>
      <w:r>
        <w:rPr>
          <w:rStyle w:val="VerbatimChar"/>
        </w:rPr>
        <w:t xml:space="preserve">KNOWN_ISSUES.md</w:t>
      </w:r>
      <w:r>
        <w:t xml:space="preserve">. The full TWFE DiD specification is implemented in</w:t>
      </w:r>
      <w:r>
        <w:t xml:space="preserve"> </w:t>
      </w:r>
      <w:r>
        <w:rPr>
          <w:rStyle w:val="VerbatimChar"/>
        </w:rPr>
        <w:t xml:space="preserve">Scripts/34_did_partner_placebo.py</w:t>
      </w:r>
      <w:r>
        <w:t xml:space="preserve"> </w:t>
      </w:r>
      <w:r>
        <w:t xml:space="preserve">and will run automatically when executed with network access.</w:t>
      </w:r>
    </w:p>
    <w:p>
      <w:pPr>
        <w:pStyle w:val="BodyText"/>
        <w:ind w:firstLine="720"/>
        <w:jc w:val="both"/>
      </w:pPr>
      <w:r>
        <w:rPr>
          <w:b/>
          <w:bCs/>
        </w:rPr>
        <w:t xml:space="preserve">Implemented alternative: Interrupted Time Series (ITS) with placebo break years.</w:t>
      </w:r>
      <w:r>
        <w:t xml:space="preserve"> </w:t>
      </w:r>
      <w:r>
        <w:t xml:space="preserve">In the absence of multi-partner data, the partner-placebo logic is partially tested using within-unit placebo break years (2008–2012). If only the true break year (2013) produces a significant level shift while placebo years do not, this is consistent with 2013 being a genuine structural break rather than a spurious period effect.</w:t>
      </w:r>
    </w:p>
    <w:p>
      <w:pPr>
        <w:pStyle w:val="BodyText"/>
        <w:jc w:val="both"/>
      </w:pPr>
      <w:r>
        <w:rPr>
          <w:b/>
          <w:bCs/>
        </w:rPr>
        <w:t xml:space="preserve">Table 6.10. ITS and Placebo Break-Year Results</w:t>
      </w:r>
    </w:p>
    <w:tbl>
      <w:tblPr>
        <w:tblStyle w:val="Table"/>
        <w:tblW w:type="pct" w:w="5000"/>
        <w:jc w:val="center"/>
        <w:tblLayout w:type="autofit"/>
        <w:tblLook w:firstRow="1" w:lastRow="0" w:firstColumn="0" w:lastColumn="0" w:noHBand="0" w:noVBand="0" w:val="0020"/>
      </w:tblPr>
      <w:tblGrid>
        <w:gridCol w:w="1131"/>
        <w:gridCol w:w="1131"/>
        <w:gridCol w:w="1508"/>
        <w:gridCol w:w="1508"/>
        <w:gridCol w:w="1508"/>
        <w:gridCol w:w="1131"/>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Specification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Level shift β</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6"/>
              </w:rPr>
              <w:t xml:space="preserve">p</w:t>
            </w:r>
            <w:r>
              <w:rPr>
                <w:rFonts w:ascii="Times New Roman" w:hAnsi="Times New Roman" w:eastAsia="Times New Roman"/>
                <w:b/>
                <w:sz w:val="16"/>
              </w:rPr>
              <w:t xml:space="preserve">-value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6"/>
              </w:rPr>
              <w:t xml:space="preserve">Interpretation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True break at 2013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−0.237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0.018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True BRI break: significant</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Placebo break at 2008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+0.116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0.080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0.145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Insignificant ✓</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Placebo break at 2009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+0.149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0.089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0.094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Marginally significant ⚠</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Placebo break at 2010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+0.176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0.080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Marginally significant ⚠</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Placebo break at 2011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+0.070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0.488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Insignificant ✓</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Placebo break at 2012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−0.097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0.103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6"/>
              </w:rPr>
              <w:t xml:space="preserve">0.346</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6"/>
              </w:rPr>
              <w:t xml:space="preserve">Insignificant ✓</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Scripts/34_did_partner_placebo.py</w:t>
      </w:r>
      <w:r>
        <w:rPr>
          <w:i/>
          <w:iCs/>
          <w:sz w:val="20"/>
        </w:rPr>
        <w:t xml:space="preserve">. HAC standard errors, bandwidth = 3.</w:t>
      </w:r>
    </w:p>
    <w:p>
      <w:pPr>
        <w:pStyle w:val="BodyText"/>
        <w:ind w:firstLine="720"/>
        <w:jc w:val="both"/>
      </w:pPr>
      <w:r>
        <w:rPr>
          <w:b/>
          <w:bCs/>
        </w:rPr>
        <w:t xml:space="preserve">Interpretation.</w:t>
      </w:r>
      <w:r>
        <w:t xml:space="preserve"> </w:t>
      </w:r>
      <w:r>
        <w:t xml:space="preserve">The true 2013 break produces a significant level shift of −0.237 in the bilateral trade-balance ratio (</w:t>
      </w:r>
      <w:r>
        <w:rPr>
          <w:i/>
          <w:iCs/>
        </w:rPr>
        <w:t xml:space="preserve">p</w:t>
      </w:r>
      <w:r>
        <w:t xml:space="preserve"> </w:t>
      </w:r>
      <w:r>
        <w:t xml:space="preserve">= 0.018), consistent with the BRI announcement marking a structural change. However, the 2009 and 2010 placebo breaks are marginally significant (</w:t>
      </w:r>
      <w:r>
        <w:rPr>
          <w:i/>
          <w:iCs/>
        </w:rPr>
        <w:t xml:space="preserve">p</w:t>
      </w:r>
      <w:r>
        <w:t xml:space="preserve"> </w:t>
      </w:r>
      <w:r>
        <w:t xml:space="preserve">= 0.094 and</w:t>
      </w:r>
      <w:r>
        <w:t xml:space="preserve"> </w:t>
      </w:r>
      <w:r>
        <w:rPr>
          <w:i/>
          <w:iCs/>
        </w:rPr>
        <w:t xml:space="preserve">p</w:t>
      </w:r>
      <w:r>
        <w:t xml:space="preserve"> </w:t>
      </w:r>
      <w:r>
        <w:t xml:space="preserve">= 0.080), which suggests that a pre-existing downward trend in the balance ratio partially explains the apparent 2013 level shift. This is consistent with the thesis’s cautious interpretation: the 2013 break is real, but it is not cleanly separable from broader trends.</w:t>
      </w:r>
    </w:p>
    <w:p>
      <w:pPr>
        <w:pStyle w:val="BodyText"/>
        <w:ind w:firstLine="720"/>
        <w:jc w:val="both"/>
      </w:pPr>
      <w:r>
        <w:rPr>
          <w:b/>
          <w:bCs/>
        </w:rPr>
        <w:t xml:space="preserve">What a full TWFE DiD would add.</w:t>
      </w:r>
      <w:r>
        <w:t xml:space="preserve"> </w:t>
      </w:r>
      <w:r>
        <w:t xml:space="preserve">If Kazakhstan’s bilateral balance deteriorated with China post-2013 but not with Russia, Germany, or Uzbekistan, that China-specific result would be comparative evidence of a BRI channel. If all balances deteriorated together, the BRI interpretation would be weakened. The current within-unit evidence is consistent with a structural break but cannot rule out common shocks. The cross-partner comparison remains an important robustness check that requires IMF DOTS API access.</w:t>
      </w:r>
    </w:p>
    <w:bookmarkEnd w:id="83"/>
    <w:bookmarkStart w:id="87" w:name="synthetic-counterfactual"/>
    <w:p>
      <w:pPr>
        <w:pStyle w:val="Heading2"/>
        <w:keepNext/>
      </w:pPr>
      <w:r>
        <w:t xml:space="preserve">6.16 Synthetic Counterfactual</w:t>
      </w:r>
    </w:p>
    <w:p>
      <w:pPr>
        <w:pStyle w:val="FirstParagraph"/>
        <w:ind w:firstLine="720"/>
        <w:jc w:val="both"/>
      </w:pPr>
      <w:r>
        <w:rPr>
          <w:i/>
          <w:iCs/>
        </w:rPr>
        <w:t xml:space="preserve">Results produced by</w:t>
      </w:r>
      <w:r>
        <w:rPr>
          <w:i/>
          <w:iCs/>
        </w:rPr>
        <w:t xml:space="preserve"> </w:t>
      </w:r>
      <w:r>
        <w:rPr>
          <w:rStyle w:val="VerbatimChar"/>
          <w:i/>
          <w:iCs/>
        </w:rPr>
        <w:t xml:space="preserve">Scripts/36_synthetic_control.py</w:t>
      </w:r>
      <w:r>
        <w:rPr>
          <w:i/>
          <w:iCs/>
        </w:rPr>
        <w:t xml:space="preserve">. Outputs:</w:t>
      </w:r>
      <w:r>
        <w:rPr>
          <w:i/>
          <w:iCs/>
        </w:rPr>
        <w:t xml:space="preserve"> </w:t>
      </w:r>
      <w:r>
        <w:rPr>
          <w:rStyle w:val="VerbatimChar"/>
          <w:i/>
          <w:iCs/>
        </w:rPr>
        <w:t xml:space="preserve">Outputs/generated_tables/synthetic_control.csv</w:t>
      </w:r>
      <w:r>
        <w:rPr>
          <w:i/>
          <w:iCs/>
        </w:rPr>
        <w:t xml:space="preserve"> </w:t>
      </w:r>
      <w:r>
        <w:rPr>
          <w:i/>
          <w:iCs/>
        </w:rPr>
        <w:t xml:space="preserve">and</w:t>
      </w:r>
      <w:r>
        <w:rPr>
          <w:i/>
          <w:iCs/>
        </w:rPr>
        <w:t xml:space="preserve"> </w:t>
      </w:r>
      <w:r>
        <w:rPr>
          <w:rStyle w:val="VerbatimChar"/>
          <w:i/>
          <w:iCs/>
        </w:rPr>
        <w:t xml:space="preserve">Outputs/generated_figures/fig_synthetic_control.png</w:t>
      </w:r>
      <w:r>
        <w:rPr>
          <w:i/>
          <w:iCs/>
        </w:rPr>
        <w:t xml:space="preserve">.</w:t>
      </w:r>
    </w:p>
    <w:p>
      <w:pPr>
        <w:pStyle w:val="BodyText"/>
        <w:ind w:firstLine="720"/>
        <w:jc w:val="both"/>
      </w:pPr>
      <w:r>
        <w:rPr>
          <w:b/>
          <w:bCs/>
        </w:rPr>
        <w:t xml:space="preserve">Within-unit counterfactual.</w:t>
      </w:r>
      <w:r>
        <w:t xml:space="preserve"> </w:t>
      </w:r>
      <w:r>
        <w:t xml:space="preserve">External partner DiD and multi-partner synthetic control were considered but not retained because real partner-level data were not available in the local repository / API access was blocked. A within-unit synthetic control is implemented instead: the pre-period (2000–2012) dynamics of the KZ-China balance ratio are modeled using global commodity prices (Brent, normalized), the gravity ratio (log CN/KZ GDP), a linear time trend, and the lagged balance ratio as predictors. The pre-period OLS fit on these predictors serves as the synthetic counterfactual for the post-2013 period.</w:t>
      </w:r>
    </w:p>
    <w:p>
      <w:pPr>
        <w:pStyle w:val="BodyText"/>
        <w:ind w:firstLine="720"/>
        <w:jc w:val="both"/>
      </w:pPr>
      <w:r>
        <w:rPr>
          <w:b/>
          <w:bCs/>
        </w:rPr>
        <w:t xml:space="preserve">Design.</w:t>
      </w:r>
      <w:r>
        <w:t xml:space="preserve"> </w:t>
      </w:r>
      <w:r>
        <w:t xml:space="preserve">The synthetic counterfactual is constructed as the OLS-fitted value of the trade-balance ratio on the four predictors, with coefficients estimated only on the 2000–2012 pre-period sample. The post-2013 counterfactual is the out-of-sample projection of these pre-period dynamics. A negative gap (actual &lt; synthetic) post-2013 is interpreted as the actual balance falling below what would be predicted by the pre-BRI dynamics of commodity prices, bilateral size asymmetry, and trend.</w:t>
      </w:r>
    </w:p>
    <w:p>
      <w:pPr>
        <w:pStyle w:val="BodyText"/>
        <w:jc w:val="both"/>
      </w:pPr>
      <w:r>
        <w:rPr>
          <w:b/>
          <w:bCs/>
        </w:rPr>
        <w:t xml:space="preserve">Table 6.11. Post-BRI Synthetic Counterfactual Gap</w:t>
      </w:r>
    </w:p>
    <w:tbl>
      <w:tblPr>
        <w:tblStyle w:val="Table"/>
        <w:tblW w:type="pct" w:w="5000"/>
        <w:jc w:val="center"/>
        <w:tblLayout w:type="autofit"/>
        <w:tblLook w:firstRow="1" w:lastRow="0" w:firstColumn="0" w:lastColumn="0" w:noHBand="0" w:noVBand="0" w:val="0020"/>
      </w:tblPr>
      <w:tblGrid>
        <w:gridCol w:w="609"/>
        <w:gridCol w:w="2132"/>
        <w:gridCol w:w="2538"/>
        <w:gridCol w:w="264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Year</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Actual balance ratio</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Synthetic counterfactual</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Gap (actual − synthetic)</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0.264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0.340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−0.075</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0.142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0.265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−0.123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0.037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0.192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−0.155</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0.070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0.160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−0.091</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0.105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0.164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−0.059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2018</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0.079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0.173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−0.094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2019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0.082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0.115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−0.033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2020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0.555</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0.112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+0.443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2021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0.477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0.361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+0.116</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2022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0.491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0.287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+0.204</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−0.064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0.219</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−0.283</w:t>
            </w:r>
          </w:p>
        </w:tc>
      </w:tr>
    </w:tbl>
    <w:p>
      <w:pPr>
        <w:pStyle w:val="BodyText"/>
        <w:spacing w:line="240" w:lineRule="auto" w:after="80"/>
        <w:ind/>
        <w:jc w:val="left"/>
      </w:pPr>
      <w:r>
        <w:rPr>
          <w:i/>
          <w:iCs/>
          <w:sz w:val="20"/>
        </w:rPr>
        <w:t xml:space="preserve">Source: Author’s calculations from</w:t>
      </w:r>
      <w:r>
        <w:rPr>
          <w:i/>
          <w:iCs/>
          <w:sz w:val="20"/>
        </w:rPr>
        <w:t xml:space="preserve"> </w:t>
      </w:r>
      <w:r>
        <w:rPr>
          <w:rStyle w:val="VerbatimChar"/>
          <w:i/>
          <w:iCs/>
          <w:sz w:val="20"/>
        </w:rPr>
        <w:t xml:space="preserve">Scripts/36_synthetic_control.py</w:t>
      </w:r>
      <w:r>
        <w:rPr>
          <w:i/>
          <w:iCs/>
          <w:sz w:val="20"/>
        </w:rPr>
        <w:t xml:space="preserve">. Pre-period MSPE = 0.0038; post-period MSPE = 0.0362; MSPE ratio = 9.53.</w:t>
      </w:r>
    </w:p>
    <w:p>
      <w:pPr>
        <w:pStyle w:val="BodyText"/>
        <w:ind w:firstLine="720"/>
        <w:jc w:val="both"/>
      </w:pPr>
      <w:r>
        <w:rPr>
          <w:b/>
          <w:bCs/>
        </w:rPr>
        <w:t xml:space="preserve">Findings.</w:t>
      </w:r>
      <w:r>
        <w:t xml:space="preserve"> </w:t>
      </w:r>
      <w:r>
        <w:t xml:space="preserve">The gap is negative in 8 of 11 post-BRI years, with a mean post-BRI gap of −0.014. The MSPE ratio (post-period fit error / pre-period fit error) is 9.53, indicating that post-2013 outcomes are substantially harder to predict from pre-BRI dynamics alone — consistent with a post-2013 structural change. The three years with positive gaps (2020, 2021, 2022) coincide with the COVID-19 pandemic import collapse and the initial post-Ukraine sanctions period, both of which temporarily improved the bilateral trade balance.</w:t>
      </w:r>
    </w:p>
    <w:p>
      <w:pPr>
        <w:pStyle w:val="BodyText"/>
        <w:spacing w:line="240" w:lineRule="auto" w:after="80"/>
        <w:ind/>
        <w:jc w:val="left"/>
      </w:pPr>
      <w:r>
        <w:rPr>
          <w:sz w:val="20"/>
        </w:rPr>
        <w:drawing>
          <wp:inline>
            <wp:extent cx="5257800" cy="3823854"/>
            <wp:effectExtent b="0" l="0" r="0" t="0"/>
            <wp:docPr descr="Figure 7. Synthetic Counterfactual: Actual vs. Synthetic KZ-China Trade Balance Ratio" title="" id="85" name="Picture"/>
            <a:graphic>
              <a:graphicData uri="http://schemas.openxmlformats.org/drawingml/2006/picture">
                <pic:pic>
                  <pic:nvPicPr>
                    <pic:cNvPr descr="../Outputs/generated_figures/fig_synthetic_control.png" id="86" name="Picture"/>
                    <pic:cNvPicPr>
                      <a:picLocks noChangeArrowheads="1" noChangeAspect="1"/>
                    </pic:cNvPicPr>
                  </pic:nvPicPr>
                  <pic:blipFill>
                    <a:blip r:embed="rId84"/>
                    <a:stretch>
                      <a:fillRect/>
                    </a:stretch>
                  </pic:blipFill>
                  <pic:spPr bwMode="auto">
                    <a:xfrm>
                      <a:off x="0" y="0"/>
                      <a:ext cx="5257800" cy="3823854"/>
                    </a:xfrm>
                    <a:prstGeom prst="rect">
                      <a:avLst/>
                    </a:prstGeom>
                    <a:noFill/>
                    <a:ln w="9525">
                      <a:noFill/>
                      <a:headEnd/>
                      <a:tailEnd/>
                    </a:ln>
                  </pic:spPr>
                </pic:pic>
              </a:graphicData>
            </a:graphic>
          </wp:inline>
        </w:drawing>
      </w:r>
      <w:r>
        <w:rPr>
          <w:sz w:val="20"/>
        </w:rPr>
        <w:t xml:space="preserve"> </w:t>
      </w:r>
      <w:r>
        <w:rPr>
          <w:i/>
          <w:iCs/>
          <w:sz w:val="20"/>
        </w:rPr>
        <w:t xml:space="preserve">Source: Author’s construction from</w:t>
      </w:r>
      <w:r>
        <w:rPr>
          <w:i/>
          <w:iCs/>
          <w:sz w:val="20"/>
        </w:rPr>
        <w:t xml:space="preserve"> </w:t>
      </w:r>
      <w:r>
        <w:rPr>
          <w:rStyle w:val="VerbatimChar"/>
          <w:i/>
          <w:iCs/>
          <w:sz w:val="20"/>
        </w:rPr>
        <w:t xml:space="preserve">Scripts/36_synthetic_control.py</w:t>
      </w:r>
      <w:r>
        <w:rPr>
          <w:i/>
          <w:iCs/>
          <w:sz w:val="20"/>
        </w:rPr>
        <w:t xml:space="preserve">. Panel A: actual vs. synthetic trajectory. Panel B: gap plot showing post-BRI deviations from counterfactual.</w:t>
      </w:r>
    </w:p>
    <w:p>
      <w:pPr>
        <w:pStyle w:val="BodyText"/>
        <w:ind w:firstLine="720"/>
        <w:jc w:val="both"/>
      </w:pPr>
      <w:r>
        <w:rPr>
          <w:b/>
          <w:bCs/>
        </w:rPr>
        <w:t xml:space="preserve">Triple-concordance assessment.</w:t>
      </w:r>
      <w:r>
        <w:t xml:space="preserve"> </w:t>
      </w:r>
      <w:r>
        <w:t xml:space="preserve">The three causal identification methods produce the following pattern:</w:t>
      </w:r>
    </w:p>
    <w:tbl>
      <w:tblPr>
        <w:tblStyle w:val="Table"/>
        <w:tblW w:type="pct" w:w="5000"/>
        <w:jc w:val="center"/>
        <w:tblLayout w:type="autofit"/>
        <w:tblLook w:firstRow="1" w:lastRow="0" w:firstColumn="0" w:lastColumn="0" w:noHBand="0" w:noVBand="0" w:val="0020"/>
      </w:tblPr>
      <w:tblGrid>
        <w:gridCol w:w="1624"/>
        <w:gridCol w:w="2233"/>
        <w:gridCol w:w="2640"/>
        <w:gridCol w:w="1421"/>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Method</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Direction</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Significant</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Notes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Regression (gravity ratio)</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Negative (−2.42)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p=0.033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Driven by 2022–2023; does not survive exclusion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ITS level shift (2013)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Negative (−0.237)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p=0.018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2009/2010 placebo marginally significant</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Synthetic control gap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Negative (mean=−0.014)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p=0.857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Consistent direction; not statistically significant</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Sanctions robustness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Attenuated to insignificance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p=0.813 excl. 2022–23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Alternative explanation not ruled out</w:t>
            </w:r>
          </w:p>
        </w:tc>
      </w:tr>
    </w:tbl>
    <w:p>
      <w:pPr>
        <w:pStyle w:val="BodyText"/>
        <w:ind w:firstLine="720"/>
        <w:jc w:val="both"/>
      </w:pPr>
      <w:r>
        <w:rPr>
          <w:b/>
          <w:bCs/>
        </w:rPr>
        <w:t xml:space="preserve">Causal language.</w:t>
      </w:r>
      <w:r>
        <w:t xml:space="preserve"> </w:t>
      </w:r>
      <w:r>
        <w:t xml:space="preserve">Following the triple-concordance criterion established in §5.1: all three methods point in the same direction (negative/adverse post-BRI balance shift), but none individually achieves robust statistical significance after controlling for alternative explanations. The sanctions-evasion check (§6.14) further weakens the case for a BRI-specific causal attribution. The thesis therefore maintains its original cautious framing: the evidence is</w:t>
      </w:r>
      <w:r>
        <w:t xml:space="preserve"> </w:t>
      </w:r>
      <w:r>
        <w:rPr>
          <w:b/>
          <w:bCs/>
        </w:rPr>
        <w:t xml:space="preserve">consistent with</w:t>
      </w:r>
      <w:r>
        <w:t xml:space="preserve"> </w:t>
      </w:r>
      <w:r>
        <w:t xml:space="preserve">asymmetric interdependence deepening post-BRI, but does not constitute proof of a BRI causal effect. Causal language is not warranted.</w:t>
      </w:r>
    </w:p>
    <w:bookmarkEnd w:id="87"/>
    <w:bookmarkEnd w:id="88"/>
    <w:bookmarkStart w:id="93" w:name="discussion"/>
    <w:p>
      <w:pPr>
        <w:pStyle w:val="Heading1"/>
        <w:keepNext/>
      </w:pPr>
      <w:r>
        <w:t xml:space="preserve">7. Discussion</w:t>
      </w:r>
    </w:p>
    <w:bookmarkStart w:id="89" w:name="what-the-results-show"/>
    <w:p>
      <w:pPr>
        <w:pStyle w:val="Heading2"/>
        <w:keepNext/>
      </w:pPr>
      <w:r>
        <w:t xml:space="preserve">7.1 What the Results Show</w:t>
      </w:r>
    </w:p>
    <w:p>
      <w:pPr>
        <w:pStyle w:val="FirstParagraph"/>
        <w:ind w:firstLine="720"/>
        <w:jc w:val="both"/>
      </w:pPr>
      <w:r>
        <w:t xml:space="preserve">The most robust finding is descriptive rather than econometric. Kazakhstan’s imports from China grew by 94.3% between the pre-BRI and post-BRI periods, while exports grew by only 24.3%. This import-side deepening—not export collapse—explains the 37.8% decline in the average bilateral trade balance. Strategic mineral exports grew by 29.2%, but this growth was insufficient to offset the import surge. These descriptive findings are consistent with the asymmetric interdependence prediction that BRI trade facilitation would expand trade asymmetrically in favour of the more diversified partner, but this consistency does not constitute causal proof.</w:t>
      </w:r>
    </w:p>
    <w:p>
      <w:pPr>
        <w:pStyle w:val="BodyText"/>
        <w:ind w:firstLine="720"/>
        <w:jc w:val="both"/>
      </w:pPr>
      <w:r>
        <w:t xml:space="preserve">The regression analysis provides suggestive but fragile corroboration. The negative interaction term is statistically significant in full-sample models but depends critically on 2023. The leave-one-out analysis shows that excluding any single year other than 2023 preserves the negative interaction. Excluding 2023 alone eliminates or reverses it. Furthermore, the sanctions robustness checks (§6.14) show that after excluding 2022–2023 — the period coinciding with Russia-sanctions parallel-import routing — the interaction coefficient does not survive. This raises the possibility that the 2023 outcome reflects a geopolitical shock rather than a BRI structural effect.</w:t>
      </w:r>
    </w:p>
    <w:p>
      <w:pPr>
        <w:pStyle w:val="BodyText"/>
        <w:ind w:firstLine="720"/>
        <w:jc w:val="both"/>
      </w:pPr>
      <w:r>
        <w:t xml:space="preserve">Three causal identification methods (regression, ITS placebo, synthetic control) all point in the same direction — consistent with an adverse post-BRI balance shift — but none achieves robust statistical significance after controlling for the 2022–2023 period. This pattern supports the evidence being described as</w:t>
      </w:r>
      <w:r>
        <w:t xml:space="preserve"> </w:t>
      </w:r>
      <w:r>
        <w:rPr>
          <w:b/>
          <w:bCs/>
        </w:rPr>
        <w:t xml:space="preserve">associated with</w:t>
      </w:r>
      <w:r>
        <w:t xml:space="preserve"> </w:t>
      </w:r>
      <w:r>
        <w:t xml:space="preserve">or</w:t>
      </w:r>
      <w:r>
        <w:t xml:space="preserve"> </w:t>
      </w:r>
      <w:r>
        <w:rPr>
          <w:b/>
          <w:bCs/>
        </w:rPr>
        <w:t xml:space="preserve">consistent with</w:t>
      </w:r>
      <w:r>
        <w:t xml:space="preserve"> </w:t>
      </w:r>
      <w:r>
        <w:t xml:space="preserve">asymmetric interdependence deepening, not as proof of a BRI causal mechanism.</w:t>
      </w:r>
    </w:p>
    <w:bookmarkEnd w:id="89"/>
    <w:bookmarkStart w:id="90" w:name="what-the-results-do-not-show"/>
    <w:p>
      <w:pPr>
        <w:pStyle w:val="Heading2"/>
        <w:keepNext/>
      </w:pPr>
      <w:r>
        <w:t xml:space="preserve">7.2 What the Results Do Not Show</w:t>
      </w:r>
    </w:p>
    <w:p>
      <w:pPr>
        <w:pStyle w:val="FirstParagraph"/>
        <w:ind w:firstLine="720"/>
        <w:jc w:val="both"/>
      </w:pPr>
      <w:r>
        <w:t xml:space="preserve">The results do</w:t>
      </w:r>
      <w:r>
        <w:t xml:space="preserve"> </w:t>
      </w:r>
      <w:r>
        <w:rPr>
          <w:b/>
          <w:bCs/>
        </w:rPr>
        <w:t xml:space="preserve">not</w:t>
      </w:r>
      <w:r>
        <w:t xml:space="preserve"> </w:t>
      </w:r>
      <w:r>
        <w:t xml:space="preserve">demonstrate that:</w:t>
      </w:r>
      <w:r>
        <w:t xml:space="preserve"> </w:t>
      </w:r>
      <w:r>
        <w:t xml:space="preserve">- BRI</w:t>
      </w:r>
      <w:r>
        <w:t xml:space="preserve"> </w:t>
      </w:r>
      <w:r>
        <w:rPr>
          <w:i/>
          <w:iCs/>
        </w:rPr>
        <w:t xml:space="preserve">caused</w:t>
      </w:r>
      <w:r>
        <w:t xml:space="preserve"> </w:t>
      </w:r>
      <w:r>
        <w:t xml:space="preserve">Kazakhstan’s trade-balance deterioration;</w:t>
      </w:r>
      <w:r>
        <w:t xml:space="preserve"> </w:t>
      </w:r>
      <w:r>
        <w:t xml:space="preserve">- strategic minerals</w:t>
      </w:r>
      <w:r>
        <w:t xml:space="preserve"> </w:t>
      </w:r>
      <w:r>
        <w:rPr>
          <w:i/>
          <w:iCs/>
        </w:rPr>
        <w:t xml:space="preserve">caused</w:t>
      </w:r>
      <w:r>
        <w:t xml:space="preserve"> </w:t>
      </w:r>
      <w:r>
        <w:t xml:space="preserve">the bilateral deficit;</w:t>
      </w:r>
      <w:r>
        <w:t xml:space="preserve"> </w:t>
      </w:r>
      <w:r>
        <w:t xml:space="preserve">- China</w:t>
      </w:r>
      <w:r>
        <w:t xml:space="preserve"> </w:t>
      </w:r>
      <w:r>
        <w:rPr>
          <w:i/>
          <w:iCs/>
        </w:rPr>
        <w:t xml:space="preserve">caused</w:t>
      </w:r>
      <w:r>
        <w:t xml:space="preserve"> </w:t>
      </w:r>
      <w:r>
        <w:t xml:space="preserve">Kazakhstan’s external weakness;</w:t>
      </w:r>
      <w:r>
        <w:t xml:space="preserve"> </w:t>
      </w:r>
      <w:r>
        <w:t xml:space="preserve">- the interaction coefficient (−3.22, −2.42, or −2.38) is a structural parameter.</w:t>
      </w:r>
    </w:p>
    <w:p>
      <w:pPr>
        <w:pStyle w:val="BodyText"/>
        <w:ind w:firstLine="720"/>
        <w:jc w:val="both"/>
      </w:pPr>
      <w:r>
        <w:t xml:space="preserve">The coefficient should be read as evidence that the trade-balance association of mineral exports weakened in the post-BRI period, not as a causal multiplier. The sanctions robustness check (§6.14) cannot rule out that part or all of the post-2013 interaction is driven by the 2022–2023 Russia-sanctions routing rather than BRI-specific structural deepening.</w:t>
      </w:r>
    </w:p>
    <w:bookmarkEnd w:id="90"/>
    <w:bookmarkStart w:id="91" w:name="X159a95f1f75e4cb9d73376d92636dad3144bb28"/>
    <w:p>
      <w:pPr>
        <w:pStyle w:val="Heading2"/>
        <w:keepNext/>
      </w:pPr>
      <w:r>
        <w:t xml:space="preserve">7.3 Why 2023 is Retained but Treated Cautiously</w:t>
      </w:r>
    </w:p>
    <w:p>
      <w:pPr>
        <w:pStyle w:val="FirstParagraph"/>
        <w:ind w:firstLine="720"/>
        <w:jc w:val="both"/>
      </w:pPr>
      <w:r>
        <w:t xml:space="preserve">The 2023 observation warrants specific and cautious discussion. It is substantively meaningful because it is the first and only year of bilateral deficit (−USD 2.01 billion) in the dataset. Imports surged to USD 16.77 billion—nearly triple the 2020 level (USD 1.96 billion) and exceeding exports (USD 14.76 billion) for the first time. Meanwhile, mineral exports reached their sample maximum (USD 5.05 billion). This combination—record mineral exports coinciding with the first deficit—is precisely the puzzle that asymmetric interdependence theory predicts, suggesting 2023 may represent an inflection point, not just a statistical nuisance.</w:t>
      </w:r>
    </w:p>
    <w:p>
      <w:pPr>
        <w:pStyle w:val="BodyText"/>
        <w:ind w:firstLine="720"/>
        <w:jc w:val="both"/>
      </w:pPr>
      <w:r>
        <w:t xml:space="preserve">However, from an econometric standpoint, 2023 possesses extremely high leverage. Because inference in a 24-observation dataset is fragile, the results must be reported transparently with and without this year. The full-sample interaction coefficient and the excluding-2023 estimates should be treated as co-equal evidence. The core conclusion of this thesis—that the bilateral trade relationship has grown increasingly fragile and asymmetric—is supported by the descriptive decomposition and the 2023 outcome itself, but the formal claim of a stable, systematic post-BRI statistical interaction effect must not depend solely on the full-sample regression coefficient.</w:t>
      </w:r>
    </w:p>
    <w:bookmarkEnd w:id="91"/>
    <w:bookmarkStart w:id="92" w:name="policy-implications"/>
    <w:p>
      <w:pPr>
        <w:pStyle w:val="Heading2"/>
        <w:keepNext/>
      </w:pPr>
      <w:r>
        <w:t xml:space="preserve">7.4 Policy Implications</w:t>
      </w:r>
    </w:p>
    <w:p>
      <w:pPr>
        <w:pStyle w:val="FirstParagraph"/>
        <w:ind w:firstLine="720"/>
        <w:jc w:val="both"/>
      </w:pPr>
      <w:r>
        <w:t xml:space="preserve">Policy implications flow directly from the diagnostic findings:</w:t>
      </w:r>
    </w:p>
    <w:p>
      <w:pPr>
        <w:pStyle w:val="Compact"/>
        <w:numPr>
          <w:ilvl w:val="0"/>
          <w:numId w:val="1005"/>
        </w:numPr>
      </w:pPr>
      <w:r>
        <w:rPr>
          <w:b/>
          <w:bCs/>
        </w:rPr>
        <w:t xml:space="preserve">Monitor bilateral trade balance decomposition</w:t>
      </w:r>
      <w:r>
        <w:t xml:space="preserve">, not just total trade volumes. Aggregate trade growth can mask deteriorating bilateral positions.</w:t>
      </w:r>
    </w:p>
    <w:p>
      <w:pPr>
        <w:pStyle w:val="Compact"/>
        <w:numPr>
          <w:ilvl w:val="0"/>
          <w:numId w:val="1005"/>
        </w:numPr>
      </w:pPr>
      <w:r>
        <w:rPr>
          <w:b/>
          <w:bCs/>
        </w:rPr>
        <w:t xml:space="preserve">Track import-side dependence</w:t>
      </w:r>
      <w:r>
        <w:t xml:space="preserve"> </w:t>
      </w:r>
      <w:r>
        <w:t xml:space="preserve">on Chinese machinery, equipment, and intermediate goods. The 94.3% import growth suggests deepening structural dependence.</w:t>
      </w:r>
    </w:p>
    <w:p>
      <w:pPr>
        <w:pStyle w:val="Compact"/>
        <w:numPr>
          <w:ilvl w:val="0"/>
          <w:numId w:val="1005"/>
        </w:numPr>
      </w:pPr>
      <w:r>
        <w:rPr>
          <w:b/>
          <w:bCs/>
        </w:rPr>
        <w:t xml:space="preserve">Invest in mineral value-added processing</w:t>
      </w:r>
      <w:r>
        <w:t xml:space="preserve"> </w:t>
      </w:r>
      <w:r>
        <w:t xml:space="preserve">before export. Raw mineral exports generate lower returns and are price-sensitive.</w:t>
      </w:r>
    </w:p>
    <w:p>
      <w:pPr>
        <w:pStyle w:val="Compact"/>
        <w:numPr>
          <w:ilvl w:val="0"/>
          <w:numId w:val="1005"/>
        </w:numPr>
      </w:pPr>
      <w:r>
        <w:rPr>
          <w:b/>
          <w:bCs/>
        </w:rPr>
        <w:t xml:space="preserve">Improve HS-level trade data transparency.</w:t>
      </w:r>
      <w:r>
        <w:t xml:space="preserve"> </w:t>
      </w:r>
      <w:r>
        <w:t xml:space="preserve">The measurement break in mineral data (Section 4.3) reflects data infrastructure limitations.</w:t>
      </w:r>
    </w:p>
    <w:p>
      <w:pPr>
        <w:pStyle w:val="Compact"/>
        <w:numPr>
          <w:ilvl w:val="0"/>
          <w:numId w:val="1005"/>
        </w:numPr>
      </w:pPr>
      <w:r>
        <w:rPr>
          <w:b/>
          <w:bCs/>
        </w:rPr>
        <w:t xml:space="preserve">Diversify export destinations</w:t>
      </w:r>
      <w:r>
        <w:t xml:space="preserve"> </w:t>
      </w:r>
      <w:r>
        <w:t xml:space="preserve">where economically feasible, reducing concentration risk in a single large buyer.</w:t>
      </w:r>
    </w:p>
    <w:p>
      <w:pPr>
        <w:pStyle w:val="Compact"/>
        <w:numPr>
          <w:ilvl w:val="0"/>
          <w:numId w:val="1005"/>
        </w:numPr>
      </w:pPr>
      <w:r>
        <w:rPr>
          <w:b/>
          <w:bCs/>
        </w:rPr>
        <w:t xml:space="preserve">Treat BRI participation as a trade-structure issue</w:t>
      </w:r>
      <w:r>
        <w:t xml:space="preserve">, not solely an infrastructure issue. Infrastructure that facilitates bilateral trade may disproportionately benefit the more diversified partner.</w:t>
      </w:r>
    </w:p>
    <w:p>
      <w:pPr>
        <w:pStyle w:val="Compact"/>
        <w:numPr>
          <w:ilvl w:val="0"/>
          <w:numId w:val="1005"/>
        </w:numPr>
      </w:pPr>
      <w:r>
        <w:rPr>
          <w:b/>
          <w:bCs/>
        </w:rPr>
        <w:t xml:space="preserve">Evaluate 2023 as a potential structural inflection</w:t>
      </w:r>
      <w:r>
        <w:t xml:space="preserve"> </w:t>
      </w:r>
      <w:r>
        <w:t xml:space="preserve">requiring policy response rather than a statistical anomaly.</w:t>
      </w:r>
    </w:p>
    <w:bookmarkEnd w:id="92"/>
    <w:bookmarkEnd w:id="93"/>
    <w:bookmarkStart w:id="96" w:name="conclusion"/>
    <w:p>
      <w:pPr>
        <w:pStyle w:val="Heading1"/>
        <w:keepNext/>
      </w:pPr>
      <w:r>
        <w:t xml:space="preserve">8. Conclusion</w:t>
      </w:r>
    </w:p>
    <w:p>
      <w:pPr>
        <w:pStyle w:val="FirstParagraph"/>
        <w:ind w:firstLine="720"/>
        <w:jc w:val="both"/>
      </w:pPr>
      <w:r>
        <w:t xml:space="preserve">This thesis examined whether strategic mineral exports from Kazakhstan to China translated into sustained bilateral trade-balance improvement during the post-BRI period. The answer is cautiously negative. Descriptive decomposition shows that imports from China grew nearly four times faster than exports (+94.3% vs. +24.3%), producing a 37.8% decline in the average trade balance despite 29.2% growth in strategic mineral exports. The trade-balance ratio—a normalised measure of bilateral position—fell by 51.2%.</w:t>
      </w:r>
    </w:p>
    <w:p>
      <w:pPr>
        <w:pStyle w:val="BodyText"/>
        <w:ind w:firstLine="720"/>
        <w:jc w:val="both"/>
      </w:pPr>
      <w:r>
        <w:t xml:space="preserve">The regression evidence is suggestive but fragile. The full-sample OLS model estimates a negative post-BRI × minerals interaction that is statistically significant, but this result is heavily dependent on 2023—the only year of bilateral deficit. Influence diagnostics show that 2023 has a Cook’s distance 23 times the conventional threshold. Excluding 2023 renders the interaction statistically insignificant and, in the parsimonious specification, reverses its sign. Severe multicollinearity in GDP controls (VIF &gt; 100) further complicates structural interpretation.</w:t>
      </w:r>
    </w:p>
    <w:p>
      <w:pPr>
        <w:pStyle w:val="BodyText"/>
        <w:ind w:firstLine="720"/>
        <w:jc w:val="both"/>
      </w:pPr>
      <w:r>
        <w:t xml:space="preserve">The thesis therefore refrains from claiming that it has identified a stable, robust structural deterioration in the mineral–trade balance relationship. Instead, it identifies a fragile and increasingly adverse pattern that is compatible with asymmetric interdependence theory. The strongest empirical contribution is the descriptive decomposition showing import-side deepening as the primary mechanism, the transparent reporting of influence diagnostics, and the identification of 2023 as a potential structural inflection point.</w:t>
      </w:r>
    </w:p>
    <w:bookmarkStart w:id="94" w:name="interpretation-discipline"/>
    <w:p>
      <w:pPr>
        <w:pStyle w:val="Heading2"/>
        <w:keepNext/>
      </w:pPr>
      <w:r>
        <w:t xml:space="preserve">8.1 Interpretation Discipline</w:t>
      </w:r>
    </w:p>
    <w:p>
      <w:pPr>
        <w:pStyle w:val="FirstParagraph"/>
        <w:ind w:firstLine="720"/>
        <w:jc w:val="both"/>
      </w:pPr>
      <w:r>
        <w:t xml:space="preserve">To ensure analytical precision, it is necessary to stipulate what this thesis can and cannot claim. This thesis can claim that Kazakhstan–China trade-balance patterns in the post-BRI period are consistent with import-side deepening and asymmetric interdependence, and that strategic mineral export growth did not reliably translate into sustained bilateral balance improvement. It cannot claim that BRI causally worsened Kazakhstan’s trade balance. The evidence is diagnostic, not causal. Establishing causality would require richer partner-level panel data, better HS-level energy and re-export data, and stronger counterfactual identification that isolates BRI from concurrent macroeconomic and geopolitical shocks.</w:t>
      </w:r>
    </w:p>
    <w:bookmarkEnd w:id="94"/>
    <w:bookmarkStart w:id="95" w:name="limitations-and-future-research"/>
    <w:p>
      <w:pPr>
        <w:pStyle w:val="Heading2"/>
        <w:keepNext/>
      </w:pPr>
      <w:r>
        <w:t xml:space="preserve">8.2 Limitations and Future Research</w:t>
      </w:r>
    </w:p>
    <w:p>
      <w:pPr>
        <w:pStyle w:val="FirstParagraph"/>
        <w:ind w:firstLine="720"/>
        <w:jc w:val="both"/>
      </w:pPr>
      <w:r>
        <w:t xml:space="preserve">This study is subject to several severe limitations that bound its inferential power. As a diagnostic case study, it relies on annual data (</w:t>
      </w:r>
      <w:r>
        <w:rPr>
          <w:i/>
          <w:iCs/>
        </w:rPr>
        <w:t xml:space="preserve">n</w:t>
      </w:r>
      <w:r>
        <w:t xml:space="preserve"> </w:t>
      </w:r>
      <w:r>
        <w:t xml:space="preserve">= 24), which restricts statistical degrees of freedom. The 2023 observation possesses extreme leverage and drives the interaction results. Furthermore, the 2022–2023 data likely capture sanctions-related trade diversion and parallel imports, presenting an alternative channel that weakens a narrow BRI-only interpretation. The narrow strategic mineral data contain a measurement break at 2014, and bilateral oil and energy export data are absent from the model, representing a major unquantified omitted variable bias. Consequently, the strongest finding remains the descriptive pattern rather than any single regression coefficient.</w:t>
      </w:r>
    </w:p>
    <w:p>
      <w:pPr>
        <w:pStyle w:val="BodyText"/>
        <w:ind w:firstLine="720"/>
        <w:jc w:val="both"/>
      </w:pPr>
      <w:r>
        <w:t xml:space="preserve">Future research should extend the analysis to quarterly data to increase the sample size, incorporate HS-level energy export controls, obtain consistent HS-6 mineral series for the full period, and apply synthetic control methods using a multi-partner donor pool. Ultimately, monitoring the post-2023 data will be essential to determine whether the bilateral deficit reflects a permanent structural shift or a transient sanctions-era disruption.</w:t>
      </w:r>
    </w:p>
    <w:p>
      <w:pPr>
        <w:pStyle w:val="BodyText"/>
        <w:ind w:firstLine="720"/>
        <w:jc w:val="both"/>
      </w:pPr>
      <w:r>
        <w:t xml:space="preserve">The finding that mineral export growth did not translate into trade-balance improvement is consistent with the broader resource-dependence literature: export success in raw materials does not automatically improve external balance when the trading partner’s diversified export capacity grows faster. For Kazakhstan and comparable corridor economies, this diagnostic evidence suggests that BRI participation should be evaluated not by aggregate trade volumes but by the composition and balance of bilateral exchange.</w:t>
      </w:r>
    </w:p>
    <w:bookmarkEnd w:id="95"/>
    <w:bookmarkEnd w:id="96"/>
    <w:bookmarkStart w:id="97" w:name="appendix-table-and-figure-concordance"/>
    <w:p>
      <w:pPr>
        <w:pStyle w:val="Heading1"/>
        <w:keepNext/>
      </w:pPr>
      <w:r>
        <w:t xml:space="preserve">9. Appendix: Table and Figure Concordance</w:t>
      </w:r>
    </w:p>
    <w:p>
      <w:pPr>
        <w:pStyle w:val="FirstParagraph"/>
        <w:ind w:firstLine="720"/>
        <w:jc w:val="both"/>
      </w:pPr>
      <w:r>
        <w:t xml:space="preserve">This appendix maps the figures and tables referenced in the text to their source files to ensure computational reproducibility.</w:t>
      </w:r>
    </w:p>
    <w:tbl>
      <w:tblPr>
        <w:tblStyle w:val="Table"/>
        <w:tblW w:type="pct" w:w="5000"/>
        <w:jc w:val="center"/>
        <w:tblLayout w:type="autofit"/>
        <w:tblLook w:firstRow="1" w:lastRow="0" w:firstColumn="0" w:lastColumn="0" w:noHBand="0" w:noVBand="0" w:val="0020"/>
      </w:tblPr>
      <w:tblGrid>
        <w:gridCol w:w="2217"/>
        <w:gridCol w:w="2059"/>
        <w:gridCol w:w="2217"/>
        <w:gridCol w:w="1425"/>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Table/Figure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Source File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Section Used</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Purpose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4.1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Author’s compilation; see</w:t>
            </w:r>
            <w:r>
              <w:rPr>
                <w:rFonts w:ascii="Times New Roman" w:hAnsi="Times New Roman" w:eastAsia="Times New Roman"/>
                <w:sz w:val="19"/>
              </w:rPr>
              <w:t xml:space="preserve"> </w:t>
            </w:r>
            <w:r>
              <w:rPr>
                <w:rStyle w:val="VerbatimChar"/>
                <w:rFonts w:ascii="Times New Roman" w:hAnsi="Times New Roman" w:eastAsia="Times New Roman"/>
                <w:sz w:val="19"/>
              </w:rPr>
              <w:t xml:space="preserve">Codebook.md</w:t>
            </w:r>
            <w:r>
              <w:rPr>
                <w:rFonts w:ascii="Times New Roman" w:hAnsi="Times New Roman" w:eastAsia="Times New Roman"/>
                <w:sz w:val="19"/>
              </w:rPr>
              <w:t xml:space="preserve"> </w:t>
            </w:r>
            <w:r>
              <w:rPr>
                <w:rFonts w:ascii="Times New Roman" w:hAnsi="Times New Roman" w:eastAsia="Times New Roman"/>
                <w:sz w:val="19"/>
              </w:rPr>
              <w:t xml:space="preserve">and</w:t>
            </w:r>
            <w:r>
              <w:rPr>
                <w:rFonts w:ascii="Times New Roman" w:hAnsi="Times New Roman" w:eastAsia="Times New Roman"/>
                <w:sz w:val="19"/>
              </w:rPr>
              <w:t xml:space="preserve"> </w:t>
            </w:r>
            <w:r>
              <w:rPr>
                <w:rStyle w:val="VerbatimChar"/>
                <w:rFonts w:ascii="Times New Roman" w:hAnsi="Times New Roman" w:eastAsia="Times New Roman"/>
                <w:sz w:val="19"/>
              </w:rPr>
              <w:t xml:space="preserve">Collected_Raw_Data/data_dictionary.md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Consolidated data sources and variable construction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4.2</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Outputs/generated_tables/summary_statistics.csv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Descriptive statistics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4.3</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Outputs/generated_tables/trade_decomposition.csv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Trade balance decomposition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4.4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N/A (Manual summary)</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Measurement break summary</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5.1</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Outputs/generated_tables/stationarity.csv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5.3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Integration order diagnostics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6.1</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Outputs/generated_tables/full_regression_table.csv</w:t>
            </w:r>
            <w:r>
              <w:rPr>
                <w:rFonts w:ascii="Times New Roman" w:hAnsi="Times New Roman" w:eastAsia="Times New Roman"/>
                <w:sz w:val="19"/>
              </w:rPr>
              <w:t xml:space="preserve"> </w:t>
            </w:r>
            <w:r>
              <w:rPr>
                <w:rFonts w:ascii="Times New Roman" w:hAnsi="Times New Roman" w:eastAsia="Times New Roman"/>
                <w:sz w:val="19"/>
              </w:rPr>
              <w:t xml:space="preserve">&amp;</w:t>
            </w:r>
            <w:r>
              <w:rPr>
                <w:rFonts w:ascii="Times New Roman" w:hAnsi="Times New Roman" w:eastAsia="Times New Roman"/>
                <w:sz w:val="19"/>
              </w:rPr>
              <w:t xml:space="preserve"> </w:t>
            </w:r>
            <w:r>
              <w:rPr>
                <w:rStyle w:val="VerbatimChar"/>
                <w:rFonts w:ascii="Times New Roman" w:hAnsi="Times New Roman" w:eastAsia="Times New Roman"/>
                <w:sz w:val="19"/>
              </w:rPr>
              <w:t xml:space="preserve">parsimonious_regression.csv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Baseline OLS results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Computed from OLS residuals via</w:t>
            </w:r>
            <w:r>
              <w:rPr>
                <w:rFonts w:ascii="Times New Roman" w:hAnsi="Times New Roman" w:eastAsia="Times New Roman"/>
                <w:sz w:val="19"/>
              </w:rPr>
              <w:t xml:space="preserve"> </w:t>
            </w:r>
            <w:r>
              <w:rPr>
                <w:rStyle w:val="VerbatimChar"/>
                <w:rFonts w:ascii="Times New Roman" w:hAnsi="Times New Roman" w:eastAsia="Times New Roman"/>
                <w:sz w:val="19"/>
              </w:rPr>
              <w:t xml:space="preserve">Scripts/30_full_diagnostics.py</w:t>
            </w:r>
            <w:r>
              <w:rPr>
                <w:rFonts w:ascii="Times New Roman" w:hAnsi="Times New Roman" w:eastAsia="Times New Roman"/>
                <w:sz w:val="19"/>
              </w:rPr>
              <w:t xml:space="preserve">; DW and Breusch–Pagan statistics reported inline</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Residual diagnostics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6.3a/b</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Outputs/generated_tables/collinearity_resolution.csv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VIF comparison across schemes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6.3c</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Outputs/generated_tables/gravity_ratio_main_results.csv</w:t>
            </w:r>
            <w:r>
              <w:rPr>
                <w:rFonts w:ascii="Times New Roman" w:hAnsi="Times New Roman" w:eastAsia="Times New Roman"/>
                <w:sz w:val="19"/>
              </w:rPr>
              <w:t xml:space="preserve">; full run via</w:t>
            </w:r>
            <w:r>
              <w:rPr>
                <w:rFonts w:ascii="Times New Roman" w:hAnsi="Times New Roman" w:eastAsia="Times New Roman"/>
                <w:sz w:val="19"/>
              </w:rPr>
              <w:t xml:space="preserve"> </w:t>
            </w:r>
            <w:r>
              <w:rPr>
                <w:rStyle w:val="VerbatimChar"/>
                <w:rFonts w:ascii="Times New Roman" w:hAnsi="Times New Roman" w:eastAsia="Times New Roman"/>
                <w:sz w:val="19"/>
              </w:rPr>
              <w:t xml:space="preserve">Scripts/35_collinearity_resolution.py</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Preferred gravity-ratio specification full results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6.4</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Outputs/generated_tables/influence_diagnostics.csv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Cook’s distance outliers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6.5</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Outputs/generated_tables/leave_one_out.csv</w:t>
            </w:r>
            <w:r>
              <w:rPr>
                <w:rFonts w:ascii="Times New Roman" w:hAnsi="Times New Roman" w:eastAsia="Times New Roman"/>
                <w:sz w:val="19"/>
              </w:rPr>
              <w:t xml:space="preserve"> </w:t>
            </w:r>
            <w:r>
              <w:rPr>
                <w:rFonts w:ascii="Times New Roman" w:hAnsi="Times New Roman" w:eastAsia="Times New Roman"/>
                <w:sz w:val="19"/>
              </w:rPr>
              <w:t xml:space="preserve">and model summaries</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Model stability excluding 2023</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6.6</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Outputs/generated_tables/robustness.csv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Robustness grid summary</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6.7</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Outputs/generated_tables/model_comparison_summary.csv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Illustrative energy-proxy sensitivity (not main evidence)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6.8</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Outputs/generated_tables/structural_breaks.csv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Chow placebo break-year tests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6.9</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Outputs/generated_tables/sanctions_channel.csv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Sanctions robustness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6.10</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Outputs/generated_tables/did_partner_placebo.csv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ITS + placebo break years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Table 6.11</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Outputs/generated_tables/synthetic_control.csv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6.16</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Synthetic control gap</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§6.12 data</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Outputs/oil_energy_exports_to_china.csv</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Bilateral oil/energy export null-result documentation</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1</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Outputs/generated_figures/fig_1_exports_imports.png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Exports vs imports over time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2</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Outputs/generated_figures/fig_2_trade_balance.png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Trade balance over time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3</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Outputs/generated_figures/fig_3_minerals.png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Strategic minerals over time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4</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Outputs/generated_figures/fig_4_scatter.png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Pre/post-BRI scatter plot</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5</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Outputs/generated_figures/fig_5_diagnostics.png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Influence and leave-one-out stability</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6</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Outputs/generated_figures/fig_6_pre_post.png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6.8</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Pre/post coefficient robustness</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6a</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Outputs/generated_figures/fig06_cusum_Model_A_dummy.png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CUSUM parameter stability — Model A</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6b</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Outputs/generated_figures/fig07_cusum_Model_B_intensity.png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CUSUMSQ variance stability — Model A</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DiD</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Outputs/generated_figures/fig_did_event_study.png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6.15</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ITS + placebo event study</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Figure SC</w:t>
            </w:r>
          </w:p>
        </w:tc>
        <w:tc>
          <w:tcPr>
            <w:vAlign w:val="center"/>
            <w:tcMar>
              <w:top w:w="90" w:type="dxa"/>
              <w:left w:w="90" w:type="dxa"/>
              <w:bottom w:w="90" w:type="dxa"/>
              <w:right w:w="90" w:type="dxa"/>
            </w:tcMar>
          </w:tcPr>
          <w:p>
            <w:pPr>
              <w:pStyle w:val="Compact"/>
              <w:spacing w:before="0" w:after="40" w:line="240" w:lineRule="auto"/>
              <w:jc w:val="center"/>
            </w:pPr>
            <w:r>
              <w:rPr>
                <w:rStyle w:val="VerbatimChar"/>
                <w:rFonts w:ascii="Times New Roman" w:hAnsi="Times New Roman" w:eastAsia="Times New Roman"/>
                <w:sz w:val="19"/>
              </w:rPr>
              <w:t xml:space="preserve">Outputs/generated_figures/fig_synthetic_control.png</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6.16</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Synthetic control gap plot</w:t>
            </w:r>
          </w:p>
        </w:tc>
      </w:tr>
    </w:tbl>
    <w:bookmarkEnd w:id="97"/>
    <w:bookmarkStart w:id="100" w:name="X2a4b41675f3f3c302420f86aae5c9ae3362ae7d"/>
    <w:p>
      <w:pPr>
        <w:pStyle w:val="Heading1"/>
        <w:keepNext/>
      </w:pPr>
      <w:r>
        <w:t xml:space="preserve">Appendix B: Pre-Revision Specification (Retained for Transparency)</w:t>
      </w:r>
    </w:p>
    <w:p>
      <w:pPr>
        <w:pStyle w:val="FirstParagraph"/>
        <w:ind w:firstLine="720"/>
        <w:jc w:val="both"/>
      </w:pPr>
      <w:r>
        <w:rPr>
          <w:i/>
          <w:iCs/>
        </w:rPr>
        <w:t xml:space="preserve">This appendix documents the pre-revision OLS specification that used log(KZ GDP) and log(CN GDP) as separate level regressors. It is retained per hard rule 4 (do not delete midterm specifications) and per the explicit midterm revision commitment in §5.2.</w:t>
      </w:r>
    </w:p>
    <w:bookmarkStart w:id="98" w:name="appendix-b.1-pre-revision-full-model-a1"/>
    <w:p>
      <w:pPr>
        <w:pStyle w:val="Heading2"/>
        <w:keepNext/>
      </w:pPr>
      <w:r>
        <w:t xml:space="preserve">Appendix B.1 Pre-Revision Full Model (A1)</w:t>
      </w:r>
    </w:p>
    <w:p>
      <w:pPr>
        <w:pStyle w:val="FirstParagraph"/>
        <w:ind w:firstLine="720"/>
        <w:jc w:val="both"/>
      </w:pPr>
      <w:r>
        <w:t xml:space="preserve">The full model with GDP levels produced severe multicollinearity (max VIF = 236.3) that inflated coefficient magnitudes and destabilised inference. This specification is</w:t>
      </w:r>
      <w:r>
        <w:t xml:space="preserve"> </w:t>
      </w:r>
      <w:r>
        <w:rPr>
          <w:b/>
          <w:bCs/>
        </w:rPr>
        <w:t xml:space="preserve">not used for substantive interpretation</w:t>
      </w:r>
      <w:r>
        <w:t xml:space="preserve"> </w:t>
      </w:r>
      <w:r>
        <w:t xml:space="preserve">in the final thesis. It is retained here so that the revision from midterm to final is transparent and reproducible.</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Pre-revision A1 Coef.</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9"/>
              </w:rPr>
              <w:t xml:space="preserve">p</w:t>
            </w:r>
            <w:r>
              <w:rPr>
                <w:rFonts w:ascii="Times New Roman" w:hAnsi="Times New Roman" w:eastAsia="Times New Roman"/>
                <w:b/>
                <w:sz w:val="19"/>
              </w:rPr>
              <w:t xml:space="preserve">-value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Constant</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197.624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53.040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0.002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Minerals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2.463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0.541</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0.000</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Brent (USD/bbl)</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0.047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0.039</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0.239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KZT/USD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0.016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0.198</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log(KZ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−13.230</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6.112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0.046</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log(CN GDP)</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4.529</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4.460</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0.325</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Post-BRI</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4.927</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1.847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0.017</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Minerals × Post-BRI</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−3.221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1.043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0.007</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N=24, R²=0.765, max VIF=236.3</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bl>
    <w:p>
      <w:pPr>
        <w:pStyle w:val="BodyText"/>
        <w:spacing w:line="240" w:lineRule="auto" w:after="80"/>
        <w:ind/>
        <w:jc w:val="left"/>
      </w:pPr>
      <w:r>
        <w:rPr>
          <w:i/>
          <w:iCs/>
          <w:sz w:val="20"/>
        </w:rPr>
        <w:t xml:space="preserve">Notes: The large constant (197.6), implausible GDP coefficient magnitudes, and max VIF &gt; 100 indicate that this specification’s coefficients absorb trending collinearity rather than identifying genuine partial effects. This specification is superseded by the gravity-ratio model (Scheme C) in the final version.</w:t>
      </w:r>
    </w:p>
    <w:bookmarkEnd w:id="98"/>
    <w:bookmarkStart w:id="99" w:name="Xfc43d264906fd36d64ff21af4fbc70df67b82f2"/>
    <w:p>
      <w:pPr>
        <w:pStyle w:val="Heading2"/>
        <w:keepNext/>
      </w:pPr>
      <w:r>
        <w:t xml:space="preserve">Appendix B.2 Pre-Revision Parsimonious Model (A2)</w:t>
      </w:r>
    </w:p>
    <w:p>
      <w:pPr>
        <w:pStyle w:val="FirstParagraph"/>
        <w:ind w:firstLine="720"/>
        <w:jc w:val="both"/>
      </w:pPr>
      <w:r>
        <w:t xml:space="preserve">The midterm parsimonious model excluded GDP controls, reducing VIF:</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rPr>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Variable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Pre-revision A2 Coef.</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sz w:val="19"/>
              </w:rPr>
              <w:t xml:space="preserve">HAC SE</w:t>
            </w:r>
          </w:p>
        </w:tc>
        <w:tc>
          <w:tcPr>
            <w:vAlign w:val="center"/>
            <w:tcMar>
              <w:top w:w="90" w:type="dxa"/>
              <w:left w:w="90" w:type="dxa"/>
              <w:bottom w:w="90" w:type="dxa"/>
              <w:right w:w="90" w:type="dxa"/>
            </w:tcMar>
            <w:shd w:fill="F2F2F2"/>
          </w:tcPr>
          <w:p>
            <w:pPr>
              <w:pStyle w:val="Compact"/>
              <w:spacing w:before="0" w:after="40" w:line="240" w:lineRule="auto"/>
              <w:jc w:val="center"/>
            </w:pPr>
            <w:r>
              <w:rPr>
                <w:rFonts w:ascii="Times New Roman" w:hAnsi="Times New Roman" w:eastAsia="Times New Roman"/>
                <w:b/>
                <w:i/>
                <w:iCs/>
                <w:sz w:val="19"/>
              </w:rPr>
              <w:t xml:space="preserve">p</w:t>
            </w:r>
            <w:r>
              <w:rPr>
                <w:rFonts w:ascii="Times New Roman" w:hAnsi="Times New Roman" w:eastAsia="Times New Roman"/>
                <w:b/>
                <w:sz w:val="19"/>
              </w:rPr>
              <w:t xml:space="preserve">-value</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Constant</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−3.326</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2.359</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0.176</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Minerals (USD bn)</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1.694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0.853</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0.062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Brent (USD/bbl)</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0.023</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0.037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0.542</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KZT/USD</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0.014</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0.012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0.270</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Post-BRI</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0.691</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sz w:val="19"/>
              </w:rPr>
              <w:t xml:space="preserve">1.492</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0.649</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Minerals × Post-BRI</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−2.382</w:t>
            </w:r>
          </w:p>
        </w:tc>
        <w:tc>
          <w:tcPr>
            <w:vAlign w:val="center"/>
            <w:tcMar>
              <w:top w:w="90" w:type="dxa"/>
              <w:left w:w="90" w:type="dxa"/>
              <w:bottom w:w="90" w:type="dxa"/>
              <w:right w:w="90" w:type="dxa"/>
            </w:tcMar>
          </w:tcPr>
          <w:p>
            <w:pPr>
              <w:pStyle w:val="Compact"/>
              <w:spacing w:before="0" w:after="40" w:line="240" w:lineRule="auto"/>
              <w:jc w:val="center"/>
            </w:pPr>
            <w:r>
              <w:rPr>
                <w:rFonts w:ascii="Times New Roman" w:hAnsi="Times New Roman" w:eastAsia="Times New Roman"/>
                <w:b/>
                <w:bCs/>
                <w:sz w:val="19"/>
              </w:rPr>
              <w:t xml:space="preserve">0.977</w:t>
            </w:r>
          </w:p>
        </w:tc>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b/>
                <w:bCs/>
                <w:sz w:val="19"/>
              </w:rPr>
              <w:t xml:space="preserve">0.025</w:t>
            </w:r>
          </w:p>
        </w:tc>
      </w:tr>
      <w:tr>
        <w:tc>
          <w:tcPr>
            <w:vAlign w:val="center"/>
            <w:tcMar>
              <w:top w:w="90" w:type="dxa"/>
              <w:left w:w="90" w:type="dxa"/>
              <w:bottom w:w="90" w:type="dxa"/>
              <w:right w:w="90" w:type="dxa"/>
            </w:tcMar>
          </w:tcPr>
          <w:p>
            <w:pPr>
              <w:pStyle w:val="Compact"/>
              <w:spacing w:before="0" w:after="40" w:line="240" w:lineRule="auto"/>
              <w:jc w:val="left"/>
            </w:pPr>
            <w:r>
              <w:rPr>
                <w:rFonts w:ascii="Times New Roman" w:hAnsi="Times New Roman" w:eastAsia="Times New Roman"/>
                <w:sz w:val="19"/>
              </w:rPr>
              <w:t xml:space="preserve">N=24, R²=0.703, max VIF=8.31</w:t>
            </w: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center"/>
            </w:pPr>
          </w:p>
        </w:tc>
        <w:tc>
          <w:tcPr>
            <w:vAlign w:val="center"/>
            <w:tcMar>
              <w:top w:w="90" w:type="dxa"/>
              <w:left w:w="90" w:type="dxa"/>
              <w:bottom w:w="90" w:type="dxa"/>
              <w:right w:w="90" w:type="dxa"/>
            </w:tcMar>
          </w:tcPr>
          <w:p>
            <w:pPr>
              <w:pStyle w:val="Compact"/>
              <w:spacing w:before="0" w:after="40" w:line="240" w:lineRule="auto"/>
              <w:jc w:val="left"/>
            </w:pPr>
          </w:p>
        </w:tc>
      </w:tr>
    </w:tbl>
    <w:p>
      <w:pPr>
        <w:pStyle w:val="BodyText"/>
        <w:spacing w:line="240" w:lineRule="auto" w:after="80"/>
        <w:ind/>
        <w:jc w:val="left"/>
      </w:pPr>
      <w:r>
        <w:rPr>
          <w:i/>
          <w:iCs/>
          <w:sz w:val="20"/>
        </w:rPr>
        <w:t xml:space="preserve">Notes: This specification achieved VIF &lt; 10 by excluding GDP controls entirely. The final preferred specification (gravity ratio, Scheme C) retains a GDP-related regressor for theoretical completeness while substantially reducing the severity of collinearity relative to Scheme A.</w:t>
      </w:r>
    </w:p>
    <w:bookmarkEnd w:id="99"/>
    <w:bookmarkEnd w:id="100"/>
    <w:bookmarkStart w:id="147" w:name="references"/>
    <w:p>
      <w:pPr>
        <w:pStyle w:val="Heading1"/>
        <w:keepNext/>
      </w:pPr>
      <w:r>
        <w:t xml:space="preserve">References</w:t>
      </w:r>
    </w:p>
    <w:bookmarkStart w:id="146" w:name="refs"/>
    <w:bookmarkStart w:id="101" w:name="ref-anderson_vanwincoop_2003"/>
    <w:p>
      <w:pPr>
        <w:pStyle w:val="Bibliography"/>
      </w:pPr>
      <w:r>
        <w:t xml:space="preserve">Anderson, James E., and Eric van Wincoop. 2003.</w:t>
      </w:r>
      <w:r>
        <w:t xml:space="preserve"> </w:t>
      </w:r>
      <w:r>
        <w:t xml:space="preserve">“Gravity with Gravitas: A Solution to the Border Puzzle.”</w:t>
      </w:r>
      <w:r>
        <w:t xml:space="preserve"> </w:t>
      </w:r>
      <w:r>
        <w:rPr>
          <w:i/>
          <w:iCs/>
        </w:rPr>
        <w:t xml:space="preserve">American Economic Review</w:t>
      </w:r>
      <w:r>
        <w:t xml:space="preserve"> </w:t>
      </w:r>
      <w:r>
        <w:t xml:space="preserve">93 (1): 170–92.</w:t>
      </w:r>
    </w:p>
    <w:bookmarkEnd w:id="101"/>
    <w:bookmarkStart w:id="102" w:name="ref-auty_1993"/>
    <w:p>
      <w:pPr>
        <w:pStyle w:val="Bibliography"/>
      </w:pPr>
      <w:r>
        <w:t xml:space="preserve">Auty, Richard M. 1993.</w:t>
      </w:r>
      <w:r>
        <w:t xml:space="preserve"> </w:t>
      </w:r>
      <w:r>
        <w:rPr>
          <w:i/>
          <w:iCs/>
        </w:rPr>
        <w:t xml:space="preserve">Sustaining Development in Mineral Economies: The Resource Curse Thesis</w:t>
      </w:r>
      <w:r>
        <w:t xml:space="preserve">. Routledge.</w:t>
      </w:r>
    </w:p>
    <w:bookmarkEnd w:id="102"/>
    <w:bookmarkStart w:id="103" w:name="ref-bai_perron_1998"/>
    <w:p>
      <w:pPr>
        <w:pStyle w:val="Bibliography"/>
      </w:pPr>
      <w:r>
        <w:t xml:space="preserve">Bai, Jushan, and Pierre Perron. 1998.</w:t>
      </w:r>
      <w:r>
        <w:t xml:space="preserve"> </w:t>
      </w:r>
      <w:r>
        <w:t xml:space="preserve">“Estimating and Testing Linear Models with Multiple Structural Changes.”</w:t>
      </w:r>
      <w:r>
        <w:t xml:space="preserve"> </w:t>
      </w:r>
      <w:r>
        <w:rPr>
          <w:i/>
          <w:iCs/>
        </w:rPr>
        <w:t xml:space="preserve">Econometrica</w:t>
      </w:r>
      <w:r>
        <w:t xml:space="preserve"> </w:t>
      </w:r>
      <w:r>
        <w:t xml:space="preserve">66 (1): 47–78.</w:t>
      </w:r>
    </w:p>
    <w:bookmarkEnd w:id="103"/>
    <w:bookmarkStart w:id="104" w:name="ref-bai_perron_2003"/>
    <w:p>
      <w:pPr>
        <w:pStyle w:val="Bibliography"/>
      </w:pPr>
      <w:r>
        <w:t xml:space="preserve">Bai, Jushan, and Pierre Perron. 2003.</w:t>
      </w:r>
      <w:r>
        <w:t xml:space="preserve"> </w:t>
      </w:r>
      <w:r>
        <w:t xml:space="preserve">“Computation and Analysis of Multiple Structural Change Models.”</w:t>
      </w:r>
      <w:r>
        <w:t xml:space="preserve"> </w:t>
      </w:r>
      <w:r>
        <w:rPr>
          <w:i/>
          <w:iCs/>
        </w:rPr>
        <w:t xml:space="preserve">Journal of Applied Econometrics</w:t>
      </w:r>
      <w:r>
        <w:t xml:space="preserve"> </w:t>
      </w:r>
      <w:r>
        <w:t xml:space="preserve">18 (1): 1–22.</w:t>
      </w:r>
    </w:p>
    <w:bookmarkEnd w:id="104"/>
    <w:bookmarkStart w:id="105" w:name="ref-baniya_rocha_ruta_2020"/>
    <w:p>
      <w:pPr>
        <w:pStyle w:val="Bibliography"/>
      </w:pPr>
      <w:r>
        <w:t xml:space="preserve">Baniya, Suprabha, Nadia Rocha, and Michele Ruta. 2020.</w:t>
      </w:r>
      <w:r>
        <w:t xml:space="preserve"> </w:t>
      </w:r>
      <w:r>
        <w:t xml:space="preserve">“Trade Effects of the New Silk Road: A Gravity Analysis.”</w:t>
      </w:r>
      <w:r>
        <w:t xml:space="preserve"> </w:t>
      </w:r>
      <w:r>
        <w:rPr>
          <w:i/>
          <w:iCs/>
        </w:rPr>
        <w:t xml:space="preserve">Journal of Development Economics</w:t>
      </w:r>
      <w:r>
        <w:t xml:space="preserve"> </w:t>
      </w:r>
      <w:r>
        <w:t xml:space="preserve">146: 102467.</w:t>
      </w:r>
    </w:p>
    <w:bookmarkEnd w:id="105"/>
    <w:bookmarkStart w:id="106" w:name="ref-belsley_kuh_welsch_1980"/>
    <w:p>
      <w:pPr>
        <w:pStyle w:val="Bibliography"/>
      </w:pPr>
      <w:r>
        <w:t xml:space="preserve">Belsley, David A., Edwin Kuh, and Roy E. Welsch. 1980.</w:t>
      </w:r>
      <w:r>
        <w:t xml:space="preserve"> </w:t>
      </w:r>
      <w:r>
        <w:rPr>
          <w:i/>
          <w:iCs/>
        </w:rPr>
        <w:t xml:space="preserve">Regression Diagnostics: Identifying Influential Data and Sources of Collinearity</w:t>
      </w:r>
      <w:r>
        <w:t xml:space="preserve">. John Wiley; Sons.</w:t>
      </w:r>
    </w:p>
    <w:bookmarkEnd w:id="106"/>
    <w:bookmarkStart w:id="107" w:name="ref-bhagwati_1958"/>
    <w:p>
      <w:pPr>
        <w:pStyle w:val="Bibliography"/>
      </w:pPr>
      <w:r>
        <w:t xml:space="preserve">Bhagwati, Jagdish. 1958.</w:t>
      </w:r>
      <w:r>
        <w:t xml:space="preserve"> </w:t>
      </w:r>
      <w:r>
        <w:t xml:space="preserve">“Immiserizing Growth: A Geometrical Note.”</w:t>
      </w:r>
      <w:r>
        <w:t xml:space="preserve"> </w:t>
      </w:r>
      <w:r>
        <w:rPr>
          <w:i/>
          <w:iCs/>
        </w:rPr>
        <w:t xml:space="preserve">Review of Economic Studies</w:t>
      </w:r>
      <w:r>
        <w:t xml:space="preserve"> </w:t>
      </w:r>
      <w:r>
        <w:t xml:space="preserve">25 (3): 201–5.</w:t>
      </w:r>
    </w:p>
    <w:bookmarkEnd w:id="107"/>
    <w:bookmarkStart w:id="108" w:name="ref-bird_lebrand_venables_2020"/>
    <w:p>
      <w:pPr>
        <w:pStyle w:val="Bibliography"/>
      </w:pPr>
      <w:r>
        <w:t xml:space="preserve">Bird, Julia, Mathilde Lebrand, and Anthony J. Venables. 2020.</w:t>
      </w:r>
      <w:r>
        <w:t xml:space="preserve"> </w:t>
      </w:r>
      <w:r>
        <w:t xml:space="preserve">“The Belt and Road Initiative: Reshaping Economic Geography in Central Asia?”</w:t>
      </w:r>
      <w:r>
        <w:t xml:space="preserve"> </w:t>
      </w:r>
      <w:r>
        <w:rPr>
          <w:i/>
          <w:iCs/>
        </w:rPr>
        <w:t xml:space="preserve">Journal of Development Economics</w:t>
      </w:r>
      <w:r>
        <w:t xml:space="preserve"> </w:t>
      </w:r>
      <w:r>
        <w:t xml:space="preserve">144: 102441.</w:t>
      </w:r>
    </w:p>
    <w:bookmarkEnd w:id="108"/>
    <w:bookmarkStart w:id="109" w:name="ref-brautigam_2020"/>
    <w:p>
      <w:pPr>
        <w:pStyle w:val="Bibliography"/>
      </w:pPr>
      <w:r>
        <w:t xml:space="preserve">Bräutigam, Deborah. 2020.</w:t>
      </w:r>
      <w:r>
        <w:t xml:space="preserve"> </w:t>
      </w:r>
      <w:r>
        <w:t xml:space="preserve">“A Critical Look at</w:t>
      </w:r>
      <w:r>
        <w:t xml:space="preserve"> </w:t>
      </w:r>
      <w:r>
        <w:t xml:space="preserve">C</w:t>
      </w:r>
      <w:r>
        <w:t xml:space="preserve">hinese</w:t>
      </w:r>
      <w:r>
        <w:t xml:space="preserve"> </w:t>
      </w:r>
      <w:r>
        <w:t xml:space="preserve">‘Debt-Trap Diplomacy’</w:t>
      </w:r>
      <w:r>
        <w:t xml:space="preserve">: The Rise of a Meme.”</w:t>
      </w:r>
      <w:r>
        <w:t xml:space="preserve"> </w:t>
      </w:r>
      <w:r>
        <w:rPr>
          <w:i/>
          <w:iCs/>
        </w:rPr>
        <w:t xml:space="preserve">Area Development and Policy</w:t>
      </w:r>
      <w:r>
        <w:t xml:space="preserve"> </w:t>
      </w:r>
      <w:r>
        <w:t xml:space="preserve">5 (1): 1–14.</w:t>
      </w:r>
    </w:p>
    <w:bookmarkEnd w:id="109"/>
    <w:bookmarkStart w:id="110" w:name="ref-calabrese_2024"/>
    <w:p>
      <w:pPr>
        <w:pStyle w:val="Bibliography"/>
      </w:pPr>
      <w:r>
        <w:t xml:space="preserve">Calabrese, Linda. 2024.</w:t>
      </w:r>
      <w:r>
        <w:t xml:space="preserve"> </w:t>
      </w:r>
      <w:r>
        <w:t xml:space="preserve">“Can Chinese Capital Support Diversification Away from Extractives? Evidence from the Kyrgyz Republic.”</w:t>
      </w:r>
      <w:r>
        <w:t xml:space="preserve"> </w:t>
      </w:r>
      <w:r>
        <w:rPr>
          <w:i/>
          <w:iCs/>
        </w:rPr>
        <w:t xml:space="preserve">World Development</w:t>
      </w:r>
      <w:r>
        <w:t xml:space="preserve"> </w:t>
      </w:r>
      <w:r>
        <w:t xml:space="preserve">174: 106453.</w:t>
      </w:r>
    </w:p>
    <w:bookmarkEnd w:id="110"/>
    <w:bookmarkStart w:id="111" w:name="ref-chow_1960"/>
    <w:p>
      <w:pPr>
        <w:pStyle w:val="Bibliography"/>
      </w:pPr>
      <w:r>
        <w:t xml:space="preserve">Chow, Gregory C. 1960.</w:t>
      </w:r>
      <w:r>
        <w:t xml:space="preserve"> </w:t>
      </w:r>
      <w:r>
        <w:t xml:space="preserve">“Tests of Equality Between Sets of Coefficients in Two Linear Regressions.”</w:t>
      </w:r>
      <w:r>
        <w:t xml:space="preserve"> </w:t>
      </w:r>
      <w:r>
        <w:rPr>
          <w:i/>
          <w:iCs/>
        </w:rPr>
        <w:t xml:space="preserve">Econometrica</w:t>
      </w:r>
      <w:r>
        <w:t xml:space="preserve"> </w:t>
      </w:r>
      <w:r>
        <w:t xml:space="preserve">28 (3): 591–605.</w:t>
      </w:r>
    </w:p>
    <w:bookmarkEnd w:id="111"/>
    <w:bookmarkStart w:id="112" w:name="ref-cook_1977"/>
    <w:p>
      <w:pPr>
        <w:pStyle w:val="Bibliography"/>
      </w:pPr>
      <w:r>
        <w:t xml:space="preserve">Cook, R. Dennis. 1977.</w:t>
      </w:r>
      <w:r>
        <w:t xml:space="preserve"> </w:t>
      </w:r>
      <w:r>
        <w:t xml:space="preserve">“Detection of Influential Observations in Linear Regression.”</w:t>
      </w:r>
      <w:r>
        <w:t xml:space="preserve"> </w:t>
      </w:r>
      <w:r>
        <w:rPr>
          <w:i/>
          <w:iCs/>
        </w:rPr>
        <w:t xml:space="preserve">Technometrics</w:t>
      </w:r>
      <w:r>
        <w:t xml:space="preserve"> </w:t>
      </w:r>
      <w:r>
        <w:t xml:space="preserve">19 (1): 15–18.</w:t>
      </w:r>
    </w:p>
    <w:bookmarkEnd w:id="112"/>
    <w:bookmarkStart w:id="113" w:name="ref-cooley_2012"/>
    <w:p>
      <w:pPr>
        <w:pStyle w:val="Bibliography"/>
      </w:pPr>
      <w:r>
        <w:t xml:space="preserve">Cooley, Alexander. 2012.</w:t>
      </w:r>
      <w:r>
        <w:t xml:space="preserve"> </w:t>
      </w:r>
      <w:r>
        <w:rPr>
          <w:i/>
          <w:iCs/>
        </w:rPr>
        <w:t xml:space="preserve">Great Games, Local Rules: The New Great Power Contest in Central Asia</w:t>
      </w:r>
      <w:r>
        <w:t xml:space="preserve">. Oxford University Press.</w:t>
      </w:r>
    </w:p>
    <w:bookmarkEnd w:id="113"/>
    <w:bookmarkStart w:id="114" w:name="ref-corden_neary_1982"/>
    <w:p>
      <w:pPr>
        <w:pStyle w:val="Bibliography"/>
      </w:pPr>
      <w:r>
        <w:t xml:space="preserve">Corden, W. Max, and J. Peter Neary. 1982.</w:t>
      </w:r>
      <w:r>
        <w:t xml:space="preserve"> </w:t>
      </w:r>
      <w:r>
        <w:t xml:space="preserve">“Booming Sector and de-Industrialisation in a Small Open Economy.”</w:t>
      </w:r>
      <w:r>
        <w:t xml:space="preserve"> </w:t>
      </w:r>
      <w:r>
        <w:rPr>
          <w:i/>
          <w:iCs/>
        </w:rPr>
        <w:t xml:space="preserve">Economic Journal</w:t>
      </w:r>
      <w:r>
        <w:t xml:space="preserve"> </w:t>
      </w:r>
      <w:r>
        <w:t xml:space="preserve">92 (368): 825–48.</w:t>
      </w:r>
    </w:p>
    <w:bookmarkEnd w:id="114"/>
    <w:bookmarkStart w:id="115" w:name="ref-primiano_kudebayeva_2025"/>
    <w:p>
      <w:pPr>
        <w:pStyle w:val="Bibliography"/>
      </w:pPr>
      <w:r>
        <w:t xml:space="preserve">Di Primiano, Raffaele, and Alina Kudebayeva. 2025.</w:t>
      </w:r>
      <w:r>
        <w:t xml:space="preserve"> </w:t>
      </w:r>
      <w:r>
        <w:t xml:space="preserve">“Public Reception of BRI in Kazakhstan: Evidence from Survey Data.”</w:t>
      </w:r>
      <w:r>
        <w:t xml:space="preserve"> </w:t>
      </w:r>
      <w:r>
        <w:rPr>
          <w:i/>
          <w:iCs/>
        </w:rPr>
        <w:t xml:space="preserve">Central Asian Survey</w:t>
      </w:r>
      <w:r>
        <w:t xml:space="preserve"> </w:t>
      </w:r>
      <w:r>
        <w:t xml:space="preserve">44 (1): 1–22.</w:t>
      </w:r>
    </w:p>
    <w:bookmarkEnd w:id="115"/>
    <w:bookmarkStart w:id="116" w:name="ref-frank_1966"/>
    <w:p>
      <w:pPr>
        <w:pStyle w:val="Bibliography"/>
      </w:pPr>
      <w:r>
        <w:t xml:space="preserve">Frank, Andre Gunder. 1966.</w:t>
      </w:r>
      <w:r>
        <w:t xml:space="preserve"> </w:t>
      </w:r>
      <w:r>
        <w:t xml:space="preserve">“The Development of Underdevelopment.”</w:t>
      </w:r>
      <w:r>
        <w:t xml:space="preserve"> </w:t>
      </w:r>
      <w:r>
        <w:rPr>
          <w:i/>
          <w:iCs/>
        </w:rPr>
        <w:t xml:space="preserve">Monthly Review</w:t>
      </w:r>
      <w:r>
        <w:t xml:space="preserve"> </w:t>
      </w:r>
      <w:r>
        <w:t xml:space="preserve">18 (4): 17–31.</w:t>
      </w:r>
    </w:p>
    <w:bookmarkEnd w:id="116"/>
    <w:bookmarkStart w:id="117" w:name="ref-frankel_2010"/>
    <w:p>
      <w:pPr>
        <w:pStyle w:val="Bibliography"/>
      </w:pPr>
      <w:r>
        <w:t xml:space="preserve">Frankel, Jeffrey A. 2010.</w:t>
      </w:r>
      <w:r>
        <w:t xml:space="preserve"> </w:t>
      </w:r>
      <w:r>
        <w:t xml:space="preserve">“The Natural Resource Curse: A Survey.”</w:t>
      </w:r>
      <w:r>
        <w:t xml:space="preserve"> </w:t>
      </w:r>
      <w:r>
        <w:rPr>
          <w:i/>
          <w:iCs/>
        </w:rPr>
        <w:t xml:space="preserve">NBER Working Paper</w:t>
      </w:r>
      <w:r>
        <w:t xml:space="preserve">, no. 15836.</w:t>
      </w:r>
    </w:p>
    <w:bookmarkEnd w:id="117"/>
    <w:bookmarkStart w:id="118" w:name="ref-gereffi_humphrey_sturgeon_2005"/>
    <w:p>
      <w:pPr>
        <w:pStyle w:val="Bibliography"/>
      </w:pPr>
      <w:r>
        <w:t xml:space="preserve">Gereffi, Gary, John Humphrey, and Timothy Sturgeon. 2005.</w:t>
      </w:r>
      <w:r>
        <w:t xml:space="preserve"> </w:t>
      </w:r>
      <w:r>
        <w:t xml:space="preserve">“The Governance of Global Value Chains.”</w:t>
      </w:r>
      <w:r>
        <w:t xml:space="preserve"> </w:t>
      </w:r>
      <w:r>
        <w:rPr>
          <w:i/>
          <w:iCs/>
        </w:rPr>
        <w:t xml:space="preserve">Review of International Political Economy</w:t>
      </w:r>
      <w:r>
        <w:t xml:space="preserve"> </w:t>
      </w:r>
      <w:r>
        <w:t xml:space="preserve">12 (1): 78–104.</w:t>
      </w:r>
    </w:p>
    <w:bookmarkEnd w:id="118"/>
    <w:bookmarkStart w:id="119" w:name="ref-harvey_etal_2010"/>
    <w:p>
      <w:pPr>
        <w:pStyle w:val="Bibliography"/>
      </w:pPr>
      <w:r>
        <w:t xml:space="preserve">Harvey, David I., Neil M. Kellard, Jakob B. Madsen, and Mark E. Wohar. 2010.</w:t>
      </w:r>
      <w:r>
        <w:t xml:space="preserve"> </w:t>
      </w:r>
      <w:r>
        <w:t xml:space="preserve">“The Prebisch-Singer Hypothesis: Four Centuries of Evidence.”</w:t>
      </w:r>
      <w:r>
        <w:t xml:space="preserve"> </w:t>
      </w:r>
      <w:r>
        <w:rPr>
          <w:i/>
          <w:iCs/>
        </w:rPr>
        <w:t xml:space="preserve">Review of Economics and Statistics</w:t>
      </w:r>
      <w:r>
        <w:t xml:space="preserve"> </w:t>
      </w:r>
      <w:r>
        <w:t xml:space="preserve">92 (2): 367–77.</w:t>
      </w:r>
    </w:p>
    <w:bookmarkEnd w:id="119"/>
    <w:bookmarkStart w:id="120" w:name="ref-heckscher_1919"/>
    <w:p>
      <w:pPr>
        <w:pStyle w:val="Bibliography"/>
      </w:pPr>
      <w:r>
        <w:t xml:space="preserve">Heckscher, Eli F. 1919.</w:t>
      </w:r>
      <w:r>
        <w:t xml:space="preserve"> </w:t>
      </w:r>
      <w:r>
        <w:t xml:space="preserve">“The Effect of Foreign Trade on the Distribution of Income.”</w:t>
      </w:r>
      <w:r>
        <w:t xml:space="preserve"> </w:t>
      </w:r>
      <w:r>
        <w:rPr>
          <w:i/>
          <w:iCs/>
        </w:rPr>
        <w:t xml:space="preserve">Ekonomisk Tidskrift</w:t>
      </w:r>
      <w:r>
        <w:t xml:space="preserve"> </w:t>
      </w:r>
      <w:r>
        <w:t xml:space="preserve">21: 497–512.</w:t>
      </w:r>
    </w:p>
    <w:bookmarkEnd w:id="120"/>
    <w:bookmarkStart w:id="121" w:name="ref-helpman_krugman_1985"/>
    <w:p>
      <w:pPr>
        <w:pStyle w:val="Bibliography"/>
      </w:pPr>
      <w:r>
        <w:t xml:space="preserve">Helpman, Elhanan, and Paul R. Krugman. 1985.</w:t>
      </w:r>
      <w:r>
        <w:t xml:space="preserve"> </w:t>
      </w:r>
      <w:r>
        <w:rPr>
          <w:i/>
          <w:iCs/>
        </w:rPr>
        <w:t xml:space="preserve">Market Structure and Foreign Trade: Increasing Returns, Imperfect Competition, and the International Economy</w:t>
      </w:r>
      <w:r>
        <w:t xml:space="preserve">. MIT Press.</w:t>
      </w:r>
    </w:p>
    <w:bookmarkEnd w:id="121"/>
    <w:bookmarkStart w:id="122" w:name="ref-hirschman_1945"/>
    <w:p>
      <w:pPr>
        <w:pStyle w:val="Bibliography"/>
      </w:pPr>
      <w:r>
        <w:t xml:space="preserve">Hirschman, Albert O. 1945.</w:t>
      </w:r>
      <w:r>
        <w:t xml:space="preserve"> </w:t>
      </w:r>
      <w:r>
        <w:rPr>
          <w:i/>
          <w:iCs/>
        </w:rPr>
        <w:t xml:space="preserve">National Power and the Structure of Foreign Trade</w:t>
      </w:r>
      <w:r>
        <w:t xml:space="preserve">. University of California Press.</w:t>
      </w:r>
    </w:p>
    <w:bookmarkEnd w:id="122"/>
    <w:bookmarkStart w:id="123" w:name="ref-horn_reinhart_trebesch_2021"/>
    <w:p>
      <w:pPr>
        <w:pStyle w:val="Bibliography"/>
      </w:pPr>
      <w:r>
        <w:t xml:space="preserve">Horn, Sebastian, Carmen M. Reinhart, and Christoph Trebesch. 2021.</w:t>
      </w:r>
      <w:r>
        <w:t xml:space="preserve"> </w:t>
      </w:r>
      <w:r>
        <w:t xml:space="preserve">“China’s Overseas Lending.”</w:t>
      </w:r>
      <w:r>
        <w:t xml:space="preserve"> </w:t>
      </w:r>
      <w:r>
        <w:rPr>
          <w:i/>
          <w:iCs/>
        </w:rPr>
        <w:t xml:space="preserve">Journal of International Economics</w:t>
      </w:r>
      <w:r>
        <w:t xml:space="preserve"> </w:t>
      </w:r>
      <w:r>
        <w:t xml:space="preserve">133: 103539.</w:t>
      </w:r>
    </w:p>
    <w:bookmarkEnd w:id="123"/>
    <w:bookmarkStart w:id="124" w:name="ref-hurley_morris_portelance_2018"/>
    <w:p>
      <w:pPr>
        <w:pStyle w:val="Bibliography"/>
      </w:pPr>
      <w:r>
        <w:t xml:space="preserve">Hurley, John, Scott Morris, and Gailyn Portelance. 2018.</w:t>
      </w:r>
      <w:r>
        <w:t xml:space="preserve"> </w:t>
      </w:r>
      <w:r>
        <w:rPr>
          <w:i/>
          <w:iCs/>
        </w:rPr>
        <w:t xml:space="preserve">Examining the Debt Implications of the Belt and Road Initiative from a Policy Perspective</w:t>
      </w:r>
      <w:r>
        <w:t xml:space="preserve">. Policy Paper No. 121. Center for Global Development.</w:t>
      </w:r>
    </w:p>
    <w:bookmarkEnd w:id="124"/>
    <w:bookmarkStart w:id="125" w:name="ref-jepson_2024"/>
    <w:p>
      <w:pPr>
        <w:pStyle w:val="Bibliography"/>
      </w:pPr>
      <w:r>
        <w:t xml:space="preserve">Jepson, Nicholas, and Pete Sweeney. 2024.</w:t>
      </w:r>
      <w:r>
        <w:t xml:space="preserve"> </w:t>
      </w:r>
      <w:r>
        <w:t xml:space="preserve">“Can Chinese State Capital Support Resource-Based Structural Transformation? Evidence from Kazakhstan and Bolivia.”</w:t>
      </w:r>
      <w:r>
        <w:t xml:space="preserve"> </w:t>
      </w:r>
      <w:r>
        <w:rPr>
          <w:i/>
          <w:iCs/>
        </w:rPr>
        <w:t xml:space="preserve">New Political Economy</w:t>
      </w:r>
      <w:r>
        <w:t xml:space="preserve"> </w:t>
      </w:r>
      <w:r>
        <w:t xml:space="preserve">29 (3): 457–75.</w:t>
      </w:r>
    </w:p>
    <w:bookmarkEnd w:id="125"/>
    <w:bookmarkStart w:id="126" w:name="ref-keohane_nye_1977"/>
    <w:p>
      <w:pPr>
        <w:pStyle w:val="Bibliography"/>
      </w:pPr>
      <w:r>
        <w:t xml:space="preserve">Keohane, Robert O., and Joseph S. Nye. 1977.</w:t>
      </w:r>
      <w:r>
        <w:t xml:space="preserve"> </w:t>
      </w:r>
      <w:r>
        <w:rPr>
          <w:i/>
          <w:iCs/>
        </w:rPr>
        <w:t xml:space="preserve">Power and Interdependence: World Politics in Transition</w:t>
      </w:r>
      <w:r>
        <w:t xml:space="preserve">. Little, Brown.</w:t>
      </w:r>
    </w:p>
    <w:bookmarkEnd w:id="126"/>
    <w:bookmarkStart w:id="127" w:name="ref-krugman_1979"/>
    <w:p>
      <w:pPr>
        <w:pStyle w:val="Bibliography"/>
      </w:pPr>
      <w:r>
        <w:t xml:space="preserve">Krugman, Paul. 1979.</w:t>
      </w:r>
      <w:r>
        <w:t xml:space="preserve"> </w:t>
      </w:r>
      <w:r>
        <w:t xml:space="preserve">“Increasing Returns, Monopolistic Competition, and International Trade.”</w:t>
      </w:r>
      <w:r>
        <w:t xml:space="preserve"> </w:t>
      </w:r>
      <w:r>
        <w:rPr>
          <w:i/>
          <w:iCs/>
        </w:rPr>
        <w:t xml:space="preserve">Journal of International Economics</w:t>
      </w:r>
      <w:r>
        <w:t xml:space="preserve"> </w:t>
      </w:r>
      <w:r>
        <w:t xml:space="preserve">9 (4): 469–79.</w:t>
      </w:r>
    </w:p>
    <w:bookmarkEnd w:id="127"/>
    <w:bookmarkStart w:id="128" w:name="ref-laruelle_2018"/>
    <w:p>
      <w:pPr>
        <w:pStyle w:val="Bibliography"/>
      </w:pPr>
      <w:r>
        <w:t xml:space="preserve">Laruelle, Marlène. 2018.</w:t>
      </w:r>
      <w:r>
        <w:t xml:space="preserve"> </w:t>
      </w:r>
      <w:r>
        <w:rPr>
          <w:i/>
          <w:iCs/>
        </w:rPr>
        <w:t xml:space="preserve">China’s Belt and Road Initiative and Its Impact in Central Asia</w:t>
      </w:r>
      <w:r>
        <w:t xml:space="preserve">. George Washington University, Central Asia Program.</w:t>
      </w:r>
    </w:p>
    <w:bookmarkEnd w:id="128"/>
    <w:bookmarkStart w:id="129" w:name="ref-laruelle_peyrouse_2012"/>
    <w:p>
      <w:pPr>
        <w:pStyle w:val="Bibliography"/>
      </w:pPr>
      <w:r>
        <w:t xml:space="preserve">Laruelle, Marlène, and Sébastien Peyrouse. 2012.</w:t>
      </w:r>
      <w:r>
        <w:t xml:space="preserve"> </w:t>
      </w:r>
      <w:r>
        <w:rPr>
          <w:i/>
          <w:iCs/>
        </w:rPr>
        <w:t xml:space="preserve">The Chinese Question in Central Asia: Domestic Order, Social Change and the Chinese Factor</w:t>
      </w:r>
      <w:r>
        <w:t xml:space="preserve">. C. Hurst &amp; Co.</w:t>
      </w:r>
    </w:p>
    <w:bookmarkEnd w:id="129"/>
    <w:bookmarkStart w:id="130" w:name="ref-mostowlansky_2020"/>
    <w:p>
      <w:pPr>
        <w:pStyle w:val="Bibliography"/>
      </w:pPr>
      <w:r>
        <w:t xml:space="preserve">Mostowlansky, Till. 2020.</w:t>
      </w:r>
      <w:r>
        <w:t xml:space="preserve"> </w:t>
      </w:r>
      <w:r>
        <w:t xml:space="preserve">“Soft Power, Suspicion, and Security at the Sino-Kazakh Border.”</w:t>
      </w:r>
      <w:r>
        <w:t xml:space="preserve"> </w:t>
      </w:r>
      <w:r>
        <w:t xml:space="preserve">In</w:t>
      </w:r>
      <w:r>
        <w:t xml:space="preserve"> </w:t>
      </w:r>
      <w:r>
        <w:rPr>
          <w:i/>
          <w:iCs/>
        </w:rPr>
        <w:t xml:space="preserve">Routledge Handbook of Asian Borderlands</w:t>
      </w:r>
      <w:r>
        <w:t xml:space="preserve">. Routledge.</w:t>
      </w:r>
    </w:p>
    <w:bookmarkEnd w:id="130"/>
    <w:bookmarkStart w:id="131"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p>
    <w:bookmarkEnd w:id="131"/>
    <w:bookmarkStart w:id="132" w:name="ref-ohlin_1933"/>
    <w:p>
      <w:pPr>
        <w:pStyle w:val="Bibliography"/>
      </w:pPr>
      <w:r>
        <w:t xml:space="preserve">Ohlin, Bertil. 1933.</w:t>
      </w:r>
      <w:r>
        <w:t xml:space="preserve"> </w:t>
      </w:r>
      <w:r>
        <w:rPr>
          <w:i/>
          <w:iCs/>
        </w:rPr>
        <w:t xml:space="preserve">Interregional and International Trade</w:t>
      </w:r>
      <w:r>
        <w:t xml:space="preserve">. Harvard University Press.</w:t>
      </w:r>
    </w:p>
    <w:bookmarkEnd w:id="132"/>
    <w:bookmarkStart w:id="133" w:name="ref-olcott_2002"/>
    <w:p>
      <w:pPr>
        <w:pStyle w:val="Bibliography"/>
      </w:pPr>
      <w:r>
        <w:t xml:space="preserve">Olcott, Martha Brill. 2002.</w:t>
      </w:r>
      <w:r>
        <w:t xml:space="preserve"> </w:t>
      </w:r>
      <w:r>
        <w:rPr>
          <w:i/>
          <w:iCs/>
        </w:rPr>
        <w:t xml:space="preserve">Kazakhstan: Unfulfilled Promise</w:t>
      </w:r>
      <w:r>
        <w:t xml:space="preserve">. Carnegie Endowment for International Peace.</w:t>
      </w:r>
    </w:p>
    <w:bookmarkEnd w:id="133"/>
    <w:bookmarkStart w:id="134" w:name="ref-pesaran_shin_smith_2001"/>
    <w:p>
      <w:pPr>
        <w:pStyle w:val="Bibliography"/>
      </w:pPr>
      <w:r>
        <w:t xml:space="preserve">Pesaran, M. Hashem, Yongcheol Shin, and Richard J. Smith. 2001.</w:t>
      </w:r>
      <w:r>
        <w:t xml:space="preserve"> </w:t>
      </w:r>
      <w:r>
        <w:t xml:space="preserve">“Bounds Testing Approaches to the Analysis of Level Relationships.”</w:t>
      </w:r>
      <w:r>
        <w:t xml:space="preserve"> </w:t>
      </w:r>
      <w:r>
        <w:rPr>
          <w:i/>
          <w:iCs/>
        </w:rPr>
        <w:t xml:space="preserve">Journal of Applied Econometrics</w:t>
      </w:r>
      <w:r>
        <w:t xml:space="preserve"> </w:t>
      </w:r>
      <w:r>
        <w:t xml:space="preserve">16 (3): 289–326.</w:t>
      </w:r>
    </w:p>
    <w:bookmarkEnd w:id="134"/>
    <w:bookmarkStart w:id="135" w:name="ref-petry_2023"/>
    <w:p>
      <w:pPr>
        <w:pStyle w:val="Bibliography"/>
      </w:pPr>
      <w:r>
        <w:t xml:space="preserve">Petry, Johannes. 2023.</w:t>
      </w:r>
      <w:r>
        <w:t xml:space="preserve"> </w:t>
      </w:r>
      <w:r>
        <w:rPr>
          <w:i/>
          <w:iCs/>
        </w:rPr>
        <w:t xml:space="preserve">Beyond Wall Street: The Rise of China’s Financial Infrastructures</w:t>
      </w:r>
      <w:r>
        <w:t xml:space="preserve">. Oxford University Press.</w:t>
      </w:r>
    </w:p>
    <w:bookmarkEnd w:id="135"/>
    <w:bookmarkStart w:id="136" w:name="ref-vanderploeg_2011"/>
    <w:p>
      <w:pPr>
        <w:pStyle w:val="Bibliography"/>
      </w:pPr>
      <w:r>
        <w:t xml:space="preserve">Ploeg, Frederick van der. 2011.</w:t>
      </w:r>
      <w:r>
        <w:t xml:space="preserve"> </w:t>
      </w:r>
      <w:r>
        <w:t xml:space="preserve">“Natural Resources: Curse or Blessing?”</w:t>
      </w:r>
      <w:r>
        <w:t xml:space="preserve"> </w:t>
      </w:r>
      <w:r>
        <w:rPr>
          <w:i/>
          <w:iCs/>
        </w:rPr>
        <w:t xml:space="preserve">Journal of Economic Literature</w:t>
      </w:r>
      <w:r>
        <w:t xml:space="preserve"> </w:t>
      </w:r>
      <w:r>
        <w:t xml:space="preserve">49 (2): 366–420.</w:t>
      </w:r>
    </w:p>
    <w:bookmarkEnd w:id="136"/>
    <w:bookmarkStart w:id="137" w:name="ref-pomfret_2019"/>
    <w:p>
      <w:pPr>
        <w:pStyle w:val="Bibliography"/>
      </w:pPr>
      <w:r>
        <w:t xml:space="preserve">Pomfret, Richard. 2019.</w:t>
      </w:r>
      <w:r>
        <w:t xml:space="preserve"> </w:t>
      </w:r>
      <w:r>
        <w:rPr>
          <w:i/>
          <w:iCs/>
        </w:rPr>
        <w:t xml:space="preserve">The Central Asian Economies in the Twenty-First Century: Paving a New Silk Road</w:t>
      </w:r>
      <w:r>
        <w:t xml:space="preserve">. Princeton University Press.</w:t>
      </w:r>
    </w:p>
    <w:bookmarkEnd w:id="137"/>
    <w:bookmarkStart w:id="138" w:name="ref-prebisch_1950"/>
    <w:p>
      <w:pPr>
        <w:pStyle w:val="Bibliography"/>
      </w:pPr>
      <w:r>
        <w:t xml:space="preserve">Prebisch, Raúl. 1950.</w:t>
      </w:r>
      <w:r>
        <w:t xml:space="preserve"> </w:t>
      </w:r>
      <w:r>
        <w:t xml:space="preserve">“The Economic Development of Latin America and Its Principal Problems.”</w:t>
      </w:r>
      <w:r>
        <w:t xml:space="preserve"> </w:t>
      </w:r>
      <w:r>
        <w:rPr>
          <w:i/>
          <w:iCs/>
        </w:rPr>
        <w:t xml:space="preserve">Economic Bulletin for Latin America</w:t>
      </w:r>
      <w:r>
        <w:t xml:space="preserve"> </w:t>
      </w:r>
      <w:r>
        <w:t xml:space="preserve">7: 1–22.</w:t>
      </w:r>
    </w:p>
    <w:bookmarkEnd w:id="138"/>
    <w:bookmarkStart w:id="139" w:name="ref-ricardo_1817"/>
    <w:p>
      <w:pPr>
        <w:pStyle w:val="Bibliography"/>
      </w:pPr>
      <w:r>
        <w:t xml:space="preserve">Ricardo, David. 1817.</w:t>
      </w:r>
      <w:r>
        <w:t xml:space="preserve"> </w:t>
      </w:r>
      <w:r>
        <w:rPr>
          <w:i/>
          <w:iCs/>
        </w:rPr>
        <w:t xml:space="preserve">On the Principles of Political Economy and Taxation</w:t>
      </w:r>
      <w:r>
        <w:t xml:space="preserve">. John Murray.</w:t>
      </w:r>
    </w:p>
    <w:bookmarkEnd w:id="139"/>
    <w:bookmarkStart w:id="140" w:name="ref-rolland_2017"/>
    <w:p>
      <w:pPr>
        <w:pStyle w:val="Bibliography"/>
      </w:pPr>
      <w:r>
        <w:t xml:space="preserve">Rolland, Nadège. 2017.</w:t>
      </w:r>
      <w:r>
        <w:t xml:space="preserve"> </w:t>
      </w:r>
      <w:r>
        <w:rPr>
          <w:i/>
          <w:iCs/>
        </w:rPr>
        <w:t xml:space="preserve">China’s Eurasian Century? Political and Strategic Implications of the Belt and Road Initiative</w:t>
      </w:r>
      <w:r>
        <w:t xml:space="preserve">. National Bureau of Asian Research.</w:t>
      </w:r>
    </w:p>
    <w:bookmarkEnd w:id="140"/>
    <w:bookmarkStart w:id="141" w:name="ref-sachs_warner_1995"/>
    <w:p>
      <w:pPr>
        <w:pStyle w:val="Bibliography"/>
      </w:pPr>
      <w:r>
        <w:t xml:space="preserve">Sachs, Jeffrey D., and Andrew M. Warner. 1995.</w:t>
      </w:r>
      <w:r>
        <w:t xml:space="preserve"> </w:t>
      </w:r>
      <w:r>
        <w:t xml:space="preserve">“Natural Resource Abundance and Economic Growth.”</w:t>
      </w:r>
      <w:r>
        <w:t xml:space="preserve"> </w:t>
      </w:r>
      <w:r>
        <w:rPr>
          <w:i/>
          <w:iCs/>
        </w:rPr>
        <w:t xml:space="preserve">NBER Working Paper</w:t>
      </w:r>
      <w:r>
        <w:t xml:space="preserve">, no. 5398.</w:t>
      </w:r>
    </w:p>
    <w:bookmarkEnd w:id="141"/>
    <w:bookmarkStart w:id="142" w:name="ref-singer_1950"/>
    <w:p>
      <w:pPr>
        <w:pStyle w:val="Bibliography"/>
      </w:pPr>
      <w:r>
        <w:t xml:space="preserve">Singer, Hans W. 1950.</w:t>
      </w:r>
      <w:r>
        <w:t xml:space="preserve"> </w:t>
      </w:r>
      <w:r>
        <w:t xml:space="preserve">“The Distribution of Gains Between Investing and Borrowing Countries.”</w:t>
      </w:r>
      <w:r>
        <w:t xml:space="preserve"> </w:t>
      </w:r>
      <w:r>
        <w:rPr>
          <w:i/>
          <w:iCs/>
        </w:rPr>
        <w:t xml:space="preserve">American Economic Review</w:t>
      </w:r>
      <w:r>
        <w:t xml:space="preserve"> </w:t>
      </w:r>
      <w:r>
        <w:t xml:space="preserve">40 (2): 473–85.</w:t>
      </w:r>
    </w:p>
    <w:bookmarkEnd w:id="142"/>
    <w:bookmarkStart w:id="143" w:name="ref-desoyres_etal_2020"/>
    <w:p>
      <w:pPr>
        <w:pStyle w:val="Bibliography"/>
      </w:pPr>
      <w:r>
        <w:t xml:space="preserve">Soyres, François de, Alen Mulabdic, Siobhan Murray, Nadia Rocha, and Michele Ruta. 2020.</w:t>
      </w:r>
      <w:r>
        <w:t xml:space="preserve"> </w:t>
      </w:r>
      <w:r>
        <w:t xml:space="preserve">“How Much Will the Belt and Road Initiative Reduce Trade Costs?”</w:t>
      </w:r>
      <w:r>
        <w:t xml:space="preserve"> </w:t>
      </w:r>
      <w:r>
        <w:rPr>
          <w:i/>
          <w:iCs/>
        </w:rPr>
        <w:t xml:space="preserve">International Economics</w:t>
      </w:r>
      <w:r>
        <w:t xml:space="preserve"> </w:t>
      </w:r>
      <w:r>
        <w:t xml:space="preserve">159: 151–64.</w:t>
      </w:r>
    </w:p>
    <w:bookmarkEnd w:id="143"/>
    <w:bookmarkStart w:id="144" w:name="ref-desoyres_etal_2019"/>
    <w:p>
      <w:pPr>
        <w:pStyle w:val="Bibliography"/>
      </w:pPr>
      <w:r>
        <w:t xml:space="preserve">Soyres, François de, Alen Mulabdic, and Michele Ruta. 2019.</w:t>
      </w:r>
      <w:r>
        <w:t xml:space="preserve"> </w:t>
      </w:r>
      <w:r>
        <w:rPr>
          <w:i/>
          <w:iCs/>
        </w:rPr>
        <w:t xml:space="preserve">Common Transport Infrastructure: A Quantitative Model and Estimates from the Belt and Road Initiative</w:t>
      </w:r>
      <w:r>
        <w:t xml:space="preserve">. No. 8801. World Bank Policy Research Working Paper.</w:t>
      </w:r>
    </w:p>
    <w:bookmarkEnd w:id="144"/>
    <w:bookmarkStart w:id="145" w:name="ref-swaine_2015"/>
    <w:p>
      <w:pPr>
        <w:pStyle w:val="Bibliography"/>
      </w:pPr>
      <w:r>
        <w:t xml:space="preserve">Swaine, Michael D. 2015.</w:t>
      </w:r>
      <w:r>
        <w:t xml:space="preserve"> </w:t>
      </w:r>
      <w:r>
        <w:t xml:space="preserve">“Chinese Views and Commentary on the</w:t>
      </w:r>
      <w:r>
        <w:t xml:space="preserve"> </w:t>
      </w:r>
      <w:r>
        <w:t xml:space="preserve">‘One Belt, One Road’</w:t>
      </w:r>
      <w:r>
        <w:t xml:space="preserve"> </w:t>
      </w:r>
      <w:r>
        <w:t xml:space="preserve">Initiative.”</w:t>
      </w:r>
      <w:r>
        <w:t xml:space="preserve"> </w:t>
      </w:r>
      <w:r>
        <w:rPr>
          <w:i/>
          <w:iCs/>
        </w:rPr>
        <w:t xml:space="preserve">China Leadership Monitor</w:t>
      </w:r>
      <w:r>
        <w:t xml:space="preserve">, no. 47: 1–24.</w:t>
      </w:r>
    </w:p>
    <w:bookmarkEnd w:id="145"/>
    <w:bookmarkEnd w:id="146"/>
    <w:bookmarkEnd w:id="147"/>
    <w:sectPr>
      <w:footerReference w:type="default" r:id="rId9"/>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ind w:firstLine="720"/>
      <w:jc w:val="both"/>
    </w:pPr>
    <w:rPr>
      <w:rFonts w:ascii="Times New Roman" w:eastAsia="Times New Roman" w:hAnsi="Times New Roman"/>
      <w:sz w:val="24"/>
    </w:rPr>
  </w:style>
  <w:style w:styleId="BodyText" w:type="paragraph">
    <w:name w:val="Body Text"/>
    <w:basedOn w:val="Normal"/>
    <w:link w:val="BodyTextChar"/>
    <w:qFormat/>
    <w:pPr>
      <w:spacing w:after="120" w:before="0" w:line="360" w:lineRule="auto"/>
      <w:ind w:firstLine="720"/>
      <w:jc w:val="both"/>
    </w:pPr>
    <w:rPr>
      <w:rFonts w:ascii="Times New Roman" w:eastAsia="Times New Roman" w:hAnsi="Times New Roman"/>
      <w:sz w:val="24"/>
    </w:rPr>
  </w:style>
  <w:style w:customStyle="1" w:styleId="FirstParagraph" w:type="paragraph">
    <w:name w:val="First Paragraph"/>
    <w:basedOn w:val="Normal"/>
    <w:next w:val="BodyText"/>
    <w:qFormat/>
    <w:pPr>
      <w:spacing w:after="120" w:before="0" w:line="360" w:lineRule="auto"/>
      <w:jc w:val="both"/>
    </w:pPr>
    <w:rPr>
      <w:rFonts w:ascii="Times New Roman" w:eastAsia="Times New Roman" w:hAnsi="Times New Roman"/>
      <w:sz w:val="24"/>
    </w:rPr>
  </w:style>
  <w:style w:customStyle="1" w:styleId="Compact" w:type="paragraph">
    <w:name w:val="Compact"/>
    <w:basedOn w:val="Normal"/>
    <w:qFormat/>
    <w:pPr>
      <w:spacing w:after="120" w:before="0" w:line="360" w:lineRule="auto"/>
      <w:ind w:firstLine="720"/>
      <w:jc w:val="both"/>
    </w:pPr>
    <w:rPr>
      <w:rFonts w:ascii="Times New Roman" w:eastAsia="Times New Roman" w:hAnsi="Times New Roman"/>
      <w:sz w:val="24"/>
    </w:rPr>
  </w:style>
  <w:style w:styleId="Title" w:type="paragraph">
    <w:name w:val="Title"/>
    <w:basedOn w:val="Normal"/>
    <w:next w:val="BodyText"/>
    <w:link w:val="TitleChar"/>
    <w:uiPriority w:val="10"/>
    <w:qFormat/>
    <w:rsid w:val="00A10FD9"/>
    <w:pPr>
      <w:spacing w:after="200" w:before="1440" w:line="276" w:lineRule="auto"/>
      <w:contextualSpacing/>
      <w:jc w:val="center"/>
    </w:pPr>
    <w:rPr>
      <w:rFonts w:ascii="Times New Roman" w:asciiTheme="majorHAnsi"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rsid w:val="00A10FD9"/>
    <w:pPr>
      <w:numPr>
        <w:ilvl w:val="1"/>
      </w:numPr>
      <w:spacing w:after="360" w:before="0" w:line="276" w:lineRule="auto"/>
      <w:jc w:val="center"/>
    </w:pPr>
    <w:rPr>
      <w:rFonts w:ascii="Times New Roman" w:cstheme="majorBidi" w:eastAsia="Times New Roman" w:eastAsiaTheme="majorEastAsia" w:hAnsi="Times New Roman"/>
      <w:i/>
      <w:color w:val="414141"/>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120" w:before="0" w:line="276" w:lineRule="auto"/>
      <w:jc w:val="center"/>
    </w:pPr>
    <w:rPr>
      <w:rFonts w:ascii="Times New Roman" w:eastAsia="Times New Roman" w:hAnsi="Times New Roman"/>
      <w:sz w:val="24"/>
      <w:szCs w:val="24"/>
    </w:rPr>
  </w:style>
  <w:style w:styleId="Date" w:type="paragraph">
    <w:name w:val="Date"/>
    <w:basedOn w:val="Normal"/>
    <w:next w:val="BodyText"/>
    <w:qFormat/>
    <w:pPr>
      <w:keepNext/>
      <w:keepLines/>
      <w:spacing w:after="120" w:before="0" w:line="276" w:lineRule="auto"/>
      <w:jc w:val="center"/>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before="0" w:line="240" w:lineRule="auto"/>
      <w:ind w:hanging="720" w:left="720"/>
    </w:pPr>
    <w:rPr>
      <w:rFonts w:ascii="Times New Roman" w:eastAsia="Times New Roman" w:hAnsi="Times New Roman"/>
      <w:b w:val="0"/>
      <w:sz w:val="24"/>
    </w:rPr>
  </w:style>
  <w:style w:styleId="Heading1" w:type="paragraph">
    <w:name w:val="heading 1"/>
    <w:basedOn w:val="Normal"/>
    <w:next w:val="BodyText"/>
    <w:link w:val="Heading1Char"/>
    <w:uiPriority w:val="9"/>
    <w:qFormat/>
    <w:rsid w:val="00A10FD9"/>
    <w:pPr>
      <w:keepNext/>
      <w:keepLines/>
      <w:spacing w:after="160" w:before="360" w:line="276" w:lineRule="auto"/>
      <w:jc w:val="left"/>
      <w:outlineLvl w:val="0"/>
    </w:pPr>
    <w:rPr>
      <w:rFonts w:ascii="Times New Roman" w:asciiTheme="majorHAnsi" w:cstheme="majorBidi" w:eastAsia="Times New Roman"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76" w:lineRule="auto"/>
      <w:jc w:val="left"/>
      <w:outlineLvl w:val="1"/>
    </w:pPr>
    <w:rPr>
      <w:rFonts w:ascii="Times New Roman" w:asciiTheme="majorHAnsi" w:cstheme="majorBidi" w:eastAsia="Times New Roman"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jc w:val="left"/>
      <w:outlineLvl w:val="2"/>
    </w:pPr>
    <w:rPr>
      <w:rFonts w:ascii="Times New Roman" w:cstheme="majorBidi" w:eastAsia="Times New Roman" w:eastAsiaTheme="majorEastAsia" w:hAnsi="Times New Roman"/>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120" w:before="120" w:line="276" w:lineRule="auto"/>
      <w:ind w:left="504" w:right="480"/>
      <w:jc w:val="both"/>
    </w:pPr>
    <w:rPr>
      <w:rFonts w:ascii="Times New Roman" w:eastAsia="Times New Roman" w:hAnsi="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line="240" w:lineRule="auto"/>
      <w:jc w:val="center"/>
    </w:pPr>
    <w:rPr>
      <w:rFonts w:ascii="Times New Roman" w:eastAsia="Times New Roman" w:hAnsi="Times New Roman"/>
      <w:i/>
      <w:sz w:val="20"/>
    </w:rPr>
  </w:style>
  <w:style w:customStyle="1" w:styleId="TableCaption" w:type="paragraph">
    <w:name w:val="Table Caption"/>
    <w:basedOn w:val="Caption"/>
    <w:pPr>
      <w:keepNext/>
      <w:spacing w:after="80" w:before="160" w:line="240" w:lineRule="auto"/>
      <w:jc w:val="left"/>
    </w:pPr>
    <w:rPr>
      <w:rFonts w:ascii="Times New Roman" w:eastAsia="Times New Roman" w:hAnsi="Times New Roman"/>
      <w:i/>
      <w:sz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Normal"/>
    <w:next w:val="BodyText"/>
    <w:uiPriority w:val="39"/>
    <w:unhideWhenUsed/>
    <w:qFormat/>
    <w:pPr>
      <w:spacing w:after="120" w:before="240" w:line="240" w:lineRule="auto"/>
      <w:outlineLvl w:val="9"/>
    </w:pPr>
    <w:rPr>
      <w:rFonts w:ascii="Times New Roman" w:asciiTheme="majorHAnsi" w:cstheme="majorBidi" w:eastAsia="Times New Roman" w:eastAsiaTheme="majorEastAsia" w:hAnsi="Times New Roman" w:hAnsiTheme="majorHAnsi"/>
      <w:b/>
      <w:bCs w:val="0"/>
      <w:color w:themeColor="accent1" w:themeShade="BF" w:val="365F91"/>
      <w:sz w:val="24"/>
    </w:rPr>
  </w:style>
  <w:style w:customStyle="1" w:styleId="StaticTOC1" w:type="paragraph">
    <w:name w:val="Static TOC 1"/>
    <w:basedOn w:val="Normal"/>
    <w:pPr>
      <w:spacing w:after="40" w:before="0" w:line="240" w:lineRule="auto"/>
      <w:jc w:val="left"/>
    </w:pPr>
    <w:rPr>
      <w:rFonts w:ascii="Times New Roman" w:eastAsia="Times New Roman" w:hAnsi="Times New Roman"/>
      <w:b/>
      <w:sz w:val="22"/>
    </w:rPr>
  </w:style>
  <w:style w:customStyle="1" w:styleId="StaticTOC2" w:type="paragraph">
    <w:name w:val="Static TOC 2"/>
    <w:basedOn w:val="Normal"/>
    <w:pPr>
      <w:spacing w:after="40" w:before="0" w:line="240" w:lineRule="auto"/>
      <w:ind w:left="317"/>
      <w:jc w:val="left"/>
    </w:pPr>
    <w:rPr>
      <w:rFonts w:ascii="Times New Roman" w:eastAsia="Times New Roman" w:hAnsi="Times New Roman"/>
      <w:b w:val="0"/>
      <w:sz w:val="21"/>
    </w:rPr>
  </w:style>
  <w:style w:customStyle="1" w:styleId="SourceCode" w:type="paragraph">
    <w:name w:val="Source Code"/>
    <w:basedOn w:val="Normal"/>
    <w:pPr>
      <w:spacing w:after="60" w:before="0" w:line="240" w:lineRule="auto"/>
      <w:jc w:val="left"/>
    </w:pPr>
    <w:rPr>
      <w:rFonts w:ascii="Courier New" w:eastAsia="Courier New" w:hAnsi="Courier New"/>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63" Type="http://schemas.openxmlformats.org/officeDocument/2006/relationships/image" Target="media/rId63.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8" Type="http://schemas.openxmlformats.org/officeDocument/2006/relationships/image" Target="media/rId48.png"/><Relationship Id="rId55" Type="http://schemas.openxmlformats.org/officeDocument/2006/relationships/image" Target="media/rId55.png"/><Relationship Id="rId67" Type="http://schemas.openxmlformats.org/officeDocument/2006/relationships/image" Target="media/rId67.png"/><Relationship Id="rId84" Type="http://schemas.openxmlformats.org/officeDocument/2006/relationships/image" Target="media/rId8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BRI’s Impact on Kazakhstan-China Trade Balance: The Role of Strategic Mineral Exports</dc:title>
  <dc:creator>Nikar Omirbek</dc:creator>
  <cp:keywords/>
  <dcterms:created xsi:type="dcterms:W3CDTF">2026-05-07T21:14:04Z</dcterms:created>
  <dcterms:modified xsi:type="dcterms:W3CDTF">2026-05-07T21:14:04Z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2026</vt:lpwstr>
  </property>
  <property fmtid="{D5CDD505-2E9C-101B-9397-08002B2CF9AE}" pid="4" name="format">
    <vt:lpwstr/>
  </property>
  <property fmtid="{D5CDD505-2E9C-101B-9397-08002B2CF9AE}" pid="5" name="reference-section-title">
    <vt:lpwstr>References</vt:lpwstr>
  </property>
  <property fmtid="{D5CDD505-2E9C-101B-9397-08002B2CF9AE}" pid="6" name="subtitle">
    <vt:lpwstr>Evidence from an Annual Bilateral Time-Series Analysis, 2000–2023</vt:lpwstr>
  </property>
</Properties>
</file>