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6FB2"/>
          <w:spacing w:val="30"/>
          <w:sz w:val="17"/>
          <w:szCs w:val="17"/>
        </w:rPr>
        <w:t xml:space="preserve">ANALYSTLAB AFRICA  |  DATA ANALYTICS INTERNSHIP  |  WEEK 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545"/>
          <w:sz w:val="44"/>
          <w:szCs w:val="44"/>
        </w:rPr>
        <w:t xml:space="preserve">Executive Summary Report</w:t>
      </w:r>
    </w:p>
    <w:p>
      <w:pPr>
        <w:spacing w:after="60"/>
      </w:pPr>
      <w:r>
        <w:rPr>
          <w:rFonts w:ascii="Calibri" w:cs="Calibri" w:eastAsia="Calibri" w:hAnsi="Calibri"/>
          <w:color w:val="5B6B7F"/>
          <w:sz w:val="22"/>
          <w:szCs w:val="22"/>
        </w:rPr>
        <w:t xml:space="preserve">Global Superstore: Executive Sales Dashboard</w:t>
      </w:r>
    </w:p>
    <w:p>
      <w:pPr>
        <w:pBdr>
          <w:bottom w:val="single" w:color="0B2545" w:sz="12" w:space="6"/>
        </w:pBdr>
        <w:spacing w:after="140"/>
      </w:pPr>
      <w:r>
        <w:rPr>
          <w:rFonts w:ascii="Calibri" w:cs="Calibri" w:eastAsia="Calibri" w:hAnsi="Calibri"/>
          <w:color w:val="5B6B7F"/>
          <w:sz w:val="19"/>
          <w:szCs w:val="19"/>
        </w:rPr>
        <w:t xml:space="preserve">Prepared by </w:t>
      </w:r>
      <w:r>
        <w:rPr>
          <w:rFonts w:ascii="Calibri" w:cs="Calibri" w:eastAsia="Calibri" w:hAnsi="Calibri"/>
          <w:b/>
          <w:bCs/>
          <w:color w:val="5B6B7F"/>
          <w:sz w:val="19"/>
          <w:szCs w:val="19"/>
        </w:rPr>
        <w:t xml:space="preserve">Safrah Omisanya</w:t>
      </w:r>
      <w:r>
        <w:rPr>
          <w:rFonts w:ascii="Calibri" w:cs="Calibri" w:eastAsia="Calibri" w:hAnsi="Calibri"/>
          <w:color w:val="5B6B7F"/>
          <w:sz w:val="19"/>
          <w:szCs w:val="19"/>
        </w:rPr>
        <w:t xml:space="preserve">  |  October 2026</w:t>
      </w:r>
    </w:p>
    <w:p>
      <w:pPr>
        <w:pStyle w:val="Heading1"/>
        <w:keepNext/>
        <w:pBdr>
          <w:bottom w:val="single" w:color="1F6FB2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Overview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report summarises the findings of the Global Superstore Power BI dashboard, which analyses 51,290 order lines (25,035 orders) from 2011 to 2014 across 7 markets. Overall, the business is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growing strongly and profitable at 11.6%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but profit is being eroded by heavy discounting and by a small number of loss-making products and countries.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6"/>
      </w:tblGrid>
      <w:tr>
        <w:trPr>
          <w:cantSplit/>
        </w:trPr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Sales</w:t>
            </w:r>
          </w:p>
        </w:tc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Average Sales per Order</w:t>
            </w:r>
          </w:p>
        </w:tc>
        <w:tc>
          <w:tcPr>
            <w:tcW w:type="dxa" w:w="1926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Profit Margin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30"/>
                <w:szCs w:val="30"/>
              </w:rPr>
              <w:t xml:space="preserve">$12.64M</w:t>
            </w:r>
          </w:p>
        </w:tc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30"/>
                <w:szCs w:val="30"/>
              </w:rPr>
              <w:t xml:space="preserve">$1.47M</w:t>
            </w:r>
          </w:p>
        </w:tc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30"/>
                <w:szCs w:val="30"/>
              </w:rPr>
              <w:t xml:space="preserve">25,035</w:t>
            </w:r>
          </w:p>
        </w:tc>
        <w:tc>
          <w:tcPr>
            <w:tcW w:type="dxa" w:w="192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30"/>
                <w:szCs w:val="30"/>
              </w:rPr>
              <w:t xml:space="preserve">$505</w:t>
            </w:r>
          </w:p>
        </w:tc>
        <w:tc>
          <w:tcPr>
            <w:tcW w:type="dxa" w:w="1926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30"/>
                <w:szCs w:val="30"/>
              </w:rPr>
              <w:t xml:space="preserve">11.6%</w:t>
            </w:r>
          </w:p>
        </w:tc>
      </w:tr>
    </w:tbl>
    <w:p>
      <w:pPr>
        <w:pStyle w:val="Heading1"/>
        <w:keepNext/>
        <w:pBdr>
          <w:bottom w:val="single" w:color="1F6FB2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Key Business Insights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Strong, steady growth.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Sales rose from $2.26M in 2011 to $4.30M in 2014 (+90%) and profit doubled from $249K to $504K, while margin held at 11% to 12%.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Three markets carry the business.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APAC ($3.59M), EU ($2.94M) and US ($2.30M) deliver 69.8% of sales and 74.6% of profit.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Consumers lead on revenue.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The Consumer segment brings 51.5% of sales ($6.51M), ahead of Corporate (30.3%) and Home Office (18.3%). Margins are almost identical (11.5% to 12.0%), so the segments differ in volume, not profitability.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Technology is the strongest category.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It earns $4.74M in sales and $664K profit at a 14.0% margin. The most profitable products are the Canon imageCLASS 2200 copier ($25.2K), Cisco Smart Phone Full Size ($17.2K) and Motorola Smart Phone Full Size ($17.0K).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Sales are seasonal and discount-sensitive.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Q4 2014 was the best quarter ($1.48M), and November and December alone bring 24.8% of annual sales. Profit falls sharply as discounts rise: +$1.77M with no discount, +$0.51M up to 20%, then -$0.19M (20% to 40%) and -$0.63M (over 40%).</w:t>
      </w:r>
    </w:p>
    <w:p>
      <w:pPr>
        <w:pStyle w:val="Heading1"/>
        <w:keepNext/>
        <w:pBdr>
          <w:bottom w:val="single" w:color="1F6FB2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Business Risks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Over-discounting.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Orders discounted above 20% lost $815K in total, and 24.5% of all order lines are unprofitable.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Loss-making products and countries.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Tables lose $64K (-8.5% margin), Furniture earns only 6.9%, and 29 countries are unprofitable, led by Turkey (-$98K) and Nigeria (-$81K).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Thin-margin regions.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Southeast Asia earns just 2.0% on $884K of sales, and EMEA 5.4% on $806K.</w:t>
      </w:r>
    </w:p>
    <w:p>
      <w:pPr>
        <w:pStyle w:val="Heading1"/>
        <w:keepNext/>
        <w:pBdr>
          <w:bottom w:val="single" w:color="1F6FB2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Business Opportunities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High-margin, under-served markets.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Canada earns a 26.6% margin on only 0.5% of sales ($67K); North Asia (19.5%) and Central Asia (17.6%) also beat the 11.6% average.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High-margin product lines.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Paper (24.2%), Labels (20.4%), Accessories (17.3%) and Copiers (17.1%) are well above average and can be promoted harder.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Q4 demand and loyal customers.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November and December bring 24.8% of sales, and the top 10% of customers (159 of 1,590) account for 26.9% of sales.</w:t>
      </w:r>
    </w:p>
    <w:p>
      <w:pPr>
        <w:pStyle w:val="Heading1"/>
        <w:keepNext/>
        <w:pBdr>
          <w:bottom w:val="single" w:color="1F6FB2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Recommendations</w:t>
      </w:r>
    </w:p>
    <w:p>
      <w:pPr>
        <w:spacing w:after="90" w:before="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Each recommendation is linked to evidence from the dashboard.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00"/>
        <w:gridCol w:w="4158"/>
      </w:tblGrid>
      <w:tr>
        <w:trPr>
          <w:cantSplit/>
          <w:tblHeader/>
        </w:trPr>
        <w:tc>
          <w:tcPr>
            <w:tcW w:type="dxa" w:w="48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15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Supporting evidence from the dashboard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Cap discounts at 20%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and require manager approval for anything higher.</w:t>
            </w:r>
          </w:p>
        </w:tc>
        <w:tc>
          <w:tcPr>
            <w:tcW w:type="dxa" w:w="415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Orders discounted above 20% lost </w:t>
            </w: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$815K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 in total, while undiscounted orders earned a </w:t>
            </w: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25.3%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 margin (Insight 5, Risk 1).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Reprice Tables and review loss-making products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, including the Cubify CubeX 3D printers, or renegotiate supplier costs.</w:t>
            </w:r>
          </w:p>
        </w:tc>
        <w:tc>
          <w:tcPr>
            <w:tcW w:type="dxa" w:w="415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Tables lose </w:t>
            </w: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$64K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 (-8.5% margin); the Cubify CubeX 3D printers lose </w:t>
            </w: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$8.9K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$3.8K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 (Risk 2).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Audit unprofitable countries and thin-margin regions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(Turkey, Nigeria, Southeast Asia, EMEA) for pricing, discounts and shipping cost.</w:t>
            </w:r>
          </w:p>
        </w:tc>
        <w:tc>
          <w:tcPr>
            <w:tcW w:type="dxa" w:w="415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Turkey </w:t>
            </w: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-$98K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, Nigeria </w:t>
            </w: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-$81K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; 29 countries are unprofitable; Southeast Asia earns </w:t>
            </w: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2.0%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 and EMEA </w:t>
            </w: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5.4%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 (Risk 2, Risk 3).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Shift marketing and stock investment to Technology and to high-margin markets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such as Canada, North Asia and Central Asia.</w:t>
            </w:r>
          </w:p>
        </w:tc>
        <w:tc>
          <w:tcPr>
            <w:tcW w:type="dxa" w:w="415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Technology earns </w:t>
            </w: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14.0%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 margin vs 6.9% for Furniture; Canada </w:t>
            </w: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26.6%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, North Asia </w:t>
            </w: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19.5%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, Central Asia </w:t>
            </w: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17.6%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 (Insight 4, Opportunity 1).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FB2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Plan stock and campaigns around the Q4 peak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and launch 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loyalty programme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for the top 10% of customers.</w:t>
            </w:r>
          </w:p>
        </w:tc>
        <w:tc>
          <w:tcPr>
            <w:tcW w:type="dxa" w:w="4158"/>
            <w:tcBorders>
              <w:top w:val="single" w:color="D5DEE9" w:sz="4"/>
              <w:left w:val="single" w:color="D5DEE9" w:sz="4"/>
              <w:bottom w:val="single" w:color="D5DEE9" w:sz="4"/>
              <w:right w:val="single" w:color="D5DEE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November and December bring </w:t>
            </w: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24.8%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 of sales; the top 10% of customers (159 of 1,590) generate </w:t>
            </w:r>
            <w:r>
              <w:rPr>
                <w:rFonts w:ascii="Calibri" w:cs="Calibri" w:eastAsia="Calibri" w:hAnsi="Calibri"/>
                <w:b/>
                <w:bCs/>
                <w:color w:val="4B5563"/>
                <w:sz w:val="20"/>
                <w:szCs w:val="20"/>
              </w:rPr>
              <w:t xml:space="preserve">26.9%</w:t>
            </w:r>
            <w:r>
              <w:rPr>
                <w:rFonts w:ascii="Calibri" w:cs="Calibri" w:eastAsia="Calibri" w:hAnsi="Calibri"/>
                <w:color w:val="4B5563"/>
                <w:sz w:val="20"/>
                <w:szCs w:val="20"/>
              </w:rPr>
              <w:t xml:space="preserve"> (Insight 5, Opportunity 3).</w:t>
            </w:r>
          </w:p>
        </w:tc>
      </w:tr>
    </w:tbl>
    <w:p>
      <w:pPr>
        <w:spacing w:after="110" w:before="140" w:line="276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Note: Canada's margin comes from a small sales base ($67K, 201 orders), so it should be tested with a pilot before large investment. The discount analysis shows a strong association between high discounts and losses; the cap should be introduced and monitored to confirm the effect.</w:t>
      </w:r>
    </w:p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7A8"/>
        <w:sz w:val="16"/>
        <w:szCs w:val="16"/>
      </w:rPr>
      <w:t xml:space="preserve">Safrah Omisanya  |  AnalystLab Africa Week 2  |  Page </w:t>
    </w:r>
    <w:r>
      <w:rPr>
        <w:rFonts w:ascii="Calibri" w:cs="Calibri" w:eastAsia="Calibri" w:hAnsi="Calibri"/>
        <w:color w:val="8A97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F6FB2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F6FB2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1F6FB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AnalystLab Africa Week 2</dc:title>
  <dc:creator>Safrah Omisanya</dc:creator>
  <cp:lastModifiedBy>Un-named</cp:lastModifiedBy>
  <cp:revision>1</cp:revision>
  <dcterms:created xsi:type="dcterms:W3CDTF">2026-10-26T08:59:10.400Z</dcterms:created>
  <dcterms:modified xsi:type="dcterms:W3CDTF">2026-10-26T08:59:10.400Z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