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0E555D" w14:textId="46CAB2EB" w:rsidR="00763EA1" w:rsidRPr="00E64825" w:rsidRDefault="00763EA1" w:rsidP="00E64825">
      <w:pPr>
        <w:spacing w:line="276" w:lineRule="auto"/>
        <w:rPr>
          <w:rFonts w:ascii="Arial" w:hAnsi="Arial" w:cs="Arial"/>
        </w:rPr>
      </w:pPr>
      <w:r w:rsidRPr="00E64825">
        <w:rPr>
          <w:rFonts w:ascii="Arial" w:hAnsi="Arial" w:cs="Arial"/>
        </w:rPr>
        <w:t>1. Scope of Work</w:t>
      </w:r>
    </w:p>
    <w:p w14:paraId="34ED865C" w14:textId="35A82B3B" w:rsidR="00763EA1" w:rsidRPr="00E64825" w:rsidRDefault="00763EA1" w:rsidP="00E64825">
      <w:pPr>
        <w:spacing w:line="276" w:lineRule="auto"/>
        <w:rPr>
          <w:rFonts w:ascii="Arial" w:hAnsi="Arial" w:cs="Arial"/>
        </w:rPr>
      </w:pPr>
      <w:proofErr w:type="spellStart"/>
      <w:r w:rsidRPr="00E64825">
        <w:rPr>
          <w:rFonts w:ascii="Arial" w:hAnsi="Arial" w:cs="Arial"/>
        </w:rPr>
        <w:t>Hydrosight</w:t>
      </w:r>
      <w:proofErr w:type="spellEnd"/>
      <w:r w:rsidRPr="00E64825">
        <w:rPr>
          <w:rFonts w:ascii="Arial" w:hAnsi="Arial" w:cs="Arial"/>
        </w:rPr>
        <w:t xml:space="preserve"> </w:t>
      </w:r>
      <w:r w:rsidR="00643B21" w:rsidRPr="00E64825">
        <w:rPr>
          <w:rFonts w:ascii="Arial" w:hAnsi="Arial" w:cs="Arial"/>
        </w:rPr>
        <w:t xml:space="preserve">Systems Inc. </w:t>
      </w:r>
      <w:r w:rsidRPr="00E64825">
        <w:rPr>
          <w:rFonts w:ascii="Arial" w:hAnsi="Arial" w:cs="Arial"/>
        </w:rPr>
        <w:t>proposes to implement the FlowSense solution through a structured engagement strategy designed to enhance operational visibility, ensure regulatory compliance, and reduce inefficiencies in water management. The engagement will begin with a comprehensive requirements analysis and system architecture design, involving stakeholder consultations to capture operational objectives, infrastructure constraints, and compliance obligations. Site inspections will assess existing metering devices, data transmission capabilities, and available mapping resources such as GIS or CAD floor plans. Performance benchmarks including acceptable water loss rates and incident response time targets will be established. Based on these inputs, a complete technical stack will be designed covering sensor placement strategies, supported communication protocols like MQTT, Modbus, or BACnet, and integration architecture with upstream and downstream systems.</w:t>
      </w:r>
    </w:p>
    <w:p w14:paraId="17484C65" w14:textId="77777777" w:rsidR="00763EA1" w:rsidRPr="00E64825" w:rsidRDefault="00763EA1" w:rsidP="00E64825">
      <w:pPr>
        <w:spacing w:line="276" w:lineRule="auto"/>
        <w:rPr>
          <w:rFonts w:ascii="Arial" w:hAnsi="Arial" w:cs="Arial"/>
        </w:rPr>
      </w:pPr>
      <w:r w:rsidRPr="00E64825">
        <w:rPr>
          <w:rFonts w:ascii="Arial" w:hAnsi="Arial" w:cs="Arial"/>
        </w:rPr>
        <w:t>Following this, ultrasonic flow meters will be configured and calibrated to site-specific parameters, while the FlowSense dashboard will be customized to meet user-defined reporting, alerting, and analytics requirements. Dynamic thresholds, trigger-based alerts, and escalation protocols will be defined, with visualizations modified to incorporate relevant metrics including ESG indicators, leakage trends, and compliance tracking.</w:t>
      </w:r>
    </w:p>
    <w:p w14:paraId="4BA7716B" w14:textId="77777777" w:rsidR="00763EA1" w:rsidRPr="00E64825" w:rsidRDefault="00763EA1" w:rsidP="00E64825">
      <w:pPr>
        <w:spacing w:line="276" w:lineRule="auto"/>
        <w:rPr>
          <w:rFonts w:ascii="Arial" w:hAnsi="Arial" w:cs="Arial"/>
        </w:rPr>
      </w:pPr>
      <w:r w:rsidRPr="00E64825">
        <w:rPr>
          <w:rFonts w:ascii="Arial" w:hAnsi="Arial" w:cs="Arial"/>
        </w:rPr>
        <w:t>The system integration phase will connect FlowSense to third-party platforms such as BMS, SCADA, CRM, or billing systems. Comprehensive testing will be conducted at unit, integration, and system levels to validate functionality. For sites lacking reliable Wi-Fi, cellular backup or dual-mode gateways will be installed to ensure continuous connectivity.</w:t>
      </w:r>
    </w:p>
    <w:p w14:paraId="71B6EE95" w14:textId="77777777" w:rsidR="00763EA1" w:rsidRPr="00E64825" w:rsidRDefault="00763EA1" w:rsidP="00E64825">
      <w:pPr>
        <w:spacing w:line="276" w:lineRule="auto"/>
        <w:rPr>
          <w:rFonts w:ascii="Arial" w:hAnsi="Arial" w:cs="Arial"/>
        </w:rPr>
      </w:pPr>
      <w:proofErr w:type="spellStart"/>
      <w:r w:rsidRPr="00E64825">
        <w:rPr>
          <w:rFonts w:ascii="Arial" w:hAnsi="Arial" w:cs="Arial"/>
        </w:rPr>
        <w:t>Hydrosight</w:t>
      </w:r>
      <w:proofErr w:type="spellEnd"/>
      <w:r w:rsidRPr="00E64825">
        <w:rPr>
          <w:rFonts w:ascii="Arial" w:hAnsi="Arial" w:cs="Arial"/>
        </w:rPr>
        <w:t xml:space="preserve"> will provide enablement and technical handoff through role-based training sessions targeting operations teams, sustainability officers, and IT administrators. Complete documentation packs, including system architecture blueprints, troubleshooting guides, and standard operating procedures, will be delivered to facilitate knowledge transfer.</w:t>
      </w:r>
    </w:p>
    <w:p w14:paraId="11EBCCBB" w14:textId="77777777" w:rsidR="00763EA1" w:rsidRPr="00E64825" w:rsidRDefault="00763EA1" w:rsidP="00E64825">
      <w:pPr>
        <w:spacing w:line="276" w:lineRule="auto"/>
        <w:rPr>
          <w:rFonts w:ascii="Arial" w:hAnsi="Arial" w:cs="Arial"/>
        </w:rPr>
      </w:pPr>
      <w:r w:rsidRPr="00E64825">
        <w:rPr>
          <w:rFonts w:ascii="Arial" w:hAnsi="Arial" w:cs="Arial"/>
        </w:rPr>
        <w:t>Deployment coordination will be carefully managed to schedule sensor installations during phased or low-disruption windows. Live dashboards and alert systems will be activated for real-time monitoring, with immediate go-live assistance and Tier-1 technical support available to address any issues.</w:t>
      </w:r>
    </w:p>
    <w:p w14:paraId="1E19EC7D" w14:textId="77777777" w:rsidR="00763EA1" w:rsidRPr="00E64825" w:rsidRDefault="00763EA1" w:rsidP="00E64825">
      <w:pPr>
        <w:spacing w:line="276" w:lineRule="auto"/>
        <w:rPr>
          <w:rFonts w:ascii="Arial" w:hAnsi="Arial" w:cs="Arial"/>
        </w:rPr>
      </w:pPr>
      <w:r w:rsidRPr="00E64825">
        <w:rPr>
          <w:rFonts w:ascii="Arial" w:hAnsi="Arial" w:cs="Arial"/>
        </w:rPr>
        <w:t xml:space="preserve">Finally, </w:t>
      </w:r>
      <w:proofErr w:type="spellStart"/>
      <w:r w:rsidRPr="00E64825">
        <w:rPr>
          <w:rFonts w:ascii="Arial" w:hAnsi="Arial" w:cs="Arial"/>
        </w:rPr>
        <w:t>Hydrosight</w:t>
      </w:r>
      <w:proofErr w:type="spellEnd"/>
      <w:r w:rsidRPr="00E64825">
        <w:rPr>
          <w:rFonts w:ascii="Arial" w:hAnsi="Arial" w:cs="Arial"/>
        </w:rPr>
        <w:t xml:space="preserve"> will conduct quarterly reviews to evaluate sensor performance, data integrity, and system adoption. AI-driven detection thresholds will be refined and machine learning models retrained if data drift is detected. Ongoing services will be </w:t>
      </w:r>
      <w:r w:rsidRPr="00E64825">
        <w:rPr>
          <w:rFonts w:ascii="Arial" w:hAnsi="Arial" w:cs="Arial"/>
        </w:rPr>
        <w:lastRenderedPageBreak/>
        <w:t>offered, including sustainability dashboard upgrades, ESG compliance reporting, and integration across utilities such as electricity and gas.</w:t>
      </w:r>
    </w:p>
    <w:p w14:paraId="063F8BBF" w14:textId="7EE65645" w:rsidR="002020C9" w:rsidRPr="00E64825" w:rsidRDefault="002020C9" w:rsidP="00E64825">
      <w:pPr>
        <w:spacing w:line="276" w:lineRule="auto"/>
        <w:rPr>
          <w:rFonts w:ascii="Arial" w:hAnsi="Arial" w:cs="Arial"/>
        </w:rPr>
      </w:pPr>
      <w:r w:rsidRPr="00E64825">
        <w:rPr>
          <w:rFonts w:ascii="Arial" w:hAnsi="Arial" w:cs="Arial"/>
        </w:rPr>
        <w:t>2. Assumptions</w:t>
      </w:r>
    </w:p>
    <w:p w14:paraId="023460C7" w14:textId="4D4C615A" w:rsidR="002020C9" w:rsidRPr="00E64825" w:rsidRDefault="002020C9" w:rsidP="00E64825">
      <w:pPr>
        <w:spacing w:line="276" w:lineRule="auto"/>
        <w:rPr>
          <w:rFonts w:ascii="Arial" w:hAnsi="Arial" w:cs="Arial"/>
        </w:rPr>
      </w:pPr>
      <w:r w:rsidRPr="00E64825">
        <w:rPr>
          <w:rFonts w:ascii="Arial" w:hAnsi="Arial" w:cs="Arial"/>
        </w:rPr>
        <w:t>The successful deployment of the FlowSense solution relies on the active participation and timely support of the client throughout the project lifecycle. Smooth execution depends on having access to the relevant facilities, system data, and internal teams involved in operations and IT. It is also expected that design decisions, configuration approvals, and other project inputs will be provided within the agreed timelines, enabling the project to progress without unnecessary delays.</w:t>
      </w:r>
    </w:p>
    <w:p w14:paraId="2E7151FD" w14:textId="77777777" w:rsidR="002020C9" w:rsidRPr="00E64825" w:rsidRDefault="002020C9" w:rsidP="00E64825">
      <w:pPr>
        <w:spacing w:line="276" w:lineRule="auto"/>
        <w:rPr>
          <w:rFonts w:ascii="Arial" w:hAnsi="Arial" w:cs="Arial"/>
        </w:rPr>
      </w:pPr>
      <w:r w:rsidRPr="00E64825">
        <w:rPr>
          <w:rFonts w:ascii="Arial" w:hAnsi="Arial" w:cs="Arial"/>
        </w:rPr>
        <w:t>A critical factor in the success of this implementation is the ability to integrate FlowSense with the client’s existing technology environment. This includes access to the necessary APIs, databases, and any third-party systems that interface with building management, utility monitoring, or operational dashboards. In cases where external software licenses or platform dependencies are required, these will remain under the client’s management to ensure seamless connectivity and compliance with operational requirements.</w:t>
      </w:r>
    </w:p>
    <w:p w14:paraId="4C632A62" w14:textId="6A948B33" w:rsidR="002020C9" w:rsidRPr="00E64825" w:rsidRDefault="002020C9" w:rsidP="00E64825">
      <w:pPr>
        <w:spacing w:line="276" w:lineRule="auto"/>
        <w:rPr>
          <w:rFonts w:ascii="Arial" w:hAnsi="Arial" w:cs="Arial"/>
        </w:rPr>
      </w:pPr>
      <w:r w:rsidRPr="00E64825">
        <w:rPr>
          <w:rFonts w:ascii="Arial" w:hAnsi="Arial" w:cs="Arial"/>
        </w:rPr>
        <w:t xml:space="preserve">Throughout the project, both </w:t>
      </w:r>
      <w:proofErr w:type="spellStart"/>
      <w:r w:rsidR="00643B21" w:rsidRPr="00E64825">
        <w:rPr>
          <w:rFonts w:ascii="Arial" w:hAnsi="Arial" w:cs="Arial"/>
        </w:rPr>
        <w:t>Hydrosight</w:t>
      </w:r>
      <w:proofErr w:type="spellEnd"/>
      <w:r w:rsidR="00643B21" w:rsidRPr="00E64825">
        <w:rPr>
          <w:rFonts w:ascii="Arial" w:hAnsi="Arial" w:cs="Arial"/>
        </w:rPr>
        <w:t xml:space="preserve"> Systems Inc. </w:t>
      </w:r>
      <w:r w:rsidRPr="00E64825">
        <w:rPr>
          <w:rFonts w:ascii="Arial" w:hAnsi="Arial" w:cs="Arial"/>
        </w:rPr>
        <w:t>and the client will adhere to strict data privacy and security standards, following all applicable regulatory frameworks. Any sensitive operational or customer information used during testing and configuration will be anonymized or otherwise protected to maintain confidentiality. Likewise, the client will provide the necessary IT infrastructure to support either cloud-based or on-premises deployment, with the understanding that on-site hosting may require dedicated resources and ongoing maintenance under the client’s responsibility.</w:t>
      </w:r>
    </w:p>
    <w:p w14:paraId="135DC96C" w14:textId="77777777" w:rsidR="002020C9" w:rsidRPr="00E64825" w:rsidRDefault="002020C9" w:rsidP="00E64825">
      <w:pPr>
        <w:spacing w:line="276" w:lineRule="auto"/>
        <w:rPr>
          <w:rFonts w:ascii="Arial" w:hAnsi="Arial" w:cs="Arial"/>
        </w:rPr>
      </w:pPr>
      <w:r w:rsidRPr="00E64825">
        <w:rPr>
          <w:rFonts w:ascii="Arial" w:hAnsi="Arial" w:cs="Arial"/>
        </w:rPr>
        <w:t>Finally, the project assumes that key personnel will participate in scheduled training and pilot exercises, allowing end users to become comfortable with the system and provide early feedback for refinement. Project schedules have been established with the expectation that no major external delays will arise; however, adjustments may be required if the agreed scope changes or if unforeseen dependencies affect delivery. These working assumptions will remain under regular review to ensure alignment and to maintain the momentum needed for a successful FlowSense implementation.</w:t>
      </w:r>
    </w:p>
    <w:p w14:paraId="3701EDF0" w14:textId="0F396129" w:rsidR="00957EB8" w:rsidRPr="00E64825" w:rsidRDefault="00E64825" w:rsidP="00E64825">
      <w:pPr>
        <w:spacing w:line="276" w:lineRule="auto"/>
        <w:rPr>
          <w:rFonts w:ascii="Arial" w:hAnsi="Arial" w:cs="Arial"/>
        </w:rPr>
      </w:pPr>
      <w:r w:rsidRPr="00E64825">
        <w:rPr>
          <w:rFonts w:ascii="Arial" w:hAnsi="Arial" w:cs="Arial"/>
        </w:rPr>
        <w:t>3. Project Risks</w:t>
      </w:r>
    </w:p>
    <w:p w14:paraId="50B3BF58" w14:textId="545FD316" w:rsidR="00E64825" w:rsidRPr="00E64825" w:rsidRDefault="00E64825" w:rsidP="00E64825">
      <w:pPr>
        <w:spacing w:line="276" w:lineRule="auto"/>
        <w:rPr>
          <w:rFonts w:ascii="Arial" w:hAnsi="Arial" w:cs="Arial"/>
        </w:rPr>
      </w:pPr>
      <w:r w:rsidRPr="00E64825">
        <w:rPr>
          <w:rFonts w:ascii="Arial" w:hAnsi="Arial" w:cs="Arial"/>
        </w:rPr>
        <w:t xml:space="preserve">Delivering a FlowSense implementation involves navigating a range of potential risks, all of which </w:t>
      </w:r>
      <w:proofErr w:type="spellStart"/>
      <w:r w:rsidRPr="00E64825">
        <w:rPr>
          <w:rFonts w:ascii="Arial" w:hAnsi="Arial" w:cs="Arial"/>
        </w:rPr>
        <w:t>Hydrosight</w:t>
      </w:r>
      <w:proofErr w:type="spellEnd"/>
      <w:r w:rsidRPr="00E64825">
        <w:rPr>
          <w:rFonts w:ascii="Arial" w:hAnsi="Arial" w:cs="Arial"/>
        </w:rPr>
        <w:t xml:space="preserve"> actively manages to ensure a smooth project experience. One key consideration is maintaining alignment on project scope. Without careful oversight, the addition of unplanned features or changes could impact the timeline and budget. To mitigate this, </w:t>
      </w:r>
      <w:proofErr w:type="spellStart"/>
      <w:r w:rsidRPr="00E64825">
        <w:rPr>
          <w:rFonts w:ascii="Arial" w:hAnsi="Arial" w:cs="Arial"/>
        </w:rPr>
        <w:t>Hydrosight</w:t>
      </w:r>
      <w:proofErr w:type="spellEnd"/>
      <w:r w:rsidRPr="00E64825">
        <w:rPr>
          <w:rFonts w:ascii="Arial" w:hAnsi="Arial" w:cs="Arial"/>
        </w:rPr>
        <w:t xml:space="preserve"> establishes a clear scope from the outset and employs a structured change management process to evaluate and approve any adjustments.</w:t>
      </w:r>
    </w:p>
    <w:p w14:paraId="642666D8" w14:textId="7B31DDD6" w:rsidR="00E64825" w:rsidRPr="00E64825" w:rsidRDefault="00E64825" w:rsidP="00E64825">
      <w:pPr>
        <w:spacing w:line="276" w:lineRule="auto"/>
        <w:rPr>
          <w:rFonts w:ascii="Arial" w:hAnsi="Arial" w:cs="Arial"/>
        </w:rPr>
      </w:pPr>
      <w:r w:rsidRPr="00E64825">
        <w:rPr>
          <w:rFonts w:ascii="Arial" w:hAnsi="Arial" w:cs="Arial"/>
        </w:rPr>
        <w:lastRenderedPageBreak/>
        <w:t xml:space="preserve">Another factor that can influence the schedule is the availability of client resources. Project activities such as site inspections, system integrations, and training sessions require timely engagement from building engineers, IT staff, and operational stakeholders. To minimize the chance of delays, </w:t>
      </w:r>
      <w:proofErr w:type="spellStart"/>
      <w:r w:rsidRPr="00E64825">
        <w:rPr>
          <w:rFonts w:ascii="Arial" w:hAnsi="Arial" w:cs="Arial"/>
        </w:rPr>
        <w:t>Hydrosight</w:t>
      </w:r>
      <w:proofErr w:type="spellEnd"/>
      <w:r w:rsidRPr="00E64825">
        <w:rPr>
          <w:rFonts w:ascii="Arial" w:hAnsi="Arial" w:cs="Arial"/>
        </w:rPr>
        <w:t xml:space="preserve"> aligns resource schedules in advance, confirms backup support where necessary, and monitors critical dependencies throughout the project lifecycle.</w:t>
      </w:r>
    </w:p>
    <w:p w14:paraId="46473680" w14:textId="43185BB2" w:rsidR="00E64825" w:rsidRPr="00E64825" w:rsidRDefault="00E64825" w:rsidP="00E64825">
      <w:pPr>
        <w:spacing w:line="276" w:lineRule="auto"/>
        <w:rPr>
          <w:rFonts w:ascii="Arial" w:hAnsi="Arial" w:cs="Arial"/>
        </w:rPr>
      </w:pPr>
      <w:r w:rsidRPr="00E64825">
        <w:rPr>
          <w:rFonts w:ascii="Arial" w:hAnsi="Arial" w:cs="Arial"/>
        </w:rPr>
        <w:t>Technical risks, particularly related to integrating FlowSense with legacy or siloed systems, are addressed through thorough pre-deployment assessments and the use of proven middleware solutions where direct integration may be challenging. Similarly, data security and privacy remain top priorities. All project activities adhere to relevant regulatory requirements, and sensitive datasets used in testing are anonymized to prevent exposure.</w:t>
      </w:r>
    </w:p>
    <w:p w14:paraId="424102F1" w14:textId="1882865F" w:rsidR="00E64825" w:rsidRPr="00E64825" w:rsidRDefault="00E64825" w:rsidP="00E64825">
      <w:pPr>
        <w:spacing w:line="276" w:lineRule="auto"/>
        <w:rPr>
          <w:rFonts w:ascii="Arial" w:hAnsi="Arial" w:cs="Arial"/>
        </w:rPr>
      </w:pPr>
      <w:r w:rsidRPr="00E64825">
        <w:rPr>
          <w:rFonts w:ascii="Arial" w:hAnsi="Arial" w:cs="Arial"/>
        </w:rPr>
        <w:t xml:space="preserve">The ultimate success of FlowSense also depends on user adoption. </w:t>
      </w:r>
      <w:proofErr w:type="spellStart"/>
      <w:r w:rsidRPr="00E64825">
        <w:rPr>
          <w:rFonts w:ascii="Arial" w:hAnsi="Arial" w:cs="Arial"/>
        </w:rPr>
        <w:t>Hydrosight</w:t>
      </w:r>
      <w:proofErr w:type="spellEnd"/>
      <w:r w:rsidRPr="00E64825">
        <w:rPr>
          <w:rFonts w:ascii="Arial" w:hAnsi="Arial" w:cs="Arial"/>
        </w:rPr>
        <w:t xml:space="preserve"> mitigates this risk by conducting comprehensive training, offering ongoing support, and iteratively refining dashboards and alerts based on user feedback. Potential infrastructure limitations, such as low network bandwidth or </w:t>
      </w:r>
      <w:proofErr w:type="spellStart"/>
      <w:r w:rsidRPr="00E64825">
        <w:rPr>
          <w:rFonts w:ascii="Arial" w:hAnsi="Arial" w:cs="Arial"/>
        </w:rPr>
        <w:t>underprovisioned</w:t>
      </w:r>
      <w:proofErr w:type="spellEnd"/>
      <w:r w:rsidRPr="00E64825">
        <w:rPr>
          <w:rFonts w:ascii="Arial" w:hAnsi="Arial" w:cs="Arial"/>
        </w:rPr>
        <w:t xml:space="preserve"> servers, are proactively assessed, with recommendations provided to ensure reliable performance and scalability.</w:t>
      </w:r>
    </w:p>
    <w:p w14:paraId="6DC1A2C4" w14:textId="531AA6D3" w:rsidR="00E64825" w:rsidRPr="00E64825" w:rsidRDefault="00E64825" w:rsidP="00E64825">
      <w:pPr>
        <w:spacing w:line="276" w:lineRule="auto"/>
        <w:rPr>
          <w:rFonts w:ascii="Arial" w:hAnsi="Arial" w:cs="Arial"/>
        </w:rPr>
      </w:pPr>
      <w:r w:rsidRPr="00E64825">
        <w:rPr>
          <w:rFonts w:ascii="Arial" w:hAnsi="Arial" w:cs="Arial"/>
        </w:rPr>
        <w:t xml:space="preserve">By continuously monitoring risks and updating mitigation strategies, </w:t>
      </w:r>
      <w:proofErr w:type="spellStart"/>
      <w:r w:rsidRPr="00E64825">
        <w:rPr>
          <w:rFonts w:ascii="Arial" w:hAnsi="Arial" w:cs="Arial"/>
        </w:rPr>
        <w:t>Hydrosight</w:t>
      </w:r>
      <w:proofErr w:type="spellEnd"/>
      <w:r w:rsidRPr="00E64825">
        <w:rPr>
          <w:rFonts w:ascii="Arial" w:hAnsi="Arial" w:cs="Arial"/>
        </w:rPr>
        <w:t xml:space="preserve"> ensures that challenges are addressed before they can impact delivery. This proactive approach maintains project momentum, safeguards timelines, and supports a successful, high-performing FlowSense deployment.</w:t>
      </w:r>
    </w:p>
    <w:sectPr w:rsidR="00E64825" w:rsidRPr="00E6482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E7F51"/>
    <w:multiLevelType w:val="multilevel"/>
    <w:tmpl w:val="4D508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8D1731"/>
    <w:multiLevelType w:val="multilevel"/>
    <w:tmpl w:val="E90AA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EA5ACA"/>
    <w:multiLevelType w:val="multilevel"/>
    <w:tmpl w:val="942CC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EE243E"/>
    <w:multiLevelType w:val="multilevel"/>
    <w:tmpl w:val="510CA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AD4E39"/>
    <w:multiLevelType w:val="multilevel"/>
    <w:tmpl w:val="596E4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143DE6"/>
    <w:multiLevelType w:val="multilevel"/>
    <w:tmpl w:val="B1CEC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2C16BE"/>
    <w:multiLevelType w:val="multilevel"/>
    <w:tmpl w:val="56183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8535DA"/>
    <w:multiLevelType w:val="multilevel"/>
    <w:tmpl w:val="62D05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A15DB1"/>
    <w:multiLevelType w:val="multilevel"/>
    <w:tmpl w:val="32DCA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584E20"/>
    <w:multiLevelType w:val="multilevel"/>
    <w:tmpl w:val="C29A0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2343B3"/>
    <w:multiLevelType w:val="multilevel"/>
    <w:tmpl w:val="CF440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2D1004"/>
    <w:multiLevelType w:val="multilevel"/>
    <w:tmpl w:val="219CB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4F06B5"/>
    <w:multiLevelType w:val="multilevel"/>
    <w:tmpl w:val="1AAEE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E657C6"/>
    <w:multiLevelType w:val="multilevel"/>
    <w:tmpl w:val="2C58B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F5157D"/>
    <w:multiLevelType w:val="multilevel"/>
    <w:tmpl w:val="3CC6F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9B7437"/>
    <w:multiLevelType w:val="multilevel"/>
    <w:tmpl w:val="40268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EA2642"/>
    <w:multiLevelType w:val="multilevel"/>
    <w:tmpl w:val="BB28A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3D4F95"/>
    <w:multiLevelType w:val="multilevel"/>
    <w:tmpl w:val="76ECB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BF429F"/>
    <w:multiLevelType w:val="multilevel"/>
    <w:tmpl w:val="431E3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BB52F06"/>
    <w:multiLevelType w:val="multilevel"/>
    <w:tmpl w:val="78D64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0620859">
    <w:abstractNumId w:val="10"/>
  </w:num>
  <w:num w:numId="2" w16cid:durableId="94981392">
    <w:abstractNumId w:val="4"/>
  </w:num>
  <w:num w:numId="3" w16cid:durableId="464394195">
    <w:abstractNumId w:val="7"/>
  </w:num>
  <w:num w:numId="4" w16cid:durableId="1425615388">
    <w:abstractNumId w:val="6"/>
  </w:num>
  <w:num w:numId="5" w16cid:durableId="262225726">
    <w:abstractNumId w:val="9"/>
  </w:num>
  <w:num w:numId="6" w16cid:durableId="1186868372">
    <w:abstractNumId w:val="17"/>
  </w:num>
  <w:num w:numId="7" w16cid:durableId="83645758">
    <w:abstractNumId w:val="16"/>
  </w:num>
  <w:num w:numId="8" w16cid:durableId="855508491">
    <w:abstractNumId w:val="18"/>
  </w:num>
  <w:num w:numId="9" w16cid:durableId="109710003">
    <w:abstractNumId w:val="19"/>
  </w:num>
  <w:num w:numId="10" w16cid:durableId="1553037898">
    <w:abstractNumId w:val="3"/>
  </w:num>
  <w:num w:numId="11" w16cid:durableId="1404259255">
    <w:abstractNumId w:val="8"/>
  </w:num>
  <w:num w:numId="12" w16cid:durableId="2123181372">
    <w:abstractNumId w:val="14"/>
  </w:num>
  <w:num w:numId="13" w16cid:durableId="190849320">
    <w:abstractNumId w:val="0"/>
  </w:num>
  <w:num w:numId="14" w16cid:durableId="782307931">
    <w:abstractNumId w:val="5"/>
  </w:num>
  <w:num w:numId="15" w16cid:durableId="1234122570">
    <w:abstractNumId w:val="15"/>
  </w:num>
  <w:num w:numId="16" w16cid:durableId="1129202691">
    <w:abstractNumId w:val="11"/>
  </w:num>
  <w:num w:numId="17" w16cid:durableId="782921427">
    <w:abstractNumId w:val="12"/>
  </w:num>
  <w:num w:numId="18" w16cid:durableId="278345064">
    <w:abstractNumId w:val="13"/>
  </w:num>
  <w:num w:numId="19" w16cid:durableId="1807237431">
    <w:abstractNumId w:val="1"/>
  </w:num>
  <w:num w:numId="20" w16cid:durableId="19220591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EB8"/>
    <w:rsid w:val="00022D98"/>
    <w:rsid w:val="000D23A5"/>
    <w:rsid w:val="000E4110"/>
    <w:rsid w:val="002020C9"/>
    <w:rsid w:val="0035317A"/>
    <w:rsid w:val="00483310"/>
    <w:rsid w:val="004F344A"/>
    <w:rsid w:val="00643B21"/>
    <w:rsid w:val="00667373"/>
    <w:rsid w:val="00763EA1"/>
    <w:rsid w:val="00866C84"/>
    <w:rsid w:val="00957EB8"/>
    <w:rsid w:val="00A567B8"/>
    <w:rsid w:val="00AD5E87"/>
    <w:rsid w:val="00AE6DA8"/>
    <w:rsid w:val="00B334AB"/>
    <w:rsid w:val="00B52352"/>
    <w:rsid w:val="00DF2A0B"/>
    <w:rsid w:val="00E64825"/>
    <w:rsid w:val="00E87819"/>
    <w:rsid w:val="00F1764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5991C"/>
  <w15:chartTrackingRefBased/>
  <w15:docId w15:val="{7AC688C7-FD44-4230-BC31-C23FABEE4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P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7E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7E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7E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7E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7E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7E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7E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7E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7E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7E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7E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7E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7E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7E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7E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7E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7E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7EB8"/>
    <w:rPr>
      <w:rFonts w:eastAsiaTheme="majorEastAsia" w:cstheme="majorBidi"/>
      <w:color w:val="272727" w:themeColor="text1" w:themeTint="D8"/>
    </w:rPr>
  </w:style>
  <w:style w:type="paragraph" w:styleId="Title">
    <w:name w:val="Title"/>
    <w:basedOn w:val="Normal"/>
    <w:next w:val="Normal"/>
    <w:link w:val="TitleChar"/>
    <w:uiPriority w:val="10"/>
    <w:qFormat/>
    <w:rsid w:val="00957E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7E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7E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7E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7EB8"/>
    <w:pPr>
      <w:spacing w:before="160"/>
      <w:jc w:val="center"/>
    </w:pPr>
    <w:rPr>
      <w:i/>
      <w:iCs/>
      <w:color w:val="404040" w:themeColor="text1" w:themeTint="BF"/>
    </w:rPr>
  </w:style>
  <w:style w:type="character" w:customStyle="1" w:styleId="QuoteChar">
    <w:name w:val="Quote Char"/>
    <w:basedOn w:val="DefaultParagraphFont"/>
    <w:link w:val="Quote"/>
    <w:uiPriority w:val="29"/>
    <w:rsid w:val="00957EB8"/>
    <w:rPr>
      <w:i/>
      <w:iCs/>
      <w:color w:val="404040" w:themeColor="text1" w:themeTint="BF"/>
    </w:rPr>
  </w:style>
  <w:style w:type="paragraph" w:styleId="ListParagraph">
    <w:name w:val="List Paragraph"/>
    <w:basedOn w:val="Normal"/>
    <w:uiPriority w:val="34"/>
    <w:qFormat/>
    <w:rsid w:val="00957EB8"/>
    <w:pPr>
      <w:ind w:left="720"/>
      <w:contextualSpacing/>
    </w:pPr>
  </w:style>
  <w:style w:type="character" w:styleId="IntenseEmphasis">
    <w:name w:val="Intense Emphasis"/>
    <w:basedOn w:val="DefaultParagraphFont"/>
    <w:uiPriority w:val="21"/>
    <w:qFormat/>
    <w:rsid w:val="00957EB8"/>
    <w:rPr>
      <w:i/>
      <w:iCs/>
      <w:color w:val="0F4761" w:themeColor="accent1" w:themeShade="BF"/>
    </w:rPr>
  </w:style>
  <w:style w:type="paragraph" w:styleId="IntenseQuote">
    <w:name w:val="Intense Quote"/>
    <w:basedOn w:val="Normal"/>
    <w:next w:val="Normal"/>
    <w:link w:val="IntenseQuoteChar"/>
    <w:uiPriority w:val="30"/>
    <w:qFormat/>
    <w:rsid w:val="00957E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7EB8"/>
    <w:rPr>
      <w:i/>
      <w:iCs/>
      <w:color w:val="0F4761" w:themeColor="accent1" w:themeShade="BF"/>
    </w:rPr>
  </w:style>
  <w:style w:type="character" w:styleId="IntenseReference">
    <w:name w:val="Intense Reference"/>
    <w:basedOn w:val="DefaultParagraphFont"/>
    <w:uiPriority w:val="32"/>
    <w:qFormat/>
    <w:rsid w:val="00957EB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1068</Words>
  <Characters>6094</Characters>
  <Application>Microsoft Office Word</Application>
  <DocSecurity>0</DocSecurity>
  <Lines>50</Lines>
  <Paragraphs>14</Paragraphs>
  <ScaleCrop>false</ScaleCrop>
  <Company/>
  <LinksUpToDate>false</LinksUpToDate>
  <CharactersWithSpaces>7148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Jyanne Therese Perez</dc:creator>
  <cp:keywords/>
  <dc:description/>
  <cp:lastModifiedBy>Jyanne Therese Perez</cp:lastModifiedBy>
  <cp:revision>17</cp:revision>
  <dcterms:created xsi:type="dcterms:W3CDTF">2025-07-18T15:28:00Z</dcterms:created>
  <dcterms:modified xsi:type="dcterms:W3CDTF">2025-08-06T15:03:00Z</dcterms:modified>
</cp:coreProperties>
</file>