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567" w:firstLine="0"/>
        <w:jc w:val="left"/>
      </w:pPr>
      <w:r>
        <w:rPr>
          <w:rFonts w:ascii="Times New Roman" w:cs="Times New Roman" w:eastAsia="Times New Roman" w:hAnsi="Times New Roman"/>
          <w:sz w:val="28"/>
          <w:szCs w:val="28"/>
          <w:lang w:val="uk-UA"/>
        </w:rPr>
        <w:t xml:space="preserve">УДК 004.85:534.3</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0"/>
        <w:jc w:val="center"/>
      </w:pPr>
      <w:r>
        <w:rPr>
          <w:rFonts w:ascii="Times New Roman" w:cs="Times New Roman" w:eastAsia="Times New Roman" w:hAnsi="Times New Roman"/>
          <w:b w:val="1"/>
          <w:bCs w:val="1"/>
          <w:sz w:val="28"/>
          <w:szCs w:val="28"/>
          <w:lang w:val="uk-UA"/>
        </w:rPr>
        <w:t xml:space="preserve">Д-р фіз.-мат. наук, проф. Лось В. М., магістрант Омельченко І. Ю.</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0"/>
        <w:jc w:val="center"/>
      </w:pPr>
      <w:r>
        <w:rPr>
          <w:rFonts w:ascii="Times New Roman" w:cs="Times New Roman" w:eastAsia="Times New Roman" w:hAnsi="Times New Roman"/>
          <w:b w:val="1"/>
          <w:bCs w:val="1"/>
          <w:sz w:val="28"/>
          <w:szCs w:val="28"/>
          <w:lang w:val="uk-UA"/>
        </w:rPr>
        <w:t xml:space="preserve">Національний технічний університет України</w:t>
      </w:r>
    </w:p>
    <w:p>
      <w:pPr>
        <w:spacing w:after="0" w:before="0" w:line="240" w:lineRule="auto"/>
        <w:ind w:left="0" w:firstLine="0"/>
        <w:jc w:val="center"/>
      </w:pPr>
      <w:r>
        <w:rPr>
          <w:rFonts w:ascii="Times New Roman" w:cs="Times New Roman" w:eastAsia="Times New Roman" w:hAnsi="Times New Roman"/>
          <w:b w:val="1"/>
          <w:bCs w:val="1"/>
          <w:sz w:val="28"/>
          <w:szCs w:val="28"/>
          <w:lang w:val="uk-UA"/>
        </w:rPr>
        <w:t xml:space="preserve">«Київський політехнічний інститут імені Ігоря Сікорського»</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pStyle w:val="Title"/>
        <w:spacing w:after="0" w:before="0" w:line="240" w:lineRule="auto"/>
        <w:ind w:left="0" w:firstLine="0"/>
        <w:jc w:val="center"/>
      </w:pPr>
      <w:r>
        <w:rPr>
          <w:rFonts w:ascii="Times New Roman" w:cs="Times New Roman" w:eastAsia="Times New Roman" w:hAnsi="Times New Roman"/>
          <w:b w:val="1"/>
          <w:bCs w:val="1"/>
          <w:sz w:val="32"/>
          <w:szCs w:val="32"/>
          <w:lang w:val="uk-UA"/>
        </w:rPr>
        <w:t xml:space="preserve">МОДЕЛЬ РОЗПІЗНАВАННЯ МУЗИЧНИХ ІНСТРУМЕНТІВ У БАГАТОІНСТРУМЕНТНИХ ЗВУКОВИХ ЗАПИСАХ</w:t>
      </w:r>
    </w:p>
    <w:p>
      <w:pPr>
        <w:spacing w:after="0" w:before="0" w:line="240" w:lineRule="auto"/>
        <w:ind w:left="0" w:firstLine="566"/>
        <w:jc w:val="both"/>
      </w:pPr>
      <w:r>
        <w:rPr>
          <w:rFonts w:ascii="Times New Roman" w:cs="Times New Roman" w:eastAsia="Times New Roman" w:hAnsi="Times New Roman"/>
          <w:sz w:val="24"/>
          <w:szCs w:val="24"/>
          <w:lang w:val="uk-UA"/>
        </w:rPr>
        <w:t xml:space="preserve"/>
      </w:r>
    </w:p>
    <w:p>
      <w:pPr>
        <w:spacing w:after="0" w:before="0" w:line="240" w:lineRule="auto"/>
        <w:ind w:left="0" w:firstLine="0"/>
        <w:jc w:val="left"/>
      </w:pPr>
      <w:r>
        <w:rPr>
          <w:rFonts w:ascii="Times New Roman" w:cs="Times New Roman" w:eastAsia="Times New Roman" w:hAnsi="Times New Roman"/>
          <w:b w:val="1"/>
          <w:bCs w:val="1"/>
          <w:sz w:val="28"/>
          <w:szCs w:val="28"/>
          <w:lang w:val="en-GB"/>
        </w:rPr>
        <w:t xml:space="preserve">Abstract</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0"/>
        <w:jc w:val="center"/>
      </w:pPr>
      <w:r>
        <w:rPr>
          <w:rFonts w:ascii="Times New Roman" w:cs="Times New Roman" w:eastAsia="Times New Roman" w:hAnsi="Times New Roman"/>
          <w:b w:val="1"/>
          <w:bCs w:val="1"/>
          <w:sz w:val="24"/>
          <w:szCs w:val="24"/>
          <w:lang w:val="en-GB"/>
        </w:rPr>
        <w:t xml:space="preserve">Valerii Los, prof., Dr. Sci.; Ivan Omelchenko, master student</w:t>
      </w:r>
    </w:p>
    <w:p>
      <w:pPr>
        <w:spacing w:after="0" w:before="0" w:line="240" w:lineRule="auto"/>
        <w:ind w:left="0" w:firstLine="0"/>
        <w:jc w:val="center"/>
      </w:pPr>
      <w:r>
        <w:rPr>
          <w:rFonts w:ascii="Times New Roman" w:cs="Times New Roman" w:eastAsia="Times New Roman" w:hAnsi="Times New Roman"/>
          <w:b w:val="1"/>
          <w:bCs w:val="1"/>
          <w:i w:val="1"/>
          <w:iCs w:val="1"/>
          <w:sz w:val="24"/>
          <w:szCs w:val="24"/>
          <w:lang w:val="en-GB"/>
        </w:rPr>
        <w:t xml:space="preserve">A MODEL FOR MUSICAL INSTRUMENT RECOGNITION IN MULTI-INSTRUMENT AUDIO RECORDINGS</w:t>
      </w:r>
    </w:p>
    <w:p>
      <w:pPr>
        <w:spacing w:after="0" w:before="0" w:line="240" w:lineRule="auto"/>
        <w:ind w:left="0" w:firstLine="566"/>
        <w:jc w:val="both"/>
      </w:pPr>
      <w:r>
        <w:rPr>
          <w:rFonts w:ascii="Times New Roman" w:cs="Times New Roman" w:eastAsia="Times New Roman" w:hAnsi="Times New Roman"/>
          <w:i w:val="1"/>
          <w:iCs w:val="1"/>
          <w:sz w:val="24"/>
          <w:szCs w:val="24"/>
          <w:lang w:val="en-GB"/>
        </w:rPr>
        <w:t xml:space="preserve">The paper considers automatic recognition of musical instruments in multi-instrument audio recordings. A convolutional neural network is proposed whose first layer combines square, temporal and timbral filters, the latter applied on a logarithmic frequency axis so that each filter covers a constant musical interval regardless of pitch. To reduce the mismatch between single-instrument training data and multi-instrument test data, the model is trained on synthetic mixtures obtained by adding training excerpts in linear power. On the IRMAS dataset, with a validation split grouped by recordings and a decision threshold chosen without test data, the model achieves a macro-averaged F1-score of 0.524 ± 0.004 and a micro-averaged F1-score of 0.614 ± 0.004 over five runs, exceeding the published results of known convolutional models with 656 thousand parameters.</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pStyle w:val="Heading1"/>
        <w:keepNext w:val="1"/>
        <w:spacing w:after="0" w:before="0" w:line="240" w:lineRule="auto"/>
        <w:ind w:left="0" w:firstLine="566"/>
        <w:jc w:val="both"/>
      </w:pPr>
      <w:r>
        <w:rPr>
          <w:rFonts w:ascii="Times New Roman" w:cs="Times New Roman" w:eastAsia="Times New Roman" w:hAnsi="Times New Roman"/>
          <w:b w:val="1"/>
          <w:bCs w:val="1"/>
          <w:sz w:val="28"/>
          <w:szCs w:val="28"/>
          <w:lang w:val="uk-UA"/>
        </w:rPr>
        <w:t xml:space="preserve">Вступ</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566"/>
        <w:jc w:val="both"/>
      </w:pPr>
      <w:r>
        <w:rPr>
          <w:rFonts w:ascii="Times New Roman" w:cs="Times New Roman" w:eastAsia="Times New Roman" w:hAnsi="Times New Roman"/>
          <w:sz w:val="28"/>
          <w:szCs w:val="28"/>
          <w:lang w:val="uk-UA"/>
        </w:rPr>
        <w:t xml:space="preserve">Інформація про інструментальний склад звукових записів потрібна для каталогізації та пошуку в музичних колекціях, побудови рекомендаційних систем і музикознавчого аналізу. Ручне анотування великих колекцій потребує значних витрат часу, тому актуальною є задача автоматичного розпізнавання музичних інструментів.</w:t>
      </w:r>
    </w:p>
    <w:p>
      <w:pPr>
        <w:spacing w:after="0" w:before="0" w:line="240" w:lineRule="auto"/>
        <w:ind w:left="0" w:firstLine="566"/>
        <w:jc w:val="both"/>
      </w:pPr>
      <w:r>
        <w:rPr>
          <w:rFonts w:ascii="Times New Roman" w:cs="Times New Roman" w:eastAsia="Times New Roman" w:hAnsi="Times New Roman"/>
          <w:sz w:val="28"/>
          <w:szCs w:val="28"/>
          <w:lang w:val="uk-UA"/>
        </w:rPr>
        <w:t xml:space="preserve">Найскладнішим є випадок багатоінструментних записів, у яких кілька інструментів звучать одночасно. Найкращі опубліковані згорткові моделі на стандартному наборі даних IRMAS досягають макроусередненої F1-міри 0,503 [1] та 0,516 [2], проте навчаються на фрагментах з одним інструментом, а застосовуються до записів з кількома інструментами.</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pStyle w:val="Heading1"/>
        <w:keepNext w:val="1"/>
        <w:spacing w:after="0" w:before="0" w:line="240" w:lineRule="auto"/>
        <w:ind w:left="0" w:firstLine="566"/>
        <w:jc w:val="both"/>
      </w:pPr>
      <w:r>
        <w:rPr>
          <w:rFonts w:ascii="Times New Roman" w:cs="Times New Roman" w:eastAsia="Times New Roman" w:hAnsi="Times New Roman"/>
          <w:b w:val="1"/>
          <w:bCs w:val="1"/>
          <w:sz w:val="28"/>
          <w:szCs w:val="28"/>
          <w:lang w:val="uk-UA"/>
        </w:rPr>
        <w:t xml:space="preserve">Постановка задачі</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566"/>
        <w:jc w:val="both"/>
      </w:pPr>
      <w:r>
        <w:rPr>
          <w:rFonts w:ascii="Times New Roman" w:cs="Times New Roman" w:eastAsia="Times New Roman" w:hAnsi="Times New Roman"/>
          <w:sz w:val="28"/>
          <w:szCs w:val="28"/>
          <w:lang w:val="uk-UA"/>
        </w:rPr>
        <w:t xml:space="preserve">Метою роботи є підвищення точності розпізнавання музичних інструментів у багатоінструментних звукових записах шляхом розроблення моделі згорткової нейронної мережі з музично обґрунтованими фільтрами та методу її навчання на синтетичних сумішах записів.</w:t>
      </w:r>
    </w:p>
    <w:p>
      <w:pPr>
        <w:spacing w:after="0" w:before="0" w:line="240" w:lineRule="auto"/>
        <w:ind w:left="0" w:firstLine="566"/>
        <w:jc w:val="both"/>
      </w:pPr>
      <w:r>
        <w:rPr>
          <w:rFonts w:ascii="Times New Roman" w:cs="Times New Roman" w:eastAsia="Times New Roman" w:hAnsi="Times New Roman"/>
          <w:sz w:val="28"/>
          <w:szCs w:val="28"/>
          <w:lang w:val="uk-UA"/>
        </w:rPr>
        <w:t xml:space="preserve">Задача формулюється як багатоміткова класифікація: для запису потрібно визначити вектор </w:t>
      </w:r>
      <m:oMath>
        <m:acc>
          <m:accPr>
            <m:chr m:val="̂"/>
          </m:accPr>
          <m:e>
            <m:r>
              <w:rPr>
                <w:rFonts w:ascii="Cambria Math" w:hAnsi="Cambria Math"/>
                <w:sz w:val="28"/>
              </w:rPr>
              <m:t xml:space="preserve">y</m:t>
            </m:r>
          </m:e>
        </m:acc>
        <m:r>
          <w:rPr>
            <w:rFonts w:ascii="Cambria Math" w:hAnsi="Cambria Math"/>
            <w:sz w:val="28"/>
          </w:rPr>
          <m:t xml:space="preserve">∈</m:t>
        </m:r>
        <m:sSup>
          <m:e>
            <m:d>
              <m:dPr>
                <m:begChr m:val="{"/>
                <m:endChr m:val="}"/>
              </m:dPr>
              <m:e>
                <m:r>
                  <w:rPr>
                    <w:rFonts w:ascii="Cambria Math" w:hAnsi="Cambria Math"/>
                    <w:sz w:val="28"/>
                  </w:rPr>
                  <m:t xml:space="preserve">0,1</m:t>
                </m:r>
              </m:e>
            </m:d>
          </m:e>
          <m:sup>
            <m:r>
              <w:rPr>
                <w:rFonts w:ascii="Cambria Math" w:hAnsi="Cambria Math"/>
                <w:sz w:val="28"/>
              </w:rPr>
              <m:t xml:space="preserve">K</m:t>
            </m:r>
          </m:sup>
        </m:sSup>
      </m:oMath>
      <w:r>
        <w:rPr>
          <w:rFonts w:ascii="Times New Roman" w:cs="Times New Roman" w:eastAsia="Times New Roman" w:hAnsi="Times New Roman"/>
          <w:sz w:val="28"/>
          <w:szCs w:val="28"/>
          <w:lang w:val="uk-UA"/>
        </w:rPr>
        <w:t xml:space="preserve">, у якому одиниця відповідає присутньому інструменту, </w:t>
      </w:r>
      <m:oMath>
        <m:r>
          <w:rPr>
            <w:rFonts w:ascii="Cambria Math" w:hAnsi="Cambria Math"/>
            <w:sz w:val="28"/>
          </w:rPr>
          <m:t xml:space="preserve">K=11</m:t>
        </m:r>
      </m:oMath>
      <w:r>
        <w:rPr>
          <w:rFonts w:ascii="Times New Roman" w:cs="Times New Roman" w:eastAsia="Times New Roman" w:hAnsi="Times New Roman"/>
          <w:sz w:val="28"/>
          <w:szCs w:val="28"/>
          <w:lang w:val="uk-UA"/>
        </w:rPr>
        <w:t xml:space="preserve">. Навчальні фрагменти набору IRMAS тривалістю 3 с позначено одним переважаючим інструментом, а тестові записи тривалістю 5–20 с одним або кількома [3].</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pStyle w:val="Heading1"/>
        <w:keepNext w:val="1"/>
        <w:spacing w:after="0" w:before="0" w:line="240" w:lineRule="auto"/>
        <w:ind w:left="0" w:firstLine="566"/>
        <w:jc w:val="both"/>
      </w:pPr>
      <w:r>
        <w:rPr>
          <w:rFonts w:ascii="Times New Roman" w:cs="Times New Roman" w:eastAsia="Times New Roman" w:hAnsi="Times New Roman"/>
          <w:b w:val="1"/>
          <w:bCs w:val="1"/>
          <w:sz w:val="28"/>
          <w:szCs w:val="28"/>
          <w:lang w:val="uk-UA"/>
        </w:rPr>
        <w:t xml:space="preserve">Тембральні фільтри на логарифмічній частотній осі</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566"/>
        <w:jc w:val="both"/>
      </w:pPr>
      <w:r>
        <w:rPr>
          <w:rFonts w:ascii="Times New Roman" w:cs="Times New Roman" w:eastAsia="Times New Roman" w:hAnsi="Times New Roman"/>
          <w:sz w:val="28"/>
          <w:szCs w:val="28"/>
          <w:lang w:val="uk-UA"/>
        </w:rPr>
        <w:t xml:space="preserve">Вхідними даними моделі є логарифмічна мел-спектрограма з 128 смугами та її часові похідні. Для музично обґрунтованих фільтрів [2] важливо, скільки смуг припадає на одну октаву. Номер мел-смуги для частоти </w:t>
      </w:r>
      <m:oMath>
        <m:r>
          <w:rPr>
            <w:rFonts w:ascii="Cambria Math" w:hAnsi="Cambria Math"/>
            <w:sz w:val="28"/>
          </w:rPr>
          <m:t xml:space="preserve">f</m:t>
        </m:r>
      </m:oMath>
      <w:r>
        <w:rPr>
          <w:rFonts w:ascii="Times New Roman" w:cs="Times New Roman" w:eastAsia="Times New Roman" w:hAnsi="Times New Roman"/>
          <w:sz w:val="28"/>
          <w:szCs w:val="28"/>
          <w:lang w:val="uk-UA"/>
        </w:rPr>
        <w:t xml:space="preserve"> дорівнює </w:t>
      </w:r>
      <m:oMath>
        <m:r>
          <w:rPr>
            <w:rFonts w:ascii="Cambria Math" w:hAnsi="Cambria Math"/>
            <w:sz w:val="28"/>
          </w:rPr>
          <m:t xml:space="preserve">μ</m:t>
        </m:r>
        <m:d>
          <m:dPr>
            <m:begChr m:val="("/>
            <m:endChr m:val=")"/>
          </m:dPr>
          <m:e>
            <m:r>
              <w:rPr>
                <w:rFonts w:ascii="Cambria Math" w:hAnsi="Cambria Math"/>
                <w:sz w:val="28"/>
              </w:rPr>
              <m:t xml:space="preserve">f</m:t>
            </m:r>
          </m:e>
        </m:d>
        <m:r>
          <w:rPr>
            <w:rFonts w:ascii="Cambria Math" w:hAnsi="Cambria Math"/>
            <w:sz w:val="28"/>
          </w:rPr>
          <m:t xml:space="preserve">/</m:t>
        </m:r>
        <m:r>
          <w:rPr>
            <w:rFonts w:ascii="Cambria Math" w:hAnsi="Cambria Math"/>
            <w:sz w:val="28"/>
          </w:rPr>
          <m:t xml:space="preserve">Δμ</m:t>
        </m:r>
      </m:oMath>
      <w:r>
        <w:rPr>
          <w:rFonts w:ascii="Times New Roman" w:cs="Times New Roman" w:eastAsia="Times New Roman" w:hAnsi="Times New Roman"/>
          <w:sz w:val="28"/>
          <w:szCs w:val="28"/>
          <w:lang w:val="uk-UA"/>
        </w:rPr>
        <w:t xml:space="preserve">, де </w:t>
      </w:r>
      <m:oMath>
        <m:r>
          <w:rPr>
            <w:rFonts w:ascii="Cambria Math" w:hAnsi="Cambria Math"/>
            <w:sz w:val="28"/>
          </w:rPr>
          <m:t xml:space="preserve">μ</m:t>
        </m:r>
        <m:d>
          <m:dPr>
            <m:begChr m:val="("/>
            <m:endChr m:val=")"/>
          </m:dPr>
          <m:e>
            <m:r>
              <w:rPr>
                <w:rFonts w:ascii="Cambria Math" w:hAnsi="Cambria Math"/>
                <w:sz w:val="28"/>
              </w:rPr>
              <m:t xml:space="preserve">f</m:t>
            </m:r>
          </m:e>
        </m:d>
        <m:r>
          <w:rPr>
            <w:rFonts w:ascii="Cambria Math" w:hAnsi="Cambria Math"/>
            <w:sz w:val="28"/>
          </w:rPr>
          <m:t xml:space="preserve">=2595</m:t>
        </m:r>
        <m:sSub>
          <m:e>
            <m:r>
              <m:rPr>
                <m:sty m:val="p"/>
              </m:rPr>
              <w:rPr>
                <w:rFonts w:ascii="Cambria Math" w:hAnsi="Cambria Math"/>
                <w:sz w:val="28"/>
              </w:rPr>
              <m:t xml:space="preserve">log</m:t>
            </m:r>
          </m:e>
          <m:sub>
            <m:r>
              <w:rPr>
                <w:rFonts w:ascii="Cambria Math" w:hAnsi="Cambria Math"/>
                <w:sz w:val="28"/>
              </w:rPr>
              <m:t xml:space="preserve">10</m:t>
            </m:r>
          </m:sub>
        </m:sSub>
        <m:d>
          <m:dPr>
            <m:begChr m:val="("/>
            <m:endChr m:val=")"/>
          </m:dPr>
          <m:e>
            <m:r>
              <w:rPr>
                <w:rFonts w:ascii="Cambria Math" w:hAnsi="Cambria Math"/>
                <w:sz w:val="28"/>
              </w:rPr>
              <m:t xml:space="preserve">1+</m:t>
            </m:r>
            <m:r>
              <w:rPr>
                <w:rFonts w:ascii="Cambria Math" w:hAnsi="Cambria Math"/>
                <w:sz w:val="28"/>
              </w:rPr>
              <m:t xml:space="preserve">f</m:t>
            </m:r>
            <m:r>
              <w:rPr>
                <w:rFonts w:ascii="Cambria Math" w:hAnsi="Cambria Math"/>
                <w:sz w:val="28"/>
              </w:rPr>
              <m:t xml:space="preserve">/700</m:t>
            </m:r>
          </m:e>
        </m:d>
      </m:oMath>
      <w:r>
        <w:rPr>
          <w:rFonts w:ascii="Times New Roman" w:cs="Times New Roman" w:eastAsia="Times New Roman" w:hAnsi="Times New Roman"/>
          <w:sz w:val="28"/>
          <w:szCs w:val="28"/>
          <w:lang w:val="uk-UA"/>
        </w:rPr>
        <w:t xml:space="preserve">, тому кількість смуг в октаві </w:t>
      </w:r>
      <m:oMath>
        <m:r>
          <w:rPr>
            <w:rFonts w:ascii="Cambria Math" w:hAnsi="Cambria Math"/>
            <w:sz w:val="28"/>
          </w:rPr>
          <m:t xml:space="preserve">[f; 2f]</m:t>
        </m:r>
      </m:oMath>
      <w:r>
        <w:rPr>
          <w:rFonts w:ascii="Times New Roman" w:cs="Times New Roman" w:eastAsia="Times New Roman" w:hAnsi="Times New Roman"/>
          <w:sz w:val="28"/>
          <w:szCs w:val="28"/>
          <w:lang w:val="uk-UA"/>
        </w:rPr>
        <w:t xml:space="preserve"> становить</w:t>
      </w:r>
    </w:p>
    <w:p>
      <w:pPr>
        <w:spacing w:after="120" w:before="120" w:line="240" w:lineRule="auto"/>
        <w:ind w:left="0" w:firstLine="0"/>
        <w:jc w:val="center"/>
      </w:pPr>
      <m:oMathPara>
        <m:oMathParaPr>
          <m:jc m:val="center"/>
        </m:oMathParaPr>
        <m:oMath>
          <m:sSub>
            <m:e>
              <m:r>
                <w:rPr>
                  <w:rFonts w:ascii="Cambria Math" w:hAnsi="Cambria Math"/>
                  <w:sz w:val="28"/>
                </w:rPr>
                <m:t xml:space="preserve">N</m:t>
              </m:r>
            </m:e>
            <m:sub>
              <m:r>
                <m:rPr>
                  <m:sty m:val="p"/>
                </m:rPr>
                <w:rPr>
                  <w:rFonts w:ascii="Cambria Math" w:hAnsi="Cambria Math"/>
                  <w:sz w:val="28"/>
                </w:rPr>
                <m:t xml:space="preserve">окт</m:t>
              </m:r>
            </m:sub>
          </m:sSub>
          <m:d>
            <m:dPr>
              <m:begChr m:val="("/>
              <m:endChr m:val=")"/>
            </m:dPr>
            <m:e>
              <m:r>
                <w:rPr>
                  <w:rFonts w:ascii="Cambria Math" w:hAnsi="Cambria Math"/>
                  <w:sz w:val="28"/>
                </w:rPr>
                <m:t xml:space="preserve">f</m:t>
              </m:r>
            </m:e>
          </m:d>
          <m:r>
            <w:rPr>
              <w:rFonts w:ascii="Cambria Math" w:hAnsi="Cambria Math"/>
              <w:sz w:val="28"/>
            </w:rPr>
            <m:t xml:space="preserve">=</m:t>
          </m:r>
          <m:f>
            <m:num>
              <m:r>
                <w:rPr>
                  <w:rFonts w:ascii="Cambria Math" w:hAnsi="Cambria Math"/>
                  <w:sz w:val="28"/>
                </w:rPr>
                <m:t xml:space="preserve">2595</m:t>
              </m:r>
            </m:num>
            <m:den>
              <m:r>
                <w:rPr>
                  <w:rFonts w:ascii="Cambria Math" w:hAnsi="Cambria Math"/>
                  <w:sz w:val="28"/>
                </w:rPr>
                <m:t xml:space="preserve">Δμ</m:t>
              </m:r>
            </m:den>
          </m:f>
          <m:r>
            <w:rPr>
              <w:rFonts w:ascii="Cambria Math" w:hAnsi="Cambria Math"/>
              <w:sz w:val="28"/>
            </w:rPr>
            <m:t xml:space="preserve">·</m:t>
          </m:r>
          <m:sSub>
            <m:e>
              <m:r>
                <m:rPr>
                  <m:sty m:val="p"/>
                </m:rPr>
                <w:rPr>
                  <w:rFonts w:ascii="Cambria Math" w:hAnsi="Cambria Math"/>
                  <w:sz w:val="28"/>
                </w:rPr>
                <m:t xml:space="preserve">log</m:t>
              </m:r>
            </m:e>
            <m:sub>
              <m:r>
                <w:rPr>
                  <w:rFonts w:ascii="Cambria Math" w:hAnsi="Cambria Math"/>
                  <w:sz w:val="28"/>
                </w:rPr>
                <m:t xml:space="preserve">10</m:t>
              </m:r>
            </m:sub>
          </m:sSub>
          <m:f>
            <m:num>
              <m:r>
                <w:rPr>
                  <w:rFonts w:ascii="Cambria Math" w:hAnsi="Cambria Math"/>
                  <w:sz w:val="28"/>
                </w:rPr>
                <m:t xml:space="preserve">700+2</m:t>
              </m:r>
              <m:r>
                <w:rPr>
                  <w:rFonts w:ascii="Cambria Math" w:hAnsi="Cambria Math"/>
                  <w:sz w:val="28"/>
                </w:rPr>
                <m:t xml:space="preserve">f</m:t>
              </m:r>
            </m:num>
            <m:den>
              <m:r>
                <w:rPr>
                  <w:rFonts w:ascii="Cambria Math" w:hAnsi="Cambria Math"/>
                  <w:sz w:val="28"/>
                </w:rPr>
                <m:t xml:space="preserve">700+</m:t>
              </m:r>
              <m:r>
                <w:rPr>
                  <w:rFonts w:ascii="Cambria Math" w:hAnsi="Cambria Math"/>
                  <w:sz w:val="28"/>
                </w:rPr>
                <m:t xml:space="preserve">f</m:t>
              </m:r>
            </m:den>
          </m:f>
          <m:r>
            <w:rPr>
              <w:rFonts w:ascii="Cambria Math" w:hAnsi="Cambria Math"/>
              <w:sz w:val="28"/>
            </w:rPr>
            <m:t xml:space="preserve">,</m:t>
          </m:r>
        </m:oMath>
      </m:oMathPara>
    </w:p>
    <w:p>
      <w:pPr>
        <w:spacing w:after="0" w:before="0" w:line="240" w:lineRule="auto"/>
        <w:ind w:left="0" w:firstLine="0"/>
        <w:jc w:val="both"/>
      </w:pPr>
      <w:r>
        <w:rPr>
          <w:rFonts w:ascii="Times New Roman" w:cs="Times New Roman" w:eastAsia="Times New Roman" w:hAnsi="Times New Roman"/>
          <w:sz w:val="28"/>
          <w:szCs w:val="28"/>
          <w:lang w:val="uk-UA"/>
        </w:rPr>
        <w:t xml:space="preserve">де </w:t>
      </w:r>
      <m:oMath>
        <m:r>
          <w:rPr>
            <w:rFonts w:ascii="Cambria Math" w:hAnsi="Cambria Math"/>
            <w:sz w:val="28"/>
          </w:rPr>
          <m:t xml:space="preserve">Δμ</m:t>
        </m:r>
        <m:r>
          <w:rPr>
            <w:rFonts w:ascii="Cambria Math" w:hAnsi="Cambria Math"/>
            <w:sz w:val="28"/>
          </w:rPr>
          <m:t xml:space="preserve">≈24,6</m:t>
        </m:r>
      </m:oMath>
      <w:r>
        <w:rPr>
          <w:rFonts w:ascii="Times New Roman" w:cs="Times New Roman" w:eastAsia="Times New Roman" w:hAnsi="Times New Roman"/>
          <w:sz w:val="28"/>
          <w:szCs w:val="28"/>
          <w:lang w:val="uk-UA"/>
        </w:rPr>
        <w:t xml:space="preserve"> мел є кроком мел-шкали. Для частот 55–110 Гц октава займає 3 смуги, а для 3,5–7 кГц 28 смуг, тобто вертикальний фільтр сталої висоти охоплює від однієї до п’яти октав залежно від регістру.</w:t>
      </w:r>
    </w:p>
    <w:p>
      <w:pPr>
        <w:spacing w:after="0" w:before="0" w:line="240" w:lineRule="auto"/>
        <w:ind w:left="0" w:firstLine="566"/>
        <w:jc w:val="both"/>
      </w:pPr>
      <w:r>
        <w:rPr>
          <w:rFonts w:ascii="Times New Roman" w:cs="Times New Roman" w:eastAsia="Times New Roman" w:hAnsi="Times New Roman"/>
          <w:sz w:val="28"/>
          <w:szCs w:val="28"/>
          <w:lang w:val="uk-UA"/>
        </w:rPr>
        <w:t xml:space="preserve">Тому тембральні фільтри виконуються на логарифмічній частотній осі з частотами</w:t>
      </w:r>
    </w:p>
    <w:p>
      <w:pPr>
        <w:spacing w:after="120" w:before="120" w:line="240" w:lineRule="auto"/>
        <w:ind w:left="0" w:firstLine="0"/>
        <w:jc w:val="center"/>
      </w:pPr>
      <m:oMathPara>
        <m:oMathParaPr>
          <m:jc m:val="center"/>
        </m:oMathParaPr>
        <m:oMath>
          <m:sSub>
            <m:e>
              <m:r>
                <w:rPr>
                  <w:rFonts w:ascii="Cambria Math" w:hAnsi="Cambria Math"/>
                  <w:sz w:val="28"/>
                </w:rPr>
                <m:t xml:space="preserve">φ</m:t>
              </m:r>
            </m:e>
            <m:sub>
              <m:r>
                <w:rPr>
                  <w:rFonts w:ascii="Cambria Math" w:hAnsi="Cambria Math"/>
                  <w:sz w:val="28"/>
                </w:rPr>
                <m:t xml:space="preserve">ℓ</m:t>
              </m:r>
            </m:sub>
          </m:sSub>
          <m:r>
            <w:rPr>
              <w:rFonts w:ascii="Cambria Math" w:hAnsi="Cambria Math"/>
              <w:sz w:val="28"/>
            </w:rPr>
            <m:t xml:space="preserve">=</m:t>
          </m:r>
          <m:sSub>
            <m:e>
              <m:r>
                <w:rPr>
                  <w:rFonts w:ascii="Cambria Math" w:hAnsi="Cambria Math"/>
                  <w:sz w:val="28"/>
                </w:rPr>
                <m:t xml:space="preserve">f</m:t>
              </m:r>
            </m:e>
            <m:sub>
              <m:r>
                <m:rPr>
                  <m:sty m:val="p"/>
                </m:rPr>
                <w:rPr>
                  <w:rFonts w:ascii="Cambria Math" w:hAnsi="Cambria Math"/>
                  <w:sz w:val="28"/>
                </w:rPr>
                <m:t xml:space="preserve">min</m:t>
              </m:r>
            </m:sub>
          </m:sSub>
          <m:r>
            <w:rPr>
              <w:rFonts w:ascii="Cambria Math" w:hAnsi="Cambria Math"/>
              <w:sz w:val="28"/>
            </w:rPr>
            <m:t xml:space="preserve">·</m:t>
          </m:r>
          <m:sSup>
            <m:e>
              <m:r>
                <w:rPr>
                  <w:rFonts w:ascii="Cambria Math" w:hAnsi="Cambria Math"/>
                  <w:sz w:val="28"/>
                </w:rPr>
                <m:t xml:space="preserve">2</m:t>
              </m:r>
            </m:e>
            <m:sup>
              <m:r>
                <w:rPr>
                  <w:rFonts w:ascii="Cambria Math" w:hAnsi="Cambria Math"/>
                  <w:sz w:val="28"/>
                </w:rPr>
                <m:t xml:space="preserve">ℓ/β</m:t>
              </m:r>
            </m:sup>
          </m:sSup>
          <m:r>
            <w:rPr>
              <w:rFonts w:ascii="Cambria Math" w:hAnsi="Cambria Math"/>
              <w:sz w:val="28"/>
            </w:rPr>
            <m:t xml:space="preserve">,</m:t>
          </m:r>
        </m:oMath>
      </m:oMathPara>
    </w:p>
    <w:p>
      <w:pPr>
        <w:spacing w:after="0" w:before="0" w:line="240" w:lineRule="auto"/>
        <w:ind w:left="0" w:firstLine="0"/>
        <w:jc w:val="both"/>
      </w:pPr>
      <w:r>
        <w:rPr>
          <w:rFonts w:ascii="Times New Roman" w:cs="Times New Roman" w:eastAsia="Times New Roman" w:hAnsi="Times New Roman"/>
          <w:sz w:val="28"/>
          <w:szCs w:val="28"/>
          <w:lang w:val="uk-UA"/>
        </w:rPr>
        <w:t xml:space="preserve">де </w:t>
      </w:r>
      <m:oMath>
        <m:sSub>
          <m:e>
            <m:r>
              <w:rPr>
                <w:rFonts w:ascii="Cambria Math" w:hAnsi="Cambria Math"/>
                <w:sz w:val="28"/>
              </w:rPr>
              <m:t xml:space="preserve">f</m:t>
            </m:r>
          </m:e>
          <m:sub>
            <m:r>
              <m:rPr>
                <m:sty m:val="p"/>
              </m:rPr>
              <w:rPr>
                <w:rFonts w:ascii="Cambria Math" w:hAnsi="Cambria Math"/>
                <w:sz w:val="28"/>
              </w:rPr>
              <m:t xml:space="preserve">min</m:t>
            </m:r>
          </m:sub>
        </m:sSub>
        <m:r>
          <w:rPr>
            <w:rFonts w:ascii="Cambria Math" w:hAnsi="Cambria Math"/>
            <w:sz w:val="28"/>
          </w:rPr>
          <m:t xml:space="preserve">=32,7</m:t>
        </m:r>
      </m:oMath>
      <w:r>
        <w:rPr>
          <w:rFonts w:ascii="Times New Roman" w:cs="Times New Roman" w:eastAsia="Times New Roman" w:hAnsi="Times New Roman"/>
          <w:sz w:val="28"/>
          <w:szCs w:val="28"/>
          <w:lang w:val="uk-UA"/>
        </w:rPr>
        <w:t xml:space="preserve"> Гц, </w:t>
      </w:r>
      <m:oMath>
        <m:r>
          <w:rPr>
            <w:rFonts w:ascii="Cambria Math" w:hAnsi="Cambria Math"/>
            <w:sz w:val="28"/>
          </w:rPr>
          <m:t xml:space="preserve">β</m:t>
        </m:r>
        <m:r>
          <w:rPr>
            <w:rFonts w:ascii="Cambria Math" w:hAnsi="Cambria Math"/>
            <w:sz w:val="28"/>
          </w:rPr>
          <m:t xml:space="preserve">=24</m:t>
        </m:r>
      </m:oMath>
      <w:r>
        <w:rPr>
          <w:rFonts w:ascii="Times New Roman" w:cs="Times New Roman" w:eastAsia="Times New Roman" w:hAnsi="Times New Roman"/>
          <w:sz w:val="28"/>
          <w:szCs w:val="28"/>
          <w:lang w:val="uk-UA"/>
        </w:rPr>
        <w:t xml:space="preserve"> смуги на октаву; мел-спектрограма переноситься на цю вісь лінійною інтерполяцією. На такій осі зміна висоти ноти на </w:t>
      </w:r>
      <m:oMath>
        <m:r>
          <w:rPr>
            <w:rFonts w:ascii="Cambria Math" w:hAnsi="Cambria Math"/>
            <w:sz w:val="28"/>
          </w:rPr>
          <m:t xml:space="preserve">d</m:t>
        </m:r>
      </m:oMath>
      <w:r>
        <w:rPr>
          <w:rFonts w:ascii="Times New Roman" w:cs="Times New Roman" w:eastAsia="Times New Roman" w:hAnsi="Times New Roman"/>
          <w:sz w:val="28"/>
          <w:szCs w:val="28"/>
          <w:lang w:val="uk-UA"/>
        </w:rPr>
        <w:t xml:space="preserve"> півтонів зсуває весь набір обертонів на </w:t>
      </w:r>
      <m:oMath>
        <m:r>
          <w:rPr>
            <w:rFonts w:ascii="Cambria Math" w:hAnsi="Cambria Math"/>
            <w:sz w:val="28"/>
          </w:rPr>
          <m:t xml:space="preserve">β</m:t>
        </m:r>
        <m:r>
          <w:rPr>
            <w:rFonts w:ascii="Cambria Math" w:hAnsi="Cambria Math"/>
            <w:sz w:val="28"/>
          </w:rPr>
          <m:t xml:space="preserve">d/12</m:t>
        </m:r>
      </m:oMath>
      <w:r>
        <w:rPr>
          <w:rFonts w:ascii="Times New Roman" w:cs="Times New Roman" w:eastAsia="Times New Roman" w:hAnsi="Times New Roman"/>
          <w:sz w:val="28"/>
          <w:szCs w:val="28"/>
          <w:lang w:val="uk-UA"/>
        </w:rPr>
        <w:t xml:space="preserve"> смуг без зміни форми, тож фільтр висотою дві октави описує тембр однаково на будь-якій висоті. На мел-осі цей зсув різний для різних обертонів, і така властивість не виконується.</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pStyle w:val="Heading1"/>
        <w:keepNext w:val="1"/>
        <w:spacing w:after="0" w:before="0" w:line="240" w:lineRule="auto"/>
        <w:ind w:left="0" w:firstLine="566"/>
        <w:jc w:val="both"/>
      </w:pPr>
      <w:r>
        <w:rPr>
          <w:rFonts w:ascii="Times New Roman" w:cs="Times New Roman" w:eastAsia="Times New Roman" w:hAnsi="Times New Roman"/>
          <w:b w:val="1"/>
          <w:bCs w:val="1"/>
          <w:sz w:val="28"/>
          <w:szCs w:val="28"/>
          <w:lang w:val="uk-UA"/>
        </w:rPr>
        <w:t xml:space="preserve">Архітектура моделі</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566"/>
        <w:jc w:val="both"/>
      </w:pPr>
      <w:r>
        <w:rPr>
          <w:rFonts w:ascii="Times New Roman" w:cs="Times New Roman" w:eastAsia="Times New Roman" w:hAnsi="Times New Roman"/>
          <w:sz w:val="28"/>
          <w:szCs w:val="28"/>
          <w:lang w:val="uk-UA"/>
        </w:rPr>
        <w:t xml:space="preserve">Вхідними даними моделі є тензор </w:t>
      </w:r>
      <m:oMath>
        <m:r>
          <w:rPr>
            <w:rFonts w:ascii="Cambria Math" w:hAnsi="Cambria Math"/>
            <w:sz w:val="28"/>
          </w:rPr>
          <m:t xml:space="preserve">X</m:t>
        </m:r>
        <m:r>
          <w:rPr>
            <w:rFonts w:ascii="Cambria Math" w:hAnsi="Cambria Math"/>
            <w:sz w:val="28"/>
          </w:rPr>
          <m:t xml:space="preserve">=</m:t>
        </m:r>
        <m:d>
          <m:dPr>
            <m:begChr m:val="["/>
            <m:endChr m:val="]"/>
          </m:dPr>
          <m:e>
            <m:r>
              <w:rPr>
                <w:rFonts w:ascii="Cambria Math" w:hAnsi="Cambria Math"/>
                <w:sz w:val="28"/>
              </w:rPr>
              <m:t xml:space="preserve">M, ΔM, </m:t>
            </m:r>
            <m:sSup>
              <m:e>
                <m:r>
                  <w:rPr>
                    <w:rFonts w:ascii="Cambria Math" w:hAnsi="Cambria Math"/>
                    <w:sz w:val="28"/>
                  </w:rPr>
                  <m:t xml:space="preserve">Δ</m:t>
                </m:r>
              </m:e>
              <m:sup>
                <m:r>
                  <w:rPr>
                    <w:rFonts w:ascii="Cambria Math" w:hAnsi="Cambria Math"/>
                    <w:sz w:val="28"/>
                  </w:rPr>
                  <m:t xml:space="preserve">2</m:t>
                </m:r>
              </m:sup>
            </m:sSup>
            <m:r>
              <w:rPr>
                <w:rFonts w:ascii="Cambria Math" w:hAnsi="Cambria Math"/>
                <w:sz w:val="28"/>
              </w:rPr>
              <m:t xml:space="preserve">M</m:t>
            </m:r>
          </m:e>
        </m:d>
      </m:oMath>
      <w:r>
        <w:rPr>
          <w:rFonts w:ascii="Times New Roman" w:cs="Times New Roman" w:eastAsia="Times New Roman" w:hAnsi="Times New Roman"/>
          <w:sz w:val="28"/>
          <w:szCs w:val="28"/>
          <w:lang w:val="uk-UA"/>
        </w:rPr>
        <w:t xml:space="preserve"> розміром 3×128×130, що відповідає фрагменту тривалістю 3 с. Перший шар містить три паралельні групи фільтрів, форма яких відповідає складовим тембру [2]:</w:t>
      </w:r>
    </w:p>
    <w:p>
      <w:pPr>
        <w:spacing w:after="120" w:before="120" w:line="240" w:lineRule="auto"/>
        <w:ind w:left="0" w:firstLine="0"/>
        <w:jc w:val="center"/>
      </w:pPr>
      <m:oMathPara>
        <m:oMathParaPr>
          <m:jc m:val="center"/>
        </m:oMathParaPr>
        <m:oMath>
          <m:r>
            <w:rPr>
              <w:rFonts w:ascii="Cambria Math" w:hAnsi="Cambria Math"/>
              <w:sz w:val="28"/>
            </w:rPr>
            <m:t xml:space="preserve">Z</m:t>
          </m:r>
          <m:r>
            <w:rPr>
              <w:rFonts w:ascii="Cambria Math" w:hAnsi="Cambria Math"/>
              <w:sz w:val="28"/>
            </w:rPr>
            <m:t xml:space="preserve">=</m:t>
          </m:r>
          <m:d>
            <m:dPr>
              <m:begChr m:val="["/>
              <m:endChr m:val="]"/>
            </m:dPr>
            <m:e>
              <m:sSub>
                <m:e>
                  <m:r>
                    <w:rPr>
                      <w:rFonts w:ascii="Cambria Math" w:hAnsi="Cambria Math"/>
                      <w:sz w:val="28"/>
                    </w:rPr>
                    <m:t xml:space="preserve">W</m:t>
                  </m:r>
                </m:e>
                <m:sub>
                  <m:r>
                    <w:rPr>
                      <w:rFonts w:ascii="Cambria Math" w:hAnsi="Cambria Math"/>
                      <w:sz w:val="28"/>
                    </w:rPr>
                    <m:t xml:space="preserve">□</m:t>
                  </m:r>
                </m:sub>
              </m:sSub>
              <m:r>
                <w:rPr>
                  <w:rFonts w:ascii="Cambria Math" w:hAnsi="Cambria Math"/>
                  <w:sz w:val="28"/>
                </w:rPr>
                <m:t xml:space="preserve">∗</m:t>
              </m:r>
              <m:r>
                <w:rPr>
                  <w:rFonts w:ascii="Cambria Math" w:hAnsi="Cambria Math"/>
                  <w:sz w:val="28"/>
                </w:rPr>
                <m:t xml:space="preserve">X</m:t>
              </m:r>
              <m:r>
                <w:rPr>
                  <w:rFonts w:ascii="Cambria Math" w:hAnsi="Cambria Math"/>
                  <w:sz w:val="28"/>
                </w:rPr>
                <m:t xml:space="preserve">,  </m:t>
              </m:r>
              <m:r>
                <w:rPr>
                  <w:rFonts w:ascii="Cambria Math" w:hAnsi="Cambria Math"/>
                  <w:sz w:val="28"/>
                </w:rPr>
                <m:t xml:space="preserve">Q</m:t>
              </m:r>
              <m:d>
                <m:dPr>
                  <m:begChr m:val="("/>
                  <m:endChr m:val=")"/>
                </m:dPr>
                <m:e>
                  <m:sSub>
                    <m:e>
                      <m:r>
                        <w:rPr>
                          <w:rFonts w:ascii="Cambria Math" w:hAnsi="Cambria Math"/>
                          <w:sz w:val="28"/>
                        </w:rPr>
                        <m:t xml:space="preserve">W</m:t>
                      </m:r>
                    </m:e>
                    <m:sub>
                      <m:r>
                        <w:rPr>
                          <w:rFonts w:ascii="Cambria Math" w:hAnsi="Cambria Math"/>
                          <w:sz w:val="28"/>
                        </w:rPr>
                        <m:t xml:space="preserve">↓</m:t>
                      </m:r>
                    </m:sub>
                  </m:sSub>
                  <m:r>
                    <w:rPr>
                      <w:rFonts w:ascii="Cambria Math" w:hAnsi="Cambria Math"/>
                      <w:sz w:val="28"/>
                    </w:rPr>
                    <m:t xml:space="preserve">∗</m:t>
                  </m:r>
                  <m:r>
                    <w:rPr>
                      <w:rFonts w:ascii="Cambria Math" w:hAnsi="Cambria Math"/>
                      <w:sz w:val="28"/>
                    </w:rPr>
                    <m:t xml:space="preserve">P</m:t>
                  </m:r>
                  <m:r>
                    <w:rPr>
                      <w:rFonts w:ascii="Cambria Math" w:hAnsi="Cambria Math"/>
                      <w:sz w:val="28"/>
                    </w:rPr>
                    <m:t xml:space="preserve">X</m:t>
                  </m:r>
                </m:e>
              </m:d>
              <m:r>
                <w:rPr>
                  <w:rFonts w:ascii="Cambria Math" w:hAnsi="Cambria Math"/>
                  <w:sz w:val="28"/>
                </w:rPr>
                <m:t xml:space="preserve">,  </m:t>
              </m:r>
              <m:sSub>
                <m:e>
                  <m:r>
                    <w:rPr>
                      <w:rFonts w:ascii="Cambria Math" w:hAnsi="Cambria Math"/>
                      <w:sz w:val="28"/>
                    </w:rPr>
                    <m:t xml:space="preserve">W</m:t>
                  </m:r>
                </m:e>
                <m:sub>
                  <m:r>
                    <w:rPr>
                      <w:rFonts w:ascii="Cambria Math" w:hAnsi="Cambria Math"/>
                      <w:sz w:val="28"/>
                    </w:rPr>
                    <m:t xml:space="preserve">→</m:t>
                  </m:r>
                </m:sub>
              </m:sSub>
              <m:r>
                <w:rPr>
                  <w:rFonts w:ascii="Cambria Math" w:hAnsi="Cambria Math"/>
                  <w:sz w:val="28"/>
                </w:rPr>
                <m:t xml:space="preserve">∗</m:t>
              </m:r>
              <m:r>
                <w:rPr>
                  <w:rFonts w:ascii="Cambria Math" w:hAnsi="Cambria Math"/>
                  <w:sz w:val="28"/>
                </w:rPr>
                <m:t xml:space="preserve">X</m:t>
              </m:r>
            </m:e>
          </m:d>
          <m:r>
            <w:rPr>
              <w:rFonts w:ascii="Cambria Math" w:hAnsi="Cambria Math"/>
              <w:sz w:val="28"/>
            </w:rPr>
            <m:t xml:space="preserve">,</m:t>
          </m:r>
        </m:oMath>
      </m:oMathPara>
    </w:p>
    <w:p>
      <w:pPr>
        <w:spacing w:after="0" w:before="0" w:line="240" w:lineRule="auto"/>
        <w:ind w:left="0" w:firstLine="0"/>
        <w:jc w:val="both"/>
      </w:pPr>
      <w:r>
        <w:rPr>
          <w:rFonts w:ascii="Times New Roman" w:cs="Times New Roman" w:eastAsia="Times New Roman" w:hAnsi="Times New Roman"/>
          <w:sz w:val="28"/>
          <w:szCs w:val="28"/>
          <w:lang w:val="uk-UA"/>
        </w:rPr>
        <w:t xml:space="preserve">де </w:t>
      </w:r>
      <m:oMath>
        <m:r>
          <w:rPr>
            <w:rFonts w:ascii="Cambria Math" w:hAnsi="Cambria Math"/>
            <w:sz w:val="28"/>
          </w:rPr>
          <m:t xml:space="preserve">∗</m:t>
        </m:r>
      </m:oMath>
      <w:r>
        <w:rPr>
          <w:rFonts w:ascii="Times New Roman" w:cs="Times New Roman" w:eastAsia="Times New Roman" w:hAnsi="Times New Roman"/>
          <w:sz w:val="28"/>
          <w:szCs w:val="28"/>
          <w:lang w:val="uk-UA"/>
        </w:rPr>
        <w:t xml:space="preserve"> означає згортку; </w:t>
      </w:r>
      <m:oMath>
        <m:sSub>
          <m:e>
            <m:r>
              <w:rPr>
                <w:rFonts w:ascii="Cambria Math" w:hAnsi="Cambria Math"/>
                <w:sz w:val="28"/>
              </w:rPr>
              <m:t xml:space="preserve">W</m:t>
            </m:r>
          </m:e>
          <m:sub>
            <m:r>
              <w:rPr>
                <w:rFonts w:ascii="Cambria Math" w:hAnsi="Cambria Math"/>
                <w:sz w:val="28"/>
              </w:rPr>
              <m:t xml:space="preserve">□</m:t>
            </m:r>
          </m:sub>
        </m:sSub>
      </m:oMath>
      <w:r>
        <w:rPr>
          <w:rFonts w:ascii="Times New Roman" w:cs="Times New Roman" w:eastAsia="Times New Roman" w:hAnsi="Times New Roman"/>
          <w:sz w:val="28"/>
          <w:szCs w:val="28"/>
          <w:lang w:val="uk-UA"/>
        </w:rPr>
        <w:t xml:space="preserve"> є 16 квадратними фільтрами 3×3 для локальних деталей; </w:t>
      </w:r>
      <m:oMath>
        <m:sSub>
          <m:e>
            <m:r>
              <w:rPr>
                <w:rFonts w:ascii="Cambria Math" w:hAnsi="Cambria Math"/>
                <w:sz w:val="28"/>
              </w:rPr>
              <m:t xml:space="preserve">W</m:t>
            </m:r>
          </m:e>
          <m:sub>
            <m:r>
              <w:rPr>
                <w:rFonts w:ascii="Cambria Math" w:hAnsi="Cambria Math"/>
                <w:sz w:val="28"/>
              </w:rPr>
              <m:t xml:space="preserve">↓</m:t>
            </m:r>
          </m:sub>
        </m:sSub>
      </m:oMath>
      <w:r>
        <w:rPr>
          <w:rFonts w:ascii="Times New Roman" w:cs="Times New Roman" w:eastAsia="Times New Roman" w:hAnsi="Times New Roman"/>
          <w:sz w:val="28"/>
          <w:szCs w:val="28"/>
          <w:lang w:val="uk-UA"/>
        </w:rPr>
        <w:t xml:space="preserve"> є 8 тембральними фільтрами висотою 49 смуг логарифмічної осі (рівно дві октави), що відображають спектральну обвідну; </w:t>
      </w:r>
      <m:oMath>
        <m:sSub>
          <m:e>
            <m:r>
              <w:rPr>
                <w:rFonts w:ascii="Cambria Math" w:hAnsi="Cambria Math"/>
                <w:sz w:val="28"/>
              </w:rPr>
              <m:t xml:space="preserve">W</m:t>
            </m:r>
          </m:e>
          <m:sub>
            <m:r>
              <w:rPr>
                <w:rFonts w:ascii="Cambria Math" w:hAnsi="Cambria Math"/>
                <w:sz w:val="28"/>
              </w:rPr>
              <m:t xml:space="preserve">→</m:t>
            </m:r>
          </m:sub>
        </m:sSub>
      </m:oMath>
      <w:r>
        <w:rPr>
          <w:rFonts w:ascii="Times New Roman" w:cs="Times New Roman" w:eastAsia="Times New Roman" w:hAnsi="Times New Roman"/>
          <w:sz w:val="28"/>
          <w:szCs w:val="28"/>
          <w:lang w:val="uk-UA"/>
        </w:rPr>
        <w:t xml:space="preserve"> є 8 часовими фільтрами 1×31 (близько 0,7 с), що відображають атаку та згасання звуку; </w:t>
      </w:r>
      <m:oMath>
        <m:r>
          <w:rPr>
            <w:rFonts w:ascii="Cambria Math" w:hAnsi="Cambria Math"/>
            <w:sz w:val="28"/>
          </w:rPr>
          <m:t xml:space="preserve">P</m:t>
        </m:r>
      </m:oMath>
      <w:r>
        <w:rPr>
          <w:rFonts w:ascii="Times New Roman" w:cs="Times New Roman" w:eastAsia="Times New Roman" w:hAnsi="Times New Roman"/>
          <w:sz w:val="28"/>
          <w:szCs w:val="28"/>
          <w:lang w:val="uk-UA"/>
        </w:rPr>
        <w:t xml:space="preserve"> і </w:t>
      </w:r>
      <m:oMath>
        <m:r>
          <w:rPr>
            <w:rFonts w:ascii="Cambria Math" w:hAnsi="Cambria Math"/>
            <w:sz w:val="28"/>
          </w:rPr>
          <m:t xml:space="preserve">Q</m:t>
        </m:r>
      </m:oMath>
      <w:r>
        <w:rPr>
          <w:rFonts w:ascii="Times New Roman" w:cs="Times New Roman" w:eastAsia="Times New Roman" w:hAnsi="Times New Roman"/>
          <w:sz w:val="28"/>
          <w:szCs w:val="28"/>
          <w:lang w:val="uk-UA"/>
        </w:rPr>
        <w:t xml:space="preserve"> є матрицями лінійної інтерполяції, що переносять спектрограму на логарифмічну вісь і повертають відгуки фільтрів на мел-сітку.</w:t>
      </w:r>
    </w:p>
    <w:p>
      <w:pPr>
        <w:spacing w:after="0" w:before="0" w:line="240" w:lineRule="auto"/>
        <w:ind w:left="0" w:firstLine="566"/>
        <w:jc w:val="both"/>
      </w:pPr>
      <w:r>
        <w:rPr>
          <w:rFonts w:ascii="Times New Roman" w:cs="Times New Roman" w:eastAsia="Times New Roman" w:hAnsi="Times New Roman"/>
          <w:sz w:val="28"/>
          <w:szCs w:val="28"/>
          <w:lang w:val="uk-UA"/>
        </w:rPr>
        <w:t xml:space="preserve">Далі слідують три згорткові блоки з фільтрами 3×3, кожен з яких містить згортку, пакетну нормалізацію, випрямлення та підвибір максимуму. В останньому блоці використовується адаптивний вибір максимуму, який, на відміну від усереднення, зберігає сильну реакцію на інструмент, що звучить лише частину фрагмента. Класифікатор з двох повнозв’язних шарів повертає 11 незалежних ймовірностей присутності інструментів через сигмоїдну функцію. Архітектуру наведено в таблиці 1; модель має 656 тис. параметрів.</w:t>
      </w:r>
    </w:p>
    <w:p>
      <w:pPr>
        <w:keepNext w:val="1"/>
        <w:spacing w:after="0" w:before="120" w:line="240" w:lineRule="auto"/>
        <w:ind w:left="0" w:firstLine="0"/>
        <w:jc w:val="right"/>
      </w:pPr>
      <w:r>
        <w:rPr>
          <w:rFonts w:ascii="Times New Roman" w:cs="Times New Roman" w:eastAsia="Times New Roman" w:hAnsi="Times New Roman"/>
          <w:sz w:val="28"/>
          <w:szCs w:val="28"/>
          <w:lang w:val="uk-UA"/>
        </w:rPr>
        <w:t xml:space="preserve">Таблиця 1.</w:t>
      </w:r>
    </w:p>
    <w:p>
      <w:pPr>
        <w:keepNext w:val="1"/>
        <w:spacing w:after="60" w:before="0" w:line="240" w:lineRule="auto"/>
        <w:ind w:left="0" w:firstLine="0"/>
        <w:jc w:val="center"/>
      </w:pPr>
      <w:r>
        <w:rPr>
          <w:rFonts w:ascii="Times New Roman" w:cs="Times New Roman" w:eastAsia="Times New Roman" w:hAnsi="Times New Roman"/>
          <w:sz w:val="28"/>
          <w:szCs w:val="28"/>
          <w:lang w:val="uk-UA"/>
        </w:rPr>
        <w:t xml:space="preserve">Архітектура моделі</w:t>
      </w:r>
    </w:p>
    <w:tbl>
      <w:tblPr>
        <w:tblW w:w="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1800"/>
        <w:gridCol w:w="5900"/>
        <w:gridCol w:w="1300"/>
      </w:tblGrid>
      <w:tr>
        <w:trPr>
          <w:tblHeader w:val="1"/>
        </w:trPr>
        <w:tc>
          <w:tcPr>
            <w:tcW w:w="18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Блок</w:t>
            </w:r>
          </w:p>
        </w:tc>
        <w:tc>
          <w:tcPr>
            <w:tcW w:w="59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Операції</w:t>
            </w:r>
          </w:p>
        </w:tc>
        <w:tc>
          <w:tcPr>
            <w:tcW w:w="13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Вихід</w:t>
            </w:r>
          </w:p>
        </w:tc>
      </w:tr>
      <w:tr>
        <w:tc>
          <w:tcPr>
            <w:tcW w:w="1800" w:type="dxa"/>
            <w:tcMar>
              <w:top w:w="40" w:type="dxa"/>
              <w:left w:w="80" w:type="dxa"/>
              <w:bottom w:w="40" w:type="dxa"/>
              <w:right w:w="80" w:type="dxa"/>
            </w:tcMar>
          </w:tcPr>
          <w:p>
            <w:pPr>
              <w:spacing w:after="0" w:before="0" w:line="240" w:lineRule="auto"/>
              <w:ind w:left="0" w:firstLine="0"/>
              <w:jc w:val="left"/>
            </w:pPr>
            <w:r>
              <w:rPr>
                <w:rFonts w:ascii="Times New Roman" w:cs="Times New Roman" w:eastAsia="Times New Roman" w:hAnsi="Times New Roman"/>
                <w:sz w:val="24"/>
                <w:szCs w:val="24"/>
                <w:lang w:val="uk-UA"/>
              </w:rPr>
              <w:t xml:space="preserve">Вхід</w:t>
            </w:r>
          </w:p>
        </w:tc>
        <w:tc>
          <w:tcPr>
            <w:tcW w:w="59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мел-спектрограма та її похідні</w:t>
            </w:r>
          </w:p>
        </w:tc>
        <w:tc>
          <w:tcPr>
            <w:tcW w:w="13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3×128×130</w:t>
            </w:r>
          </w:p>
        </w:tc>
      </w:tr>
      <w:tr>
        <w:tc>
          <w:tcPr>
            <w:tcW w:w="1800" w:type="dxa"/>
            <w:tcMar>
              <w:top w:w="40" w:type="dxa"/>
              <w:left w:w="80" w:type="dxa"/>
              <w:bottom w:w="40" w:type="dxa"/>
              <w:right w:w="80" w:type="dxa"/>
            </w:tcMar>
          </w:tcPr>
          <w:p>
            <w:pPr>
              <w:spacing w:after="0" w:before="0" w:line="240" w:lineRule="auto"/>
              <w:ind w:left="0" w:firstLine="0"/>
              <w:jc w:val="left"/>
            </w:pPr>
            <w:r>
              <w:rPr>
                <w:rFonts w:ascii="Times New Roman" w:cs="Times New Roman" w:eastAsia="Times New Roman" w:hAnsi="Times New Roman"/>
                <w:sz w:val="24"/>
                <w:szCs w:val="24"/>
                <w:lang w:val="uk-UA"/>
              </w:rPr>
              <w:t xml:space="preserve">Блок 1</w:t>
            </w:r>
          </w:p>
        </w:tc>
        <w:tc>
          <w:tcPr>
            <w:tcW w:w="59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перший шар, нормалізація, випрямлення, підвибір</w:t>
            </w:r>
          </w:p>
        </w:tc>
        <w:tc>
          <w:tcPr>
            <w:tcW w:w="13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32×64×65</w:t>
            </w:r>
          </w:p>
        </w:tc>
      </w:tr>
      <w:tr>
        <w:tc>
          <w:tcPr>
            <w:tcW w:w="1800" w:type="dxa"/>
            <w:tcMar>
              <w:top w:w="40" w:type="dxa"/>
              <w:left w:w="80" w:type="dxa"/>
              <w:bottom w:w="40" w:type="dxa"/>
              <w:right w:w="80" w:type="dxa"/>
            </w:tcMar>
          </w:tcPr>
          <w:p>
            <w:pPr>
              <w:spacing w:after="0" w:before="0" w:line="240" w:lineRule="auto"/>
              <w:ind w:left="0" w:firstLine="0"/>
              <w:jc w:val="left"/>
            </w:pPr>
            <w:r>
              <w:rPr>
                <w:rFonts w:ascii="Times New Roman" w:cs="Times New Roman" w:eastAsia="Times New Roman" w:hAnsi="Times New Roman"/>
                <w:sz w:val="24"/>
                <w:szCs w:val="24"/>
                <w:lang w:val="uk-UA"/>
              </w:rPr>
              <w:t xml:space="preserve">Блок 2</w:t>
            </w:r>
          </w:p>
        </w:tc>
        <w:tc>
          <w:tcPr>
            <w:tcW w:w="59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згортка 3×3, нормалізація, випрямлення, підвибір</w:t>
            </w:r>
          </w:p>
        </w:tc>
        <w:tc>
          <w:tcPr>
            <w:tcW w:w="13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64×32×32</w:t>
            </w:r>
          </w:p>
        </w:tc>
      </w:tr>
      <w:tr>
        <w:tc>
          <w:tcPr>
            <w:tcW w:w="1800" w:type="dxa"/>
            <w:tcMar>
              <w:top w:w="40" w:type="dxa"/>
              <w:left w:w="80" w:type="dxa"/>
              <w:bottom w:w="40" w:type="dxa"/>
              <w:right w:w="80" w:type="dxa"/>
            </w:tcMar>
          </w:tcPr>
          <w:p>
            <w:pPr>
              <w:spacing w:after="0" w:before="0" w:line="240" w:lineRule="auto"/>
              <w:ind w:left="0" w:firstLine="0"/>
              <w:jc w:val="left"/>
            </w:pPr>
            <w:r>
              <w:rPr>
                <w:rFonts w:ascii="Times New Roman" w:cs="Times New Roman" w:eastAsia="Times New Roman" w:hAnsi="Times New Roman"/>
                <w:sz w:val="24"/>
                <w:szCs w:val="24"/>
                <w:lang w:val="uk-UA"/>
              </w:rPr>
              <w:t xml:space="preserve">Блок 3</w:t>
            </w:r>
          </w:p>
        </w:tc>
        <w:tc>
          <w:tcPr>
            <w:tcW w:w="59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згортка 3×3, нормалізація, випрямлення, підвибір</w:t>
            </w:r>
          </w:p>
        </w:tc>
        <w:tc>
          <w:tcPr>
            <w:tcW w:w="13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128×16×16</w:t>
            </w:r>
          </w:p>
        </w:tc>
      </w:tr>
      <w:tr>
        <w:tc>
          <w:tcPr>
            <w:tcW w:w="1800" w:type="dxa"/>
            <w:tcMar>
              <w:top w:w="40" w:type="dxa"/>
              <w:left w:w="80" w:type="dxa"/>
              <w:bottom w:w="40" w:type="dxa"/>
              <w:right w:w="80" w:type="dxa"/>
            </w:tcMar>
          </w:tcPr>
          <w:p>
            <w:pPr>
              <w:spacing w:after="0" w:before="0" w:line="240" w:lineRule="auto"/>
              <w:ind w:left="0" w:firstLine="0"/>
              <w:jc w:val="left"/>
            </w:pPr>
            <w:r>
              <w:rPr>
                <w:rFonts w:ascii="Times New Roman" w:cs="Times New Roman" w:eastAsia="Times New Roman" w:hAnsi="Times New Roman"/>
                <w:sz w:val="24"/>
                <w:szCs w:val="24"/>
                <w:lang w:val="uk-UA"/>
              </w:rPr>
              <w:t xml:space="preserve">Блок 4</w:t>
            </w:r>
          </w:p>
        </w:tc>
        <w:tc>
          <w:tcPr>
            <w:tcW w:w="59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згортка 3×3, нормалізація, випрямлення, адапт. максимум</w:t>
            </w:r>
          </w:p>
        </w:tc>
        <w:tc>
          <w:tcPr>
            <w:tcW w:w="13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256×2×2</w:t>
            </w:r>
          </w:p>
        </w:tc>
      </w:tr>
      <w:tr>
        <w:tc>
          <w:tcPr>
            <w:tcW w:w="1800" w:type="dxa"/>
            <w:tcMar>
              <w:top w:w="40" w:type="dxa"/>
              <w:left w:w="80" w:type="dxa"/>
              <w:bottom w:w="40" w:type="dxa"/>
              <w:right w:w="80" w:type="dxa"/>
            </w:tcMar>
          </w:tcPr>
          <w:p>
            <w:pPr>
              <w:spacing w:after="0" w:before="0" w:line="240" w:lineRule="auto"/>
              <w:ind w:left="0" w:firstLine="0"/>
              <w:jc w:val="left"/>
            </w:pPr>
            <w:r>
              <w:rPr>
                <w:rFonts w:ascii="Times New Roman" w:cs="Times New Roman" w:eastAsia="Times New Roman" w:hAnsi="Times New Roman"/>
                <w:sz w:val="24"/>
                <w:szCs w:val="24"/>
                <w:lang w:val="uk-UA"/>
              </w:rPr>
              <w:t xml:space="preserve">Класифікатор</w:t>
            </w:r>
          </w:p>
        </w:tc>
        <w:tc>
          <w:tcPr>
            <w:tcW w:w="59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повнозв’язні шари 1024→256→11, сигмоїда</w:t>
            </w:r>
          </w:p>
        </w:tc>
        <w:tc>
          <w:tcPr>
            <w:tcW w:w="13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11</w:t>
            </w:r>
          </w:p>
        </w:tc>
      </w:tr>
    </w:tbl>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pStyle w:val="Heading1"/>
        <w:keepNext w:val="1"/>
        <w:spacing w:after="0" w:before="0" w:line="240" w:lineRule="auto"/>
        <w:ind w:left="0" w:firstLine="566"/>
        <w:jc w:val="both"/>
      </w:pPr>
      <w:r>
        <w:rPr>
          <w:rFonts w:ascii="Times New Roman" w:cs="Times New Roman" w:eastAsia="Times New Roman" w:hAnsi="Times New Roman"/>
          <w:b w:val="1"/>
          <w:bCs w:val="1"/>
          <w:sz w:val="28"/>
          <w:szCs w:val="28"/>
          <w:lang w:val="uk-UA"/>
        </w:rPr>
        <w:t xml:space="preserve">Навчання на синтетичних сумішах</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566"/>
        <w:jc w:val="both"/>
      </w:pPr>
      <w:r>
        <w:rPr>
          <w:rFonts w:ascii="Times New Roman" w:cs="Times New Roman" w:eastAsia="Times New Roman" w:hAnsi="Times New Roman"/>
          <w:sz w:val="28"/>
          <w:szCs w:val="28"/>
          <w:lang w:val="uk-UA"/>
        </w:rPr>
        <w:t xml:space="preserve">Щоб під час навчання модель бачила кілька інструментів одночасно, половина фрагментів кожного пакета змішується з іншим фрагментом. Оскільки звуки додаються в лінійній потужності, суміш логарифмічних спектрограм і її мітка обчислюються як</w:t>
      </w:r>
    </w:p>
    <w:p>
      <w:pPr>
        <w:spacing w:after="120" w:before="120" w:line="240" w:lineRule="auto"/>
        <w:ind w:left="0" w:firstLine="0"/>
        <w:jc w:val="center"/>
      </w:pPr>
      <m:oMathPara>
        <m:oMathParaPr>
          <m:jc m:val="center"/>
        </m:oMathParaPr>
        <m:oMath>
          <m:sSub>
            <m:e>
              <m:acc>
                <m:accPr>
                  <m:chr m:val="̃"/>
                </m:accPr>
                <m:e>
                  <m:r>
                    <w:rPr>
                      <w:rFonts w:ascii="Cambria Math" w:hAnsi="Cambria Math"/>
                      <w:sz w:val="28"/>
                    </w:rPr>
                    <m:t xml:space="preserve">M</m:t>
                  </m:r>
                </m:e>
              </m:acc>
            </m:e>
            <m:sub>
              <m:r>
                <w:rPr>
                  <w:rFonts w:ascii="Cambria Math" w:hAnsi="Cambria Math"/>
                  <w:sz w:val="28"/>
                </w:rPr>
                <m:t xml:space="preserve">i</m:t>
              </m:r>
            </m:sub>
          </m:sSub>
          <m:r>
            <w:rPr>
              <w:rFonts w:ascii="Cambria Math" w:hAnsi="Cambria Math"/>
              <w:sz w:val="28"/>
            </w:rPr>
            <m:t xml:space="preserve">=</m:t>
          </m:r>
          <m:r>
            <m:rPr>
              <m:sty m:val="p"/>
            </m:rPr>
            <w:rPr>
              <w:rFonts w:ascii="Cambria Math" w:hAnsi="Cambria Math"/>
              <w:sz w:val="28"/>
            </w:rPr>
            <m:t xml:space="preserve">ln</m:t>
          </m:r>
          <m:d>
            <m:dPr>
              <m:begChr m:val="("/>
              <m:endChr m:val=")"/>
            </m:dPr>
            <m:e>
              <m:sSup>
                <m:e>
                  <m:r>
                    <w:rPr>
                      <w:rFonts w:ascii="Cambria Math" w:hAnsi="Cambria Math"/>
                      <w:sz w:val="28"/>
                    </w:rPr>
                    <m:t xml:space="preserve">e</m:t>
                  </m:r>
                </m:e>
                <m:sup>
                  <m:sSub>
                    <m:e>
                      <m:r>
                        <w:rPr>
                          <w:rFonts w:ascii="Cambria Math" w:hAnsi="Cambria Math"/>
                          <w:sz w:val="28"/>
                        </w:rPr>
                        <m:t xml:space="preserve">M</m:t>
                      </m:r>
                    </m:e>
                    <m:sub>
                      <m:r>
                        <w:rPr>
                          <w:rFonts w:ascii="Cambria Math" w:hAnsi="Cambria Math"/>
                          <w:sz w:val="28"/>
                        </w:rPr>
                        <m:t xml:space="preserve">i</m:t>
                      </m:r>
                    </m:sub>
                  </m:sSub>
                </m:sup>
              </m:sSup>
              <m:r>
                <w:rPr>
                  <w:rFonts w:ascii="Cambria Math" w:hAnsi="Cambria Math"/>
                  <w:sz w:val="28"/>
                </w:rPr>
                <m:t xml:space="preserve">+</m:t>
              </m:r>
              <m:sSub>
                <m:e>
                  <m:r>
                    <w:rPr>
                      <w:rFonts w:ascii="Cambria Math" w:hAnsi="Cambria Math"/>
                      <w:sz w:val="28"/>
                    </w:rPr>
                    <m:t xml:space="preserve">g</m:t>
                  </m:r>
                </m:e>
                <m:sub>
                  <m:r>
                    <w:rPr>
                      <w:rFonts w:ascii="Cambria Math" w:hAnsi="Cambria Math"/>
                      <w:sz w:val="28"/>
                    </w:rPr>
                    <m:t xml:space="preserve">i</m:t>
                  </m:r>
                </m:sub>
              </m:sSub>
              <m:sSup>
                <m:e>
                  <m:r>
                    <w:rPr>
                      <w:rFonts w:ascii="Cambria Math" w:hAnsi="Cambria Math"/>
                      <w:sz w:val="28"/>
                    </w:rPr>
                    <m:t xml:space="preserve">e</m:t>
                  </m:r>
                </m:e>
                <m:sup>
                  <m:sSub>
                    <m:e>
                      <m:r>
                        <w:rPr>
                          <w:rFonts w:ascii="Cambria Math" w:hAnsi="Cambria Math"/>
                          <w:sz w:val="28"/>
                        </w:rPr>
                        <m:t xml:space="preserve">M</m:t>
                      </m:r>
                    </m:e>
                    <m:sub>
                      <m:r>
                        <w:rPr>
                          <w:rFonts w:ascii="Cambria Math" w:hAnsi="Cambria Math"/>
                          <w:sz w:val="28"/>
                        </w:rPr>
                        <m:t xml:space="preserve">π(i)</m:t>
                      </m:r>
                    </m:sub>
                  </m:sSub>
                </m:sup>
              </m:sSup>
            </m:e>
          </m:d>
          <m:r>
            <w:rPr>
              <w:rFonts w:ascii="Cambria Math" w:hAnsi="Cambria Math"/>
              <w:sz w:val="28"/>
            </w:rPr>
            <m:t xml:space="preserve">,     </m:t>
          </m:r>
          <m:sSub>
            <m:e>
              <m:acc>
                <m:accPr>
                  <m:chr m:val="̃"/>
                </m:accPr>
                <m:e>
                  <m:r>
                    <w:rPr>
                      <w:rFonts w:ascii="Cambria Math" w:hAnsi="Cambria Math"/>
                      <w:sz w:val="28"/>
                    </w:rPr>
                    <m:t xml:space="preserve">y</m:t>
                  </m:r>
                </m:e>
              </m:acc>
            </m:e>
            <m:sub>
              <m:r>
                <w:rPr>
                  <w:rFonts w:ascii="Cambria Math" w:hAnsi="Cambria Math"/>
                  <w:sz w:val="28"/>
                </w:rPr>
                <m:t xml:space="preserve">i</m:t>
              </m:r>
            </m:sub>
          </m:sSub>
          <m:r>
            <w:rPr>
              <w:rFonts w:ascii="Cambria Math" w:hAnsi="Cambria Math"/>
              <w:sz w:val="28"/>
            </w:rPr>
            <m:t xml:space="preserve">=</m:t>
          </m:r>
          <m:sSub>
            <m:e>
              <m:r>
                <w:rPr>
                  <w:rFonts w:ascii="Cambria Math" w:hAnsi="Cambria Math"/>
                  <w:sz w:val="28"/>
                </w:rPr>
                <m:t xml:space="preserve">y</m:t>
              </m:r>
            </m:e>
            <m:sub>
              <m:r>
                <w:rPr>
                  <w:rFonts w:ascii="Cambria Math" w:hAnsi="Cambria Math"/>
                  <w:sz w:val="28"/>
                </w:rPr>
                <m:t xml:space="preserve">i</m:t>
              </m:r>
            </m:sub>
          </m:sSub>
          <m:r>
            <w:rPr>
              <w:rFonts w:ascii="Cambria Math" w:hAnsi="Cambria Math"/>
              <w:sz w:val="28"/>
            </w:rPr>
            <m:t xml:space="preserve">∨</m:t>
          </m:r>
          <m:sSub>
            <m:e>
              <m:r>
                <w:rPr>
                  <w:rFonts w:ascii="Cambria Math" w:hAnsi="Cambria Math"/>
                  <w:sz w:val="28"/>
                </w:rPr>
                <m:t xml:space="preserve">y</m:t>
              </m:r>
            </m:e>
            <m:sub>
              <m:r>
                <w:rPr>
                  <w:rFonts w:ascii="Cambria Math" w:hAnsi="Cambria Math"/>
                  <w:sz w:val="28"/>
                </w:rPr>
                <m:t xml:space="preserve">π(i)</m:t>
              </m:r>
            </m:sub>
          </m:sSub>
          <m:r>
            <w:rPr>
              <w:rFonts w:ascii="Cambria Math" w:hAnsi="Cambria Math"/>
              <w:sz w:val="28"/>
            </w:rPr>
            <m:t xml:space="preserve">,</m:t>
          </m:r>
        </m:oMath>
      </m:oMathPara>
    </w:p>
    <w:p>
      <w:pPr>
        <w:spacing w:after="0" w:before="0" w:line="240" w:lineRule="auto"/>
        <w:ind w:left="0" w:firstLine="0"/>
        <w:jc w:val="both"/>
      </w:pPr>
      <w:r>
        <w:rPr>
          <w:rFonts w:ascii="Times New Roman" w:cs="Times New Roman" w:eastAsia="Times New Roman" w:hAnsi="Times New Roman"/>
          <w:sz w:val="28"/>
          <w:szCs w:val="28"/>
          <w:lang w:val="uk-UA"/>
        </w:rPr>
        <w:t xml:space="preserve">де </w:t>
      </w:r>
      <m:oMath>
        <m:r>
          <w:rPr>
            <w:rFonts w:ascii="Cambria Math" w:hAnsi="Cambria Math"/>
            <w:sz w:val="28"/>
          </w:rPr>
          <m:t xml:space="preserve">π</m:t>
        </m:r>
      </m:oMath>
      <w:r>
        <w:rPr>
          <w:rFonts w:ascii="Times New Roman" w:cs="Times New Roman" w:eastAsia="Times New Roman" w:hAnsi="Times New Roman"/>
          <w:sz w:val="28"/>
          <w:szCs w:val="28"/>
          <w:lang w:val="uk-UA"/>
        </w:rPr>
        <w:t xml:space="preserve"> є випадковою перестановкою пакета, </w:t>
      </w:r>
      <m:oMath>
        <m:sSub>
          <m:e>
            <m:r>
              <w:rPr>
                <w:rFonts w:ascii="Cambria Math" w:hAnsi="Cambria Math"/>
                <w:sz w:val="28"/>
              </w:rPr>
              <m:t xml:space="preserve">g</m:t>
            </m:r>
          </m:e>
          <m:sub>
            <m:r>
              <w:rPr>
                <w:rFonts w:ascii="Cambria Math" w:hAnsi="Cambria Math"/>
                <w:sz w:val="28"/>
              </w:rPr>
              <m:t xml:space="preserve">i</m:t>
            </m:r>
          </m:sub>
        </m:sSub>
      </m:oMath>
      <w:r>
        <w:rPr>
          <w:rFonts w:ascii="Times New Roman" w:cs="Times New Roman" w:eastAsia="Times New Roman" w:hAnsi="Times New Roman"/>
          <w:sz w:val="28"/>
          <w:szCs w:val="28"/>
          <w:lang w:val="uk-UA"/>
        </w:rPr>
        <w:t xml:space="preserve"> задає випадкову різницю гучностей у межах ±6 дБ, а мітка суміші є об’єднанням міток. На відміну від змішування прикладів [4], така суміш відповідає фізичному додаванню звуків, а мітки залишаються двійковими. Суміші формуються заново на кожній епосі, тож модель бачить нові комбінації інструментів і повільніше перенавчається. Модель навчається 100 епох мінімізацією бінарної перехресної ентропії методом Adam з косинусним зменшенням кроку навчання.</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pStyle w:val="Heading1"/>
        <w:keepNext w:val="1"/>
        <w:spacing w:after="0" w:before="0" w:line="240" w:lineRule="auto"/>
        <w:ind w:left="0" w:firstLine="566"/>
        <w:jc w:val="both"/>
      </w:pPr>
      <w:r>
        <w:rPr>
          <w:rFonts w:ascii="Times New Roman" w:cs="Times New Roman" w:eastAsia="Times New Roman" w:hAnsi="Times New Roman"/>
          <w:b w:val="1"/>
          <w:bCs w:val="1"/>
          <w:sz w:val="28"/>
          <w:szCs w:val="28"/>
          <w:lang w:val="uk-UA"/>
        </w:rPr>
        <w:t xml:space="preserve">Розпізнавання запису та вибір порогу</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566"/>
        <w:jc w:val="both"/>
      </w:pPr>
      <w:r>
        <w:rPr>
          <w:rFonts w:ascii="Times New Roman" w:cs="Times New Roman" w:eastAsia="Times New Roman" w:hAnsi="Times New Roman"/>
          <w:sz w:val="28"/>
          <w:szCs w:val="28"/>
          <w:lang w:val="uk-UA"/>
        </w:rPr>
        <w:t xml:space="preserve">Запис довільної тривалості обробляється ковзним вікном 3 с з кроком 1,5 с. Для вікон </w:t>
      </w:r>
      <m:oMath>
        <m:r>
          <w:rPr>
            <w:rFonts w:ascii="Cambria Math" w:hAnsi="Cambria Math"/>
            <w:sz w:val="28"/>
          </w:rPr>
          <m:t xml:space="preserve">w=1,…,W</m:t>
        </m:r>
      </m:oMath>
      <w:r>
        <w:rPr>
          <w:rFonts w:ascii="Times New Roman" w:cs="Times New Roman" w:eastAsia="Times New Roman" w:hAnsi="Times New Roman"/>
          <w:sz w:val="28"/>
          <w:szCs w:val="28"/>
          <w:lang w:val="uk-UA"/>
        </w:rPr>
        <w:t xml:space="preserve"> модель повертає ймовірності </w:t>
      </w:r>
      <m:oMath>
        <m:sSup>
          <m:e>
            <m:r>
              <w:rPr>
                <w:rFonts w:ascii="Cambria Math" w:hAnsi="Cambria Math"/>
                <w:sz w:val="28"/>
              </w:rPr>
              <m:t xml:space="preserve">p</m:t>
            </m:r>
          </m:e>
          <m:sup>
            <m:r>
              <w:rPr>
                <w:rFonts w:ascii="Cambria Math" w:hAnsi="Cambria Math"/>
                <w:sz w:val="28"/>
              </w:rPr>
              <m:t xml:space="preserve">(w)</m:t>
            </m:r>
          </m:sup>
        </m:sSup>
      </m:oMath>
      <w:r>
        <w:rPr>
          <w:rFonts w:ascii="Times New Roman" w:cs="Times New Roman" w:eastAsia="Times New Roman" w:hAnsi="Times New Roman"/>
          <w:sz w:val="28"/>
          <w:szCs w:val="28"/>
          <w:lang w:val="uk-UA"/>
        </w:rPr>
        <w:t xml:space="preserve">, які агрегуються підсумовуванням з нормуванням на максимум [1]:</w:t>
      </w:r>
    </w:p>
    <w:p>
      <w:pPr>
        <w:spacing w:after="120" w:before="120" w:line="240" w:lineRule="auto"/>
        <w:ind w:left="0" w:firstLine="0"/>
        <w:jc w:val="center"/>
      </w:pPr>
      <m:oMathPara>
        <m:oMathParaPr>
          <m:jc m:val="center"/>
        </m:oMathParaPr>
        <m:oMath>
          <m:sSub>
            <m:e>
              <m:r>
                <w:rPr>
                  <w:rFonts w:ascii="Cambria Math" w:hAnsi="Cambria Math"/>
                  <w:sz w:val="28"/>
                </w:rPr>
                <m:t xml:space="preserve">S</m:t>
              </m:r>
            </m:e>
            <m:sub>
              <m:r>
                <w:rPr>
                  <w:rFonts w:ascii="Cambria Math" w:hAnsi="Cambria Math"/>
                  <w:sz w:val="28"/>
                </w:rPr>
                <m:t xml:space="preserve">k</m:t>
              </m:r>
            </m:sub>
          </m:sSub>
          <m:r>
            <w:rPr>
              <w:rFonts w:ascii="Cambria Math" w:hAnsi="Cambria Math"/>
              <w:sz w:val="28"/>
            </w:rPr>
            <m:t xml:space="preserve">=</m:t>
          </m:r>
          <m:nary>
            <m:naryPr>
              <m:chr m:val="∑"/>
            </m:naryPr>
            <m:sub>
              <m:r>
                <w:rPr>
                  <w:rFonts w:ascii="Cambria Math" w:hAnsi="Cambria Math"/>
                  <w:sz w:val="28"/>
                </w:rPr>
                <m:t xml:space="preserve">w=1</m:t>
              </m:r>
            </m:sub>
            <m:sup>
              <m:r>
                <w:rPr>
                  <w:rFonts w:ascii="Cambria Math" w:hAnsi="Cambria Math"/>
                  <w:sz w:val="28"/>
                </w:rPr>
                <m:t xml:space="preserve">W</m:t>
              </m:r>
            </m:sup>
            <m:e>
              <m:sSubSup>
                <m:e>
                  <m:r>
                    <w:rPr>
                      <w:rFonts w:ascii="Cambria Math" w:hAnsi="Cambria Math"/>
                      <w:sz w:val="28"/>
                    </w:rPr>
                    <m:t xml:space="preserve">p</m:t>
                  </m:r>
                </m:e>
                <m:sub>
                  <m:r>
                    <w:rPr>
                      <w:rFonts w:ascii="Cambria Math" w:hAnsi="Cambria Math"/>
                      <w:sz w:val="28"/>
                    </w:rPr>
                    <m:t xml:space="preserve">k</m:t>
                  </m:r>
                </m:sub>
                <m:sup>
                  <m:r>
                    <w:rPr>
                      <w:rFonts w:ascii="Cambria Math" w:hAnsi="Cambria Math"/>
                      <w:sz w:val="28"/>
                    </w:rPr>
                    <m:t xml:space="preserve">(w)</m:t>
                  </m:r>
                </m:sup>
              </m:sSubSup>
            </m:e>
          </m:nary>
          <m:r>
            <w:rPr>
              <w:rFonts w:ascii="Cambria Math" w:hAnsi="Cambria Math"/>
              <w:sz w:val="28"/>
            </w:rPr>
            <m:t xml:space="preserve">,     </m:t>
          </m:r>
          <m:sSub>
            <m:e>
              <m:bar>
                <m:barPr>
                  <m:pos m:val="top"/>
                </m:barPr>
                <m:e>
                  <m:r>
                    <w:rPr>
                      <w:rFonts w:ascii="Cambria Math" w:hAnsi="Cambria Math"/>
                      <w:sz w:val="28"/>
                    </w:rPr>
                    <m:t xml:space="preserve">S</m:t>
                  </m:r>
                </m:e>
              </m:bar>
            </m:e>
            <m:sub>
              <m:r>
                <w:rPr>
                  <w:rFonts w:ascii="Cambria Math" w:hAnsi="Cambria Math"/>
                  <w:sz w:val="28"/>
                </w:rPr>
                <m:t xml:space="preserve">k</m:t>
              </m:r>
            </m:sub>
          </m:sSub>
          <m:r>
            <w:rPr>
              <w:rFonts w:ascii="Cambria Math" w:hAnsi="Cambria Math"/>
              <w:sz w:val="28"/>
            </w:rPr>
            <m:t xml:space="preserve">=</m:t>
          </m:r>
          <m:f>
            <m:num>
              <m:sSub>
                <m:e>
                  <m:r>
                    <w:rPr>
                      <w:rFonts w:ascii="Cambria Math" w:hAnsi="Cambria Math"/>
                      <w:sz w:val="28"/>
                    </w:rPr>
                    <m:t xml:space="preserve">S</m:t>
                  </m:r>
                </m:e>
                <m:sub>
                  <m:r>
                    <w:rPr>
                      <w:rFonts w:ascii="Cambria Math" w:hAnsi="Cambria Math"/>
                      <w:sz w:val="28"/>
                    </w:rPr>
                    <m:t xml:space="preserve">k</m:t>
                  </m:r>
                </m:sub>
              </m:sSub>
            </m:num>
            <m:den>
              <m:func>
                <m:fName>
                  <m:limLow>
                    <m:e>
                      <m:r>
                        <m:rPr>
                          <m:sty m:val="p"/>
                        </m:rPr>
                        <w:rPr>
                          <w:rFonts w:ascii="Cambria Math" w:hAnsi="Cambria Math"/>
                          <w:sz w:val="28"/>
                        </w:rPr>
                        <m:t xml:space="preserve">max</m:t>
                      </m:r>
                    </m:e>
                    <m:lim>
                      <m:r>
                        <w:rPr>
                          <w:rFonts w:ascii="Cambria Math" w:hAnsi="Cambria Math"/>
                          <w:sz w:val="28"/>
                        </w:rPr>
                        <m:t xml:space="preserve">j</m:t>
                      </m:r>
                    </m:lim>
                  </m:limLow>
                </m:fName>
                <m:e>
                  <m:sSub>
                    <m:e>
                      <m:r>
                        <w:rPr>
                          <w:rFonts w:ascii="Cambria Math" w:hAnsi="Cambria Math"/>
                          <w:sz w:val="28"/>
                        </w:rPr>
                        <m:t xml:space="preserve">S</m:t>
                      </m:r>
                    </m:e>
                    <m:sub>
                      <m:r>
                        <w:rPr>
                          <w:rFonts w:ascii="Cambria Math" w:hAnsi="Cambria Math"/>
                          <w:sz w:val="28"/>
                        </w:rPr>
                        <m:t xml:space="preserve">j</m:t>
                      </m:r>
                    </m:sub>
                  </m:sSub>
                </m:e>
              </m:func>
            </m:den>
          </m:f>
          <m:r>
            <w:rPr>
              <w:rFonts w:ascii="Cambria Math" w:hAnsi="Cambria Math"/>
              <w:sz w:val="28"/>
            </w:rPr>
            <m:t xml:space="preserve">,</m:t>
          </m:r>
        </m:oMath>
      </m:oMathPara>
    </w:p>
    <w:p>
      <w:pPr>
        <w:spacing w:after="0" w:before="0" w:line="240" w:lineRule="auto"/>
        <w:ind w:left="0" w:firstLine="0"/>
        <w:jc w:val="both"/>
      </w:pPr>
      <w:r>
        <w:rPr>
          <w:rFonts w:ascii="Times New Roman" w:cs="Times New Roman" w:eastAsia="Times New Roman" w:hAnsi="Times New Roman"/>
          <w:sz w:val="28"/>
          <w:szCs w:val="28"/>
          <w:lang w:val="uk-UA"/>
        </w:rPr>
        <w:t xml:space="preserve">а рішення про присутність інструмента приймається за порогом:</w:t>
      </w:r>
    </w:p>
    <w:p>
      <w:pPr>
        <w:spacing w:after="120" w:before="120" w:line="240" w:lineRule="auto"/>
        <w:ind w:left="0" w:firstLine="0"/>
        <w:jc w:val="center"/>
      </w:pPr>
      <m:oMathPara>
        <m:oMathParaPr>
          <m:jc m:val="center"/>
        </m:oMathParaPr>
        <m:oMath>
          <m:sSub>
            <m:e>
              <m:acc>
                <m:accPr>
                  <m:chr m:val="̂"/>
                </m:accPr>
                <m:e>
                  <m:r>
                    <w:rPr>
                      <w:rFonts w:ascii="Cambria Math" w:hAnsi="Cambria Math"/>
                      <w:sz w:val="28"/>
                    </w:rPr>
                    <m:t xml:space="preserve">y</m:t>
                  </m:r>
                </m:e>
              </m:acc>
            </m:e>
            <m:sub>
              <m:r>
                <w:rPr>
                  <w:rFonts w:ascii="Cambria Math" w:hAnsi="Cambria Math"/>
                  <w:sz w:val="28"/>
                </w:rPr>
                <m:t xml:space="preserve">k</m:t>
              </m:r>
            </m:sub>
          </m:sSub>
          <m:r>
            <w:rPr>
              <w:rFonts w:ascii="Cambria Math" w:hAnsi="Cambria Math"/>
              <w:sz w:val="28"/>
            </w:rPr>
            <m:t xml:space="preserve">=</m:t>
          </m:r>
          <m:d>
            <m:dPr>
              <m:begChr m:val="{"/>
              <m:endChr m:val=""/>
            </m:dPr>
            <m:e>
              <m:eqArr>
                <m:e>
                  <m:r>
                    <w:rPr>
                      <w:rFonts w:ascii="Cambria Math" w:hAnsi="Cambria Math"/>
                      <w:sz w:val="28"/>
                    </w:rPr>
                    <m:t xml:space="preserve">1,  </m:t>
                  </m:r>
                  <m:sSub>
                    <m:e>
                      <m:bar>
                        <m:barPr>
                          <m:pos m:val="top"/>
                        </m:barPr>
                        <m:e>
                          <m:r>
                            <w:rPr>
                              <w:rFonts w:ascii="Cambria Math" w:hAnsi="Cambria Math"/>
                              <w:sz w:val="28"/>
                            </w:rPr>
                            <m:t xml:space="preserve">S</m:t>
                          </m:r>
                        </m:e>
                      </m:bar>
                    </m:e>
                    <m:sub>
                      <m:r>
                        <w:rPr>
                          <w:rFonts w:ascii="Cambria Math" w:hAnsi="Cambria Math"/>
                          <w:sz w:val="28"/>
                        </w:rPr>
                        <m:t xml:space="preserve">k</m:t>
                      </m:r>
                    </m:sub>
                  </m:sSub>
                  <m:r>
                    <w:rPr>
                      <w:rFonts w:ascii="Cambria Math" w:hAnsi="Cambria Math"/>
                      <w:sz w:val="28"/>
                    </w:rPr>
                    <m:t xml:space="preserve">≥τ,</m:t>
                  </m:r>
                </m:e>
                <m:e>
                  <m:r>
                    <w:rPr>
                      <w:rFonts w:ascii="Cambria Math" w:hAnsi="Cambria Math"/>
                      <w:sz w:val="28"/>
                    </w:rPr>
                    <m:t xml:space="preserve">0,  </m:t>
                  </m:r>
                  <m:sSub>
                    <m:e>
                      <m:bar>
                        <m:barPr>
                          <m:pos m:val="top"/>
                        </m:barPr>
                        <m:e>
                          <m:r>
                            <w:rPr>
                              <w:rFonts w:ascii="Cambria Math" w:hAnsi="Cambria Math"/>
                              <w:sz w:val="28"/>
                            </w:rPr>
                            <m:t xml:space="preserve">S</m:t>
                          </m:r>
                        </m:e>
                      </m:bar>
                    </m:e>
                    <m:sub>
                      <m:r>
                        <w:rPr>
                          <w:rFonts w:ascii="Cambria Math" w:hAnsi="Cambria Math"/>
                          <w:sz w:val="28"/>
                        </w:rPr>
                        <m:t xml:space="preserve">k</m:t>
                      </m:r>
                    </m:sub>
                  </m:sSub>
                  <m:r>
                    <w:rPr>
                      <w:rFonts w:ascii="Cambria Math" w:hAnsi="Cambria Math"/>
                      <w:sz w:val="28"/>
                    </w:rPr>
                    <m:t xml:space="preserve">&lt;τ,</m:t>
                  </m:r>
                </m:e>
              </m:eqArr>
            </m:e>
          </m:d>
        </m:oMath>
      </m:oMathPara>
    </w:p>
    <w:p>
      <w:pPr>
        <w:spacing w:after="0" w:before="0" w:line="240" w:lineRule="auto"/>
        <w:ind w:left="0" w:firstLine="566"/>
        <w:jc w:val="both"/>
      </w:pPr>
      <w:r>
        <w:rPr>
          <w:rFonts w:ascii="Times New Roman" w:cs="Times New Roman" w:eastAsia="Times New Roman" w:hAnsi="Times New Roman"/>
          <w:sz w:val="28"/>
          <w:szCs w:val="28"/>
          <w:lang w:val="uk-UA"/>
        </w:rPr>
        <w:t xml:space="preserve">Поріг не можна обирати на тестових даних, а звичайна перевірочна вибірка містить по одному інструменту і схиляє до порогу, що пригнічує другорядні інструменти. Тому поріг обирається на синтетичній багатоінструментній перевірочній вибірці, у якій кожен перевірочний фрагмент змішано з 0–2 фрагментами інших записів. Найкращі значення лежать на плато 0,40–0,50, і обрано поріг 0,5.</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pStyle w:val="Heading1"/>
        <w:keepNext w:val="1"/>
        <w:spacing w:after="0" w:before="0" w:line="240" w:lineRule="auto"/>
        <w:ind w:left="0" w:firstLine="566"/>
        <w:jc w:val="both"/>
      </w:pPr>
      <w:r>
        <w:rPr>
          <w:rFonts w:ascii="Times New Roman" w:cs="Times New Roman" w:eastAsia="Times New Roman" w:hAnsi="Times New Roman"/>
          <w:b w:val="1"/>
          <w:bCs w:val="1"/>
          <w:sz w:val="28"/>
          <w:szCs w:val="28"/>
          <w:lang w:val="uk-UA"/>
        </w:rPr>
        <w:t xml:space="preserve">Результати експериментальних досліджень</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566"/>
        <w:jc w:val="both"/>
      </w:pPr>
      <w:r>
        <w:rPr>
          <w:rFonts w:ascii="Times New Roman" w:cs="Times New Roman" w:eastAsia="Times New Roman" w:hAnsi="Times New Roman"/>
          <w:sz w:val="28"/>
          <w:szCs w:val="28"/>
          <w:lang w:val="uk-UA"/>
        </w:rPr>
        <w:t xml:space="preserve">Експерименти проведено на наборі даних IRMAS [3]. Перевірочну вибірку сформовано за записами, щоб фрагменти одного запису не потрапляли одночасно до навчальної та перевірочної вибірок: випадковий поділ фрагментів завищує F1-міру на перевірочній вибірці з 0,72 до 0,81. Результати усереднено за п’ятьма незалежними запусками. Порівняння з існуючими рішеннями наведено в таблиці 2.</w:t>
      </w:r>
    </w:p>
    <w:p>
      <w:pPr>
        <w:keepNext w:val="1"/>
        <w:spacing w:after="0" w:before="120" w:line="240" w:lineRule="auto"/>
        <w:ind w:left="0" w:firstLine="0"/>
        <w:jc w:val="right"/>
      </w:pPr>
      <w:r>
        <w:rPr>
          <w:rFonts w:ascii="Times New Roman" w:cs="Times New Roman" w:eastAsia="Times New Roman" w:hAnsi="Times New Roman"/>
          <w:sz w:val="28"/>
          <w:szCs w:val="28"/>
          <w:lang w:val="uk-UA"/>
        </w:rPr>
        <w:t xml:space="preserve">Таблиця 2.</w:t>
      </w:r>
    </w:p>
    <w:p>
      <w:pPr>
        <w:keepNext w:val="1"/>
        <w:spacing w:after="60" w:before="0" w:line="240" w:lineRule="auto"/>
        <w:ind w:left="0" w:firstLine="0"/>
        <w:jc w:val="center"/>
      </w:pPr>
      <w:r>
        <w:rPr>
          <w:rFonts w:ascii="Times New Roman" w:cs="Times New Roman" w:eastAsia="Times New Roman" w:hAnsi="Times New Roman"/>
          <w:sz w:val="28"/>
          <w:szCs w:val="28"/>
          <w:lang w:val="uk-UA"/>
        </w:rPr>
        <w:t xml:space="preserve">Порівняння з існуючими рішеннями на тестовій частині IRMAS</w:t>
      </w:r>
    </w:p>
    <w:tbl>
      <w:tblPr>
        <w:tblW w:w="8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Pr>
      <w:tblGrid>
        <w:gridCol w:w="3700"/>
        <w:gridCol w:w="1500"/>
        <w:gridCol w:w="1700"/>
        <w:gridCol w:w="1700"/>
      </w:tblGrid>
      <w:tr>
        <w:trPr>
          <w:tblHeader w:val="1"/>
        </w:trPr>
        <w:tc>
          <w:tcPr>
            <w:tcW w:w="37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Модель</w:t>
            </w:r>
          </w:p>
        </w:tc>
        <w:tc>
          <w:tcPr>
            <w:tcW w:w="15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Параметрів</w:t>
            </w:r>
          </w:p>
        </w:tc>
        <w:tc>
          <w:tcPr>
            <w:tcW w:w="17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F1 макро</w:t>
            </w:r>
          </w:p>
        </w:tc>
        <w:tc>
          <w:tcPr>
            <w:tcW w:w="17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F1 мікро</w:t>
            </w:r>
          </w:p>
        </w:tc>
      </w:tr>
      <w:tr>
        <w:tc>
          <w:tcPr>
            <w:tcW w:w="3700" w:type="dxa"/>
            <w:tcMar>
              <w:top w:w="40" w:type="dxa"/>
              <w:left w:w="80" w:type="dxa"/>
              <w:bottom w:w="40" w:type="dxa"/>
              <w:right w:w="80" w:type="dxa"/>
            </w:tcMar>
          </w:tcPr>
          <w:p>
            <w:pPr>
              <w:spacing w:after="0" w:before="0" w:line="240" w:lineRule="auto"/>
              <w:ind w:left="0" w:firstLine="0"/>
              <w:jc w:val="left"/>
            </w:pPr>
            <w:r>
              <w:rPr>
                <w:rFonts w:ascii="Times New Roman" w:cs="Times New Roman" w:eastAsia="Times New Roman" w:hAnsi="Times New Roman"/>
                <w:sz w:val="24"/>
                <w:szCs w:val="24"/>
                <w:lang w:val="uk-UA"/>
              </w:rPr>
              <w:t xml:space="preserve">Модель Хана та ін. [1]</w:t>
            </w:r>
          </w:p>
        </w:tc>
        <w:tc>
          <w:tcPr>
            <w:tcW w:w="15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1,45 млн</w:t>
            </w:r>
          </w:p>
        </w:tc>
        <w:tc>
          <w:tcPr>
            <w:tcW w:w="17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0,503</w:t>
            </w:r>
          </w:p>
        </w:tc>
        <w:tc>
          <w:tcPr>
            <w:tcW w:w="17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0,602</w:t>
            </w:r>
          </w:p>
        </w:tc>
      </w:tr>
      <w:tr>
        <w:tc>
          <w:tcPr>
            <w:tcW w:w="3700" w:type="dxa"/>
            <w:tcMar>
              <w:top w:w="40" w:type="dxa"/>
              <w:left w:w="80" w:type="dxa"/>
              <w:bottom w:w="40" w:type="dxa"/>
              <w:right w:w="80" w:type="dxa"/>
            </w:tcMar>
          </w:tcPr>
          <w:p>
            <w:pPr>
              <w:spacing w:after="0" w:before="0" w:line="240" w:lineRule="auto"/>
              <w:ind w:left="0" w:firstLine="0"/>
              <w:jc w:val="left"/>
            </w:pPr>
            <w:r>
              <w:rPr>
                <w:rFonts w:ascii="Times New Roman" w:cs="Times New Roman" w:eastAsia="Times New Roman" w:hAnsi="Times New Roman"/>
                <w:sz w:val="24"/>
                <w:szCs w:val="24"/>
                <w:lang w:val="uk-UA"/>
              </w:rPr>
              <w:t xml:space="preserve">Модель Понса та ін. [2]</w:t>
            </w:r>
          </w:p>
        </w:tc>
        <w:tc>
          <w:tcPr>
            <w:tcW w:w="15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743 тис.</w:t>
            </w:r>
          </w:p>
        </w:tc>
        <w:tc>
          <w:tcPr>
            <w:tcW w:w="17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0,516</w:t>
            </w:r>
          </w:p>
        </w:tc>
        <w:tc>
          <w:tcPr>
            <w:tcW w:w="17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0,589</w:t>
            </w:r>
          </w:p>
        </w:tc>
      </w:tr>
      <w:tr>
        <w:tc>
          <w:tcPr>
            <w:tcW w:w="3700" w:type="dxa"/>
            <w:tcMar>
              <w:top w:w="40" w:type="dxa"/>
              <w:left w:w="80" w:type="dxa"/>
              <w:bottom w:w="40" w:type="dxa"/>
              <w:right w:w="80" w:type="dxa"/>
            </w:tcMar>
          </w:tcPr>
          <w:p>
            <w:pPr>
              <w:spacing w:after="0" w:before="0" w:line="240" w:lineRule="auto"/>
              <w:ind w:left="0" w:firstLine="0"/>
              <w:jc w:val="left"/>
            </w:pPr>
            <w:r>
              <w:rPr>
                <w:rFonts w:ascii="Times New Roman" w:cs="Times New Roman" w:eastAsia="Times New Roman" w:hAnsi="Times New Roman"/>
                <w:sz w:val="24"/>
                <w:szCs w:val="24"/>
                <w:lang w:val="uk-UA"/>
              </w:rPr>
              <w:t xml:space="preserve">Розроблена модель</w:t>
            </w:r>
          </w:p>
        </w:tc>
        <w:tc>
          <w:tcPr>
            <w:tcW w:w="15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656 тис.</w:t>
            </w:r>
          </w:p>
        </w:tc>
        <w:tc>
          <w:tcPr>
            <w:tcW w:w="17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0,524 ± 0,004</w:t>
            </w:r>
          </w:p>
        </w:tc>
        <w:tc>
          <w:tcPr>
            <w:tcW w:w="1700" w:type="dxa"/>
            <w:tcMar>
              <w:top w:w="40" w:type="dxa"/>
              <w:left w:w="80" w:type="dxa"/>
              <w:bottom w:w="40" w:type="dxa"/>
              <w:right w:w="80" w:type="dxa"/>
            </w:tcMar>
          </w:tcPr>
          <w:p>
            <w:pPr>
              <w:spacing w:after="0" w:before="0" w:line="240" w:lineRule="auto"/>
              <w:ind w:left="0" w:firstLine="0"/>
              <w:jc w:val="center"/>
            </w:pPr>
            <w:r>
              <w:rPr>
                <w:rFonts w:ascii="Times New Roman" w:cs="Times New Roman" w:eastAsia="Times New Roman" w:hAnsi="Times New Roman"/>
                <w:sz w:val="24"/>
                <w:szCs w:val="24"/>
                <w:lang w:val="uk-UA"/>
              </w:rPr>
              <w:t xml:space="preserve">0,614 ± 0,004</w:t>
            </w:r>
          </w:p>
        </w:tc>
      </w:tr>
    </w:tbl>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566"/>
        <w:jc w:val="both"/>
      </w:pPr>
      <w:r>
        <w:rPr>
          <w:rFonts w:ascii="Times New Roman" w:cs="Times New Roman" w:eastAsia="Times New Roman" w:hAnsi="Times New Roman"/>
          <w:sz w:val="28"/>
          <w:szCs w:val="28"/>
          <w:lang w:val="uk-UA"/>
        </w:rPr>
        <w:t xml:space="preserve">Розроблена модель перевершує обидві відомі моделі за макро- та мікроусередненою F1-мірою, маючи в 2,2 раза менше параметрів, ніж модель [1]. Найкраще розпізнаються голос (F1-міра 0,92) та саксофон (0,73), найгірше кларнет (0,21) і віолончель (0,31), які рідко трапляються в тестовій вибірці.</w:t>
      </w:r>
    </w:p>
    <w:p>
      <w:pPr>
        <w:spacing w:after="0" w:before="0" w:line="240" w:lineRule="auto"/>
        <w:ind w:left="0" w:firstLine="566"/>
        <w:jc w:val="both"/>
      </w:pPr>
      <w:r>
        <w:rPr>
          <w:rFonts w:ascii="Times New Roman" w:cs="Times New Roman" w:eastAsia="Times New Roman" w:hAnsi="Times New Roman"/>
          <w:sz w:val="28"/>
          <w:szCs w:val="28"/>
          <w:lang w:val="uk-UA"/>
        </w:rPr>
        <w:t xml:space="preserve">Найбільший внесок дають синтетичні суміші (з 0,480 до 0,504) та довше навчання, яке вони уможливлюють (до 0,524). Встановлено також, що явне гармонічне представлення спектра [5] покращує якість при навчанні без сумішей (з 0,480 до 0,499), але погіршує її при навчанні на сумішах (з 0,504 до 0,478), оскільки в суміші енергія на частотах обертонів може належати іншому інструменту.</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pStyle w:val="Heading1"/>
        <w:keepNext w:val="1"/>
        <w:spacing w:after="0" w:before="0" w:line="240" w:lineRule="auto"/>
        <w:ind w:left="0" w:firstLine="566"/>
        <w:jc w:val="both"/>
      </w:pPr>
      <w:r>
        <w:rPr>
          <w:rFonts w:ascii="Times New Roman" w:cs="Times New Roman" w:eastAsia="Times New Roman" w:hAnsi="Times New Roman"/>
          <w:b w:val="1"/>
          <w:bCs w:val="1"/>
          <w:sz w:val="28"/>
          <w:szCs w:val="28"/>
          <w:lang w:val="uk-UA"/>
        </w:rPr>
        <w:t xml:space="preserve">Висновки</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566"/>
        <w:jc w:val="both"/>
      </w:pPr>
      <w:r>
        <w:rPr>
          <w:rFonts w:ascii="Times New Roman" w:cs="Times New Roman" w:eastAsia="Times New Roman" w:hAnsi="Times New Roman"/>
          <w:sz w:val="28"/>
          <w:szCs w:val="28"/>
          <w:lang w:val="uk-UA"/>
        </w:rPr>
        <w:t xml:space="preserve">Розроблено модель згорткової нейронної мережі, у якій тембральні фільтри працюють на логарифмічній частотній осі й охоплюють сталий музичний інтервал, та метод її навчання на синтетичних багатоінструментних сумішах. На наборі даних IRMAS модель досягає макроусередненої F1-міри 0,524 ± 0,004 та мікроусередненої 0,614 ± 0,004, перевищуючи опубліковані результати відомих згорткових моделей за меншої кількості параметрів.</w:t>
      </w:r>
    </w:p>
    <w:p>
      <w:pPr>
        <w:spacing w:after="0" w:before="0" w:line="240" w:lineRule="auto"/>
        <w:ind w:left="0" w:firstLine="566"/>
        <w:jc w:val="both"/>
      </w:pPr>
      <w:r>
        <w:rPr>
          <w:rFonts w:ascii="Times New Roman" w:cs="Times New Roman" w:eastAsia="Times New Roman" w:hAnsi="Times New Roman"/>
          <w:sz w:val="28"/>
          <w:szCs w:val="28"/>
          <w:lang w:val="uk-UA"/>
        </w:rPr>
        <w:t xml:space="preserve">Подальші дослідження передбачають навчання на повній версії набору IRMAS та підвищення якості розпізнавання інструментів акомпанементу і рідкісних класів.</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pStyle w:val="Heading1"/>
        <w:keepNext w:val="1"/>
        <w:spacing w:after="0" w:before="0" w:line="240" w:lineRule="auto"/>
        <w:ind w:left="0" w:firstLine="566"/>
        <w:jc w:val="both"/>
      </w:pPr>
      <w:r>
        <w:rPr>
          <w:rFonts w:ascii="Times New Roman" w:cs="Times New Roman" w:eastAsia="Times New Roman" w:hAnsi="Times New Roman"/>
          <w:b w:val="1"/>
          <w:bCs w:val="1"/>
          <w:sz w:val="28"/>
          <w:szCs w:val="28"/>
          <w:lang w:val="uk-UA"/>
        </w:rPr>
        <w:t xml:space="preserve">Література</w:t>
      </w:r>
    </w:p>
    <w:p>
      <w:pPr>
        <w:spacing w:after="0" w:before="0" w:line="240" w:lineRule="auto"/>
        <w:ind w:left="0" w:firstLine="566"/>
        <w:jc w:val="both"/>
      </w:pPr>
      <w:r>
        <w:rPr>
          <w:rFonts w:ascii="Times New Roman" w:cs="Times New Roman" w:eastAsia="Times New Roman" w:hAnsi="Times New Roman"/>
          <w:sz w:val="28"/>
          <w:szCs w:val="28"/>
          <w:lang w:val="uk-UA"/>
        </w:rPr>
        <w:t xml:space="preserve"/>
      </w:r>
    </w:p>
    <w:p>
      <w:pPr>
        <w:spacing w:after="0" w:before="0" w:line="240" w:lineRule="auto"/>
        <w:ind w:left="0" w:firstLine="566"/>
        <w:jc w:val="both"/>
      </w:pPr>
      <w:r>
        <w:rPr>
          <w:rFonts w:ascii="Times New Roman" w:cs="Times New Roman" w:eastAsia="Times New Roman" w:hAnsi="Times New Roman"/>
          <w:sz w:val="28"/>
          <w:szCs w:val="28"/>
          <w:lang w:val="en-GB"/>
        </w:rPr>
        <w:t xml:space="preserve">1. Han Y., Kim J., Lee K. Deep convolutional neural networks for predominant instrument recognition in polyphonic music. IEEE/ACM Transactions on Audio, Speech, and Language Processing. 2017. Vol. 25, No. 1. P. 208–221.</w:t>
      </w:r>
    </w:p>
    <w:p>
      <w:pPr>
        <w:spacing w:after="0" w:before="0" w:line="240" w:lineRule="auto"/>
        <w:ind w:left="0" w:firstLine="566"/>
        <w:jc w:val="both"/>
      </w:pPr>
      <w:r>
        <w:rPr>
          <w:rFonts w:ascii="Times New Roman" w:cs="Times New Roman" w:eastAsia="Times New Roman" w:hAnsi="Times New Roman"/>
          <w:sz w:val="28"/>
          <w:szCs w:val="28"/>
          <w:lang w:val="en-GB"/>
        </w:rPr>
        <w:t xml:space="preserve">2. Pons J., Slizovskaia O., Gong R., Gómez E., Serra X. Timbre analysis of music audio signals with convolutional neural networks. Proceedings of the 25th European Signal Processing Conference (EUSIPCO). Kos, 2017. P. 2744–2748.</w:t>
      </w:r>
    </w:p>
    <w:p>
      <w:pPr>
        <w:spacing w:after="0" w:before="0" w:line="240" w:lineRule="auto"/>
        <w:ind w:left="0" w:firstLine="566"/>
        <w:jc w:val="both"/>
      </w:pPr>
      <w:r>
        <w:rPr>
          <w:rFonts w:ascii="Times New Roman" w:cs="Times New Roman" w:eastAsia="Times New Roman" w:hAnsi="Times New Roman"/>
          <w:sz w:val="28"/>
          <w:szCs w:val="28"/>
          <w:lang w:val="en-GB"/>
        </w:rPr>
        <w:t xml:space="preserve">3. Bosch J. J., Janer J., Fuhrmann F., Herrera P. A comparison of sound segregation techniques for predominant instrument recognition in musical audio signals. Proceedings of the 13th International Society for Music Information Retrieval Conference (ISMIR). Porto, 2012. P. 559–564.</w:t>
      </w:r>
    </w:p>
    <w:p>
      <w:pPr>
        <w:spacing w:after="0" w:before="0" w:line="240" w:lineRule="auto"/>
        <w:ind w:left="0" w:firstLine="566"/>
        <w:jc w:val="both"/>
      </w:pPr>
      <w:r>
        <w:rPr>
          <w:rFonts w:ascii="Times New Roman" w:cs="Times New Roman" w:eastAsia="Times New Roman" w:hAnsi="Times New Roman"/>
          <w:sz w:val="28"/>
          <w:szCs w:val="28"/>
          <w:lang w:val="en-GB"/>
        </w:rPr>
        <w:t xml:space="preserve">4. Zhang H., Cisse M., Dauphin Y. N., Lopez-Paz D. mixup: beyond empirical risk minimization. Proceedings of the 6th International Conference on Learning Representations (ICLR). Vancouver, 2018.</w:t>
      </w:r>
    </w:p>
    <w:p>
      <w:pPr>
        <w:spacing w:after="0" w:before="0" w:line="240" w:lineRule="auto"/>
        <w:ind w:left="0" w:firstLine="566"/>
        <w:jc w:val="both"/>
      </w:pPr>
      <w:r>
        <w:rPr>
          <w:rFonts w:ascii="Times New Roman" w:cs="Times New Roman" w:eastAsia="Times New Roman" w:hAnsi="Times New Roman"/>
          <w:sz w:val="28"/>
          <w:szCs w:val="28"/>
          <w:lang w:val="en-GB"/>
        </w:rPr>
        <w:t xml:space="preserve">5. Bittner R. M., McFee B., Salamon J., Li P., Bello J. P. Deep salience representations for F0 estimation in polyphonic music. Proceedings of the 18th International Society for Music Information Retrieval Conference (ISMIR). Suzhou, 2017. P. 63–70.</w:t>
      </w:r>
    </w:p>
    <w:sectPr>
      <w:pgSz w:h="16834" w:w="11909" w:orient="portrait"/>
      <w:pgMar w:bottom="1984.2519685039372"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ind w:firstLine="56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2">
    <w:name w:val="heading 2"/>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3">
    <w:name w:val="heading 3"/>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5">
    <w:name w:val="heading 5"/>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6">
    <w:name w:val="heading 6"/>
    <w:basedOn w:val="Normal"/>
    <w:next w:val="Normal"/>
    <w:pPr>
      <w:keepNext w:val="1"/>
      <w:keepLines w:val="1"/>
      <w:pageBreakBefore w:val="0"/>
      <w:spacing w:after="0" w:before="0" w:line="240" w:lineRule="auto"/>
      <w:ind w:left="0" w:right="0" w:firstLine="566"/>
      <w:jc w:val="left"/>
    </w:pPr>
    <w:rPr>
      <w:rFonts w:ascii="Times New Roman" w:cs="Times New Roman" w:eastAsia="Times New Roman" w:hAnsi="Times New Roman"/>
      <w:b w:val="1"/>
      <w:bCs w:val="1"/>
      <w:i w:val="1"/>
      <w:iCs w:val="1"/>
      <w:smallCaps w:val="0"/>
      <w:strike w:val="0"/>
      <w:color w:val="000000"/>
      <w:sz w:val="28"/>
      <w:szCs w:val="28"/>
      <w:u w:val="none"/>
      <w:vertAlign w:val="baseline"/>
    </w:rPr>
  </w:style>
  <w:style w:type="paragraph" w:styleId="Title">
    <w:name w:val="Title"/>
    <w:basedOn w:val="Normal"/>
    <w:next w:val="Normal"/>
    <w:pPr>
      <w:keepNext w:val="1"/>
      <w:keepLines w:val="1"/>
      <w:pageBreakBefore w:val="0"/>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vertAlign w:val="baseline"/>
    </w:rPr>
  </w:style>
  <w:style w:type="paragraph" w:styleId="Subtitle">
    <w:name w:val="Subtitle"/>
    <w:basedOn w:val="Normal"/>
    <w:next w:val="Normal"/>
    <w:pPr>
      <w:keepNext w:val="1"/>
      <w:keepLines w:val="1"/>
      <w:pageBreakBefore w:val="0"/>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8"/>
      <w:szCs w:val="28"/>
      <w:u w:val="none"/>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