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line="240" w:lineRule="auto"/>
      </w:pPr>
      <w:r>
        <w:rPr>
          <w:rFonts w:ascii="Arial" w:hAnsi="Arial"/>
          <w:b w:val="0"/>
          <w:i w:val="0"/>
          <w:color w:val="000000"/>
          <w:sz w:val="14"/>
        </w:rPr>
        <w:t>Table S3. Public expression quantification inputs and output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Ind w:w="114" w:type="dxa"/>
      </w:tblPr>
      <w:tblGrid>
        <w:gridCol w:w="4521"/>
        <w:gridCol w:w="4521"/>
      </w:tblGrid>
      <w:tr>
        <w:trPr>
          <w:tblHeader w:val="true"/>
        </w:trPr>
        <w:tc>
          <w:tcPr>
            <w:tcW w:type="dxa" w:w="4521"/>
            <w:shd w:fill="F0F2F3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Field</w:t>
            </w:r>
          </w:p>
        </w:tc>
        <w:tc>
          <w:tcPr>
            <w:tcW w:type="dxa" w:w="4521"/>
            <w:shd w:fill="F0F2F3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Value</w:t>
            </w:r>
          </w:p>
        </w:tc>
      </w:tr>
      <w:tr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BioProject</w:t>
            </w:r>
          </w:p>
        </w:tc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PRJNA765494</w:t>
            </w:r>
          </w:p>
        </w:tc>
      </w:tr>
      <w:tr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Genotype / developmental stage</w:t>
            </w:r>
          </w:p>
        </w:tc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IC426787; 5 days post anthesis</w:t>
            </w:r>
          </w:p>
        </w:tc>
      </w:tr>
      <w:tr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Runs</w:t>
            </w:r>
          </w:p>
        </w:tc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SRR16122599, SRR16122608, SRR16122607</w:t>
            </w:r>
          </w:p>
        </w:tc>
      </w:tr>
      <w:tr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Assembly / cultivar</w:t>
            </w:r>
          </w:p>
        </w:tc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GCF_029865625.1 / Vumbellata_1.0 / VRB3</w:t>
            </w:r>
          </w:p>
        </w:tc>
      </w:tr>
      <w:tr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Annotation release</w:t>
            </w:r>
          </w:p>
        </w:tc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GCF_029865625.1-RS_2026_09</w:t>
            </w:r>
          </w:p>
        </w:tc>
      </w:tr>
      <w:tr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Quantifier</w:t>
            </w:r>
          </w:p>
        </w:tc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Salmon 2.8.0; selective alignment; k-mer length 31</w:t>
            </w:r>
          </w:p>
        </w:tc>
      </w:tr>
      <w:tr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Reference transcript count</w:t>
            </w:r>
          </w:p>
        </w:tc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54,178; RefSeq RNA FASTA SHA-256 in public-expression-manifest.json</w:t>
            </w:r>
          </w:p>
        </w:tc>
      </w:tr>
      <w:tr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Distinct GFF3 parent genes / matrix rows</w:t>
            </w:r>
          </w:p>
        </w:tc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36,754 distinct parent genes / 34,914 matrix rows</w:t>
            </w:r>
          </w:p>
        </w:tc>
      </w:tr>
      <w:tr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Exact annotation ID matches</w:t>
            </w:r>
          </w:p>
        </w:tc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34,914 of 34,914 matrix IDs; 0 unmatched</w:t>
            </w:r>
          </w:p>
        </w:tc>
      </w:tr>
      <w:tr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Missing / invalid cells</w:t>
            </w:r>
          </w:p>
        </w:tc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0 / 0</w:t>
            </w:r>
          </w:p>
        </w:tc>
      </w:tr>
      <w:tr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TPM column sums</w:t>
            </w:r>
          </w:p>
        </w:tc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1,000,000.000034; 999,999.999897; 999,999.999951</w:t>
            </w:r>
          </w:p>
        </w:tc>
      </w:tr>
      <w:tr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Interpretive limit</w:t>
            </w:r>
          </w:p>
        </w:tc>
        <w:tc>
          <w:tcPr>
            <w:tcW w:type="dxa" w:w="4521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  <w:insideH w:val="single" w:sz="4" w:color="000000" w:space="0"/>
              <w:insideV w:val="single" w:sz="4" w:color="000000" w:space="0"/>
            </w:tcBorders>
          </w:tcPr>
          <w:p>
            <w:pPr>
              <w:spacing w:line="240" w:lineRule="auto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</w:r>
            <w:r>
              <w:rPr>
                <w:rFonts w:ascii="Arial" w:hAnsi="Arial" w:eastAsia="Arial"/>
                <w:b w:val="0"/>
                <w:i w:val="0"/>
                <w:color w:val="000000"/>
                <w:sz w:val="14"/>
              </w:rPr>
              <w:t>Genotype differs from reference cultivar; import and identifier compatibility only; no differential-expression inference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480" w:lineRule="auto"/>
    </w:pPr>
    <w:rPr>
      <w:rFonts w:ascii="Arial" w:hAnsi="Arial" w:eastAsia="Arial" w:cs="Arial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/>
      <w:outlineLvl w:val="0"/>
    </w:pPr>
    <w:rPr>
      <w:rFonts w:ascii="Arial" w:hAnsi="Arial" w:eastAsia="Arial" w:cs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Arial" w:hAnsi="Arial" w:eastAsia="Arial" w:cs="Arial"/>
      <w:b w:val="0"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Arial" w:hAnsi="Arial" w:eastAsia="Arial" w:cs="Arial"/>
      <w:b w:val="0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