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rFonts w:ascii="Arial" w:hAnsi="Arial"/>
          <w:b w:val="0"/>
          <w:i w:val="0"/>
          <w:color w:val="000000"/>
          <w:sz w:val="14"/>
        </w:rPr>
        <w:t>Table S4. Additional module validation panels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14" w:type="dxa"/>
      </w:tblPr>
      <w:tblGrid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Function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Independent reference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Observed result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Scope limit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Promoter extraction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Direct 1-based inclusive FASTA slicing and reverse complement; bedtools 2.31.1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8/8 exact sequences, 2,200 bp each, both strands represented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Eight loci on one Arabidopsis chromosome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CDS sequence quality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Independent base-count/frame/start/stop oracle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Four RBCS CDS models (411, 561, 546, 546 nt) matched; no ambiguous bases flagged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Four models from one family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Protein similarity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Test-side Smith–Waterman and BLASTP 2.12.0+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All 16 within-panel alignment metric checks; 12/12 non-self RBCS and 8/8 negative pair classifications agree; 20/20 in the cross-species mature-RBCS panel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Small one-family smoke test; not orthology, sensitivity, or specificity evaluation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Expression grouping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Expression Atlas E-MTAB-7978 source values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Selected means/medians reproduced; measured zeros retained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Single-assay group arithmetic, not differential expression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Domain mapping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Independent Python reconstruction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16 domain/deletion coordinate records across 13 genes matched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Existing annotated models; not a curated multi-species accuracy set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Project persistence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JavaFX regression actions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Save, replace, restore, locus state and outputs verified in CI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Software behavior, not usability study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480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rial" w:hAnsi="Arial" w:eastAsia="Arial" w:cs="Arial"/>
      <w:b w:val="0"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Arial" w:hAnsi="Arial" w:eastAsia="Arial" w:cs="Arial"/>
      <w:b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