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sz w:val="32"/>
        </w:rPr>
        <w:t>BiSPoLP: Biotic Stress Potato LncRNA Predictor — Classificação de lncRNAs Responsivos ao Estresse Biótico em Solanum tuberosum por Composição de k-mers e Aprendizado de Máquina</w:t>
      </w:r>
    </w:p>
    <w:p/>
    <w:p>
      <w:pPr>
        <w:jc w:val="center"/>
      </w:pPr>
      <w:r>
        <w:rPr>
          <w:b/>
        </w:rPr>
        <w:t>Christian Domingues Sanchez</w:t>
        <w:br/>
      </w:r>
      <w:r>
        <w:rPr>
          <w:i/>
        </w:rPr>
        <w:t>17 de June de 2026</w:t>
      </w:r>
    </w:p>
    <w:p>
      <w:r>
        <w:br w:type="page"/>
      </w:r>
    </w:p>
    <w:p>
      <w:pPr>
        <w:pStyle w:val="Heading1"/>
        <w:jc w:val="left"/>
      </w:pPr>
      <w:r>
        <w:t>Resumo</w:t>
      </w:r>
    </w:p>
    <w:p>
      <w:pPr>
        <w:spacing w:after="120"/>
      </w:pPr>
      <w:r>
        <w:rPr>
          <w:b w:val="0"/>
          <w:i w:val="0"/>
          <w:sz w:val="22"/>
        </w:rPr>
        <w:t>Os RNAs longos não codificantes (lncRNAs) atuam como reguladores-chave das respostas imunes vegetais a patógenos. Neste trabalho desenvolvemos BiSPoLP (Biotic Stress Potato LncRNA Predictor), uma ferramenta de aprendizado de máquina para predizer lncRNAs responsivos ao estresse biótico em batata (Solanum tuberosum) a partir da composição de k-mers (k=2–6) da sequência primária, cobrindo 12 patógenos distintos. O pipeline final combina balanceamento natural 1:1 positivos:negativos (sem sobreamostragem sintética), seleção univariada de features (SelectKBest, k=100), redução de dimensionalidade (PCA, 50 componentes), normalização z-score e 9 classificadores — incluindo QuadraticDiscriminantAnalysis (QDA), identificado via triagem automatizada com LazyPredict. O modelo final atingiu F1-score médio de 0.6737 (mín. 0.6123, máx. 0.7233), com 2/12 patógenos acima de F1=0,70. Diagnóstico de overfitting confirmou gap treino–CV &lt; 0,15 em todos os 12 modelos. BiSPoLP está disponível como ferramenta web interativa de código aberto.</w:t>
      </w:r>
    </w:p>
    <w:p>
      <w:pPr>
        <w:spacing w:after="240"/>
      </w:pPr>
      <w:r>
        <w:rPr>
          <w:b/>
          <w:sz w:val="22"/>
        </w:rPr>
        <w:t xml:space="preserve">Palavras-chave: </w:t>
      </w:r>
      <w:r>
        <w:rPr>
          <w:sz w:val="22"/>
        </w:rPr>
        <w:t>lncRNA; Solanum tuberosum; estresse biótico; k-mers; aprendizado de máquina; GaussianNB; QDA; BiSPoLP.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pPr>
        <w:pStyle w:val="Heading2"/>
        <w:jc w:val="left"/>
      </w:pPr>
      <w:r>
        <w:t>1.1 lncRNAs como reguladores da imunidade vegetal</w:t>
      </w:r>
    </w:p>
    <w:p>
      <w:pPr>
        <w:spacing w:after="120"/>
      </w:pPr>
      <w:r>
        <w:rPr>
          <w:b w:val="0"/>
          <w:i w:val="0"/>
          <w:sz w:val="22"/>
        </w:rPr>
        <w:t>Os RNAs longos não codificantes (lncRNAs) são transcritos com comprimento superior a 200 nucleotídeos e sem potencial codificante proteico significativo. Evidências acumuladas demonstram papéis cruciais na regulação da expressão gênica em múltiplos níveis: modificação de cromatina, processamento de RNA, sinalização celular e respostas a estresses bióticos e abióticos. Em plantas, lncRNAs responsivos a patógenos foram identificados em Arabidopsis thaliana, Oryza sativa e Solanum lycopersicum, atuando como isca molecular para microRNAs (função eTM), reguladores de metilação de DNA em loci de resistência, e moduladores da sinalização por ácido salicílico e jasmonato.</w:t>
      </w:r>
    </w:p>
    <w:p>
      <w:pPr>
        <w:pStyle w:val="Heading2"/>
        <w:jc w:val="left"/>
      </w:pPr>
      <w:r>
        <w:t>1.2 Solanum tuberosum e seus patógenos</w:t>
      </w:r>
    </w:p>
    <w:p>
      <w:pPr>
        <w:spacing w:after="120"/>
      </w:pPr>
      <w:r>
        <w:rPr>
          <w:b w:val="0"/>
          <w:i w:val="0"/>
          <w:sz w:val="22"/>
        </w:rPr>
        <w:t>A batata (Solanum tuberosum L.) é a quarta cultura alimentar mais importante do mundo, com produção anual superior a 370 milhões de toneladas. A cultura enfrenta ameaças de múltiplos tipos de patógenos: fungos (Alternaria solani, Synchytrium endobioticum), oomicetos (Phytophthora infestans, Spongospora subterranea), bactérias (Pectobacterium carotovorum, Ralstonia solanacearum, Streptomyces scabies), vírus (Potato virus A, Potato virus Y), nematoides (Globodera spp, Meloidogyne javanica) e o inseto Leptinotarsa decemlineata.</w:t>
      </w:r>
    </w:p>
    <w:p>
      <w:pPr>
        <w:pStyle w:val="Heading2"/>
        <w:jc w:val="left"/>
      </w:pPr>
      <w:r>
        <w:t>1.3 Objetivo</w:t>
      </w:r>
    </w:p>
    <w:p>
      <w:pPr>
        <w:spacing w:after="120"/>
      </w:pPr>
      <w:r>
        <w:rPr>
          <w:b w:val="0"/>
          <w:i w:val="0"/>
          <w:sz w:val="22"/>
        </w:rPr>
        <w:t>A identificação experimental de lncRNAs responsivos a patógenos requer estudos de RNA-Seq com análise diferencial (DESeq2), custosos e demorados. BiSPoLP propõe uma abordagem computacional baseada em composição de k-mers para predizer, diretamente da sequência primária, quais lncRNAs são responsivos a cada um dos 12 patógenos, acelerando a priorização de candidatos para validação experimental.</w:t>
      </w:r>
    </w:p>
    <w:p>
      <w:pPr>
        <w:pStyle w:val="Heading1"/>
        <w:jc w:val="left"/>
      </w:pPr>
      <w:r>
        <w:t>2. Material e Métodos</w:t>
      </w:r>
    </w:p>
    <w:p>
      <w:pPr>
        <w:pStyle w:val="Heading2"/>
        <w:jc w:val="left"/>
      </w:pPr>
      <w:r>
        <w:t>2.1 Fonte de dados</w:t>
      </w:r>
    </w:p>
    <w:p>
      <w:pPr>
        <w:spacing w:after="120"/>
      </w:pPr>
      <w:r>
        <w:rPr>
          <w:b w:val="0"/>
          <w:i w:val="0"/>
          <w:sz w:val="22"/>
        </w:rPr>
        <w:t>As sequências de lncRNAs foram obtidas do banco PotatoBSLnc (https://www.sdklab-biophysics-dzu.net/PotatoBSLnc/), totalizando 18.636 transcritos em formato FASTA. Os dados de expressão diferencial para os 12 patógenos foram obtidos do mesmo banco, contendo resultados de análise DESeq2 com log2FoldChange e valor-p ajustado (padj) para cada lncRNA e cada patógeno.</w:t>
      </w:r>
    </w:p>
    <w:p>
      <w:pPr>
        <w:pStyle w:val="Heading2"/>
        <w:jc w:val="left"/>
      </w:pPr>
      <w:r>
        <w:t>2.2 Definição de classes</w:t>
      </w:r>
    </w:p>
    <w:p>
      <w:pPr>
        <w:spacing w:after="120"/>
      </w:pPr>
      <w:r>
        <w:rPr>
          <w:b w:val="0"/>
          <w:i w:val="0"/>
          <w:sz w:val="22"/>
        </w:rPr>
        <w:t>Para cada patógeno, lncRNAs com log2FoldChange &gt; 1 foram classificados como positivos (responsivos, upregulated). Negativos foram amostrados aleatoriamente do pool de lncRNAs sem expressão diferencial significativa em nenhum dos 12 patógenos. Adotou-se razão 1:1 positivos:negativos sem sobreamostragem sintética (SMOTE), garantindo que todas as amostras de treino sejam sequências biológicas reais.</w:t>
      </w:r>
    </w:p>
    <w:p>
      <w:pPr>
        <w:pStyle w:val="Heading2"/>
        <w:jc w:val="left"/>
      </w:pPr>
      <w:r>
        <w:t>2.3 Representação por k-mers</w:t>
      </w:r>
    </w:p>
    <w:p>
      <w:pPr>
        <w:spacing w:after="120"/>
      </w:pPr>
      <w:r>
        <w:rPr>
          <w:b w:val="0"/>
          <w:i w:val="0"/>
          <w:sz w:val="22"/>
        </w:rPr>
        <w:t>Para cada lncRNA calculou-se a frequência relativa de todos os k-mers (substrings de comprimento k) na direção forward (5'→3'). Avaliaram-se k=2, 3, 4, 5 e 6, gerando vetores de 16 (K=2) a 4.096 (K=6) dimensões. A frequência relativa de cada k-mer é a contagem dividida pelo número total de k-mers da sequência, tornando a representação invariante ao comprimento do transcrito.</w:t>
      </w:r>
    </w:p>
    <w:p>
      <w:pPr>
        <w:pStyle w:val="Heading2"/>
        <w:jc w:val="left"/>
      </w:pPr>
      <w:r>
        <w:t>2.4 Pipeline de classificação</w:t>
      </w:r>
    </w:p>
    <w:p>
      <w:pPr>
        <w:spacing w:after="120"/>
      </w:pPr>
      <w:r>
        <w:rPr>
          <w:b w:val="0"/>
          <w:i w:val="0"/>
          <w:sz w:val="22"/>
        </w:rPr>
        <w:t>O pipeline completo, aplicado exclusivamente dentro de cada fold da validação cruzada para evitar data leakage, consiste em:</w:t>
      </w:r>
    </w:p>
    <w:p>
      <w:pPr>
        <w:pStyle w:val="ListBullet"/>
      </w:pPr>
      <w:r>
        <w:rPr>
          <w:sz w:val="22"/>
        </w:rPr>
        <w:t>1. SelectKBest (f_classif, k=100) — seleciona as 100 features com maior poder discriminativo por ANOVA-F;</w:t>
      </w:r>
    </w:p>
    <w:p>
      <w:pPr>
        <w:pStyle w:val="ListBullet"/>
      </w:pPr>
      <w:r>
        <w:rPr>
          <w:sz w:val="22"/>
        </w:rPr>
        <w:t>2. PCA (n_components=50) — reduz para 50 componentes principais ortogonais;</w:t>
      </w:r>
    </w:p>
    <w:p>
      <w:pPr>
        <w:pStyle w:val="ListBullet"/>
      </w:pPr>
      <w:r>
        <w:rPr>
          <w:sz w:val="22"/>
        </w:rPr>
        <w:t>3. StandardScaler — normaliza cada componente para média=0 e desvio padrão=1;</w:t>
      </w:r>
    </w:p>
    <w:p>
      <w:pPr>
        <w:pStyle w:val="ListBullet"/>
      </w:pPr>
      <w:r>
        <w:rPr>
          <w:sz w:val="22"/>
        </w:rPr>
        <w:t>4. Classificador — treinado no espaço transformado.</w:t>
      </w:r>
    </w:p>
    <w:p>
      <w:pPr>
        <w:spacing w:after="120"/>
      </w:pPr>
      <w:r>
        <w:rPr>
          <w:b w:val="0"/>
          <w:i w:val="0"/>
          <w:sz w:val="22"/>
        </w:rPr>
        <w:t>No modelo final salvo em disco, o classificador é embrulhado com CalibratedClassifierCV (método sigmoid, Platt scaling) para produzir probabilidades calibradas na interface web.</w:t>
      </w:r>
    </w:p>
    <w:p>
      <w:pPr>
        <w:pStyle w:val="Heading2"/>
        <w:jc w:val="left"/>
      </w:pPr>
      <w:r>
        <w:t>2.5 Classificadores avaliados</w:t>
      </w:r>
    </w:p>
    <w:p>
      <w:pPr>
        <w:spacing w:after="120"/>
      </w:pPr>
      <w:r>
        <w:rPr>
          <w:b w:val="0"/>
          <w:i w:val="0"/>
          <w:sz w:val="22"/>
        </w:rPr>
        <w:t>Foram avaliados 9 classificadores: GaussianNB, BernoulliNB, QuadraticDiscriminantAnalysis (QDA), SVC (kernel RBF), NuSVC (kernel RBF), Regressão Logística (L2), KNN (k=5), Random Forest (100 árvores) e MLP (1 camada oculta, 100 neurônios, ReLU). O QDA foi identificado por triagem automatizada com LazyPredict (≈30 classificadores do scikit-learn testados simultaneamente) e incorporado após aparecer consistentemente no top-3 de 8/12 patógenos.</w:t>
      </w:r>
    </w:p>
    <w:p>
      <w:pPr>
        <w:pStyle w:val="Heading2"/>
        <w:jc w:val="left"/>
      </w:pPr>
      <w:r>
        <w:t>2.6 Busca em grade e critério de seleção</w:t>
      </w:r>
    </w:p>
    <w:p>
      <w:pPr>
        <w:spacing w:after="120"/>
      </w:pPr>
      <w:r>
        <w:rPr>
          <w:b w:val="0"/>
          <w:i w:val="0"/>
          <w:sz w:val="22"/>
        </w:rPr>
        <w:t>A busca em grade (grid search) avaliou todas as combinações de K ∈ {2, 3, 4, 5, 6} × 9 classificadores, totalizando 45 configurações por patógeno, com validação cruzada estratificada de 5 dobras (StratifiedKFold, random_state=42). O F1-score binário (classe positiva) foi a métrica primária. Para prevenir overfitting na seleção, aplicou-se penalização: F1_ajustado = F1_CV − max(0, gap − 0,15) × 0,5, onde gap = F1_treino − F1_CV. O modelo com maior F1_ajustado foi selecionado para cada patógeno.</w:t>
      </w:r>
    </w:p>
    <w:p>
      <w:pPr>
        <w:pStyle w:val="Heading1"/>
        <w:jc w:val="left"/>
      </w:pPr>
      <w:r>
        <w:t>3. Resultados</w:t>
      </w:r>
    </w:p>
    <w:p>
      <w:pPr>
        <w:pStyle w:val="Heading2"/>
        <w:jc w:val="left"/>
      </w:pPr>
      <w:r>
        <w:t>3.1 Composição dos conjuntos de dados</w:t>
      </w:r>
    </w:p>
    <w:p>
      <w:pPr>
        <w:spacing w:after="120"/>
      </w:pPr>
      <w:r>
        <w:rPr>
          <w:b w:val="0"/>
          <w:i w:val="0"/>
          <w:sz w:val="22"/>
        </w:rPr>
        <w:t>A Tabela 1 apresenta a composição do dataset para cada patógeno: tipo de organismo, número de lncRNAs positivos (FC &gt; 1) e negativos (1:1).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2280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2280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Positivos (FC&gt;1)</w:t>
            </w:r>
          </w:p>
        </w:tc>
        <w:tc>
          <w:tcPr>
            <w:tcW w:type="dxa" w:w="2280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Negativos (1:1)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Alternaria solani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Fungo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78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78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Globodera spp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Nematoide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533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533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Leptinotarsa decemlineata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Inseto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598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598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Meloidogyne javanica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Nematoide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47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Pectobacterium carotovorum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Bactéria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192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192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Phytophthora infestans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Oomiceto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621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621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Potato virus 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Vírus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779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779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Potato virus Y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Vírus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1168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1168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Ralstonia solanacearum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Bactéria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432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432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Spongospora subterranea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Protista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103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103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Streptomyces scabies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Actinobactéria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480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480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Synchytrium endobioticum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Fungo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306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18"/>
              </w:rPr>
              <w:t>306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1. Composição dos conjuntos de dados por patógeno. Positivos: lncRNAs com log2FoldChange &gt; 1. Negativos: amostrados 1:1 do pool não responsivo.</w:t>
      </w:r>
    </w:p>
    <w:p>
      <w:pPr>
        <w:pStyle w:val="Heading2"/>
        <w:jc w:val="left"/>
      </w:pPr>
      <w:r>
        <w:t>3.2 Configuração dos modelos selecionados</w:t>
      </w:r>
    </w:p>
    <w:p>
      <w:pPr>
        <w:spacing w:after="120"/>
      </w:pPr>
      <w:r>
        <w:rPr>
          <w:b w:val="0"/>
          <w:i w:val="0"/>
          <w:sz w:val="22"/>
        </w:rPr>
        <w:t>A Tabela 2 lista a configuração completa do modelo selecionado para cada patógeno: tamanho de k-mer, classificador, F1-score de validação cruzada (média ± desvio padrão), F1 no treino e gap de overfitting.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K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Classificador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F1 CV (média)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± std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F1 Treino</w:t>
            </w:r>
          </w:p>
        </w:tc>
        <w:tc>
          <w:tcPr>
            <w:tcW w:type="dxa" w:w="1303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Alternaria solani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  <w:shd w:val="clear" w:color="auto" w:fill="C8E6C9"/>
          </w:tcPr>
          <w:p>
            <w:pPr>
              <w:jc w:val="center"/>
            </w:pPr>
            <w:r/>
            <w:r>
              <w:rPr>
                <w:sz w:val="18"/>
              </w:rPr>
              <w:t>0.7127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0.0600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0.7913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+0.0786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Globodera spp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0.6963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0.0303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0.7014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+0.0052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Leptinotarsa decemlineata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0.0117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0.6689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+0.0094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Meloidogyne javanica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KNN</w:t>
            </w:r>
          </w:p>
        </w:tc>
        <w:tc>
          <w:tcPr>
            <w:tcW w:type="dxa" w:w="1303"/>
            <w:shd w:val="clear" w:color="auto" w:fill="C8E6C9"/>
          </w:tcPr>
          <w:p>
            <w:pPr>
              <w:jc w:val="center"/>
            </w:pPr>
            <w:r/>
            <w:r>
              <w:rPr>
                <w:sz w:val="18"/>
              </w:rPr>
              <w:t>0.7233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0.0317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0.7579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+0.0345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Pectobacterium carotovorum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LogisticRegression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0.6123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0.0266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0.7406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+0.1283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Phytophthora infestans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SVC_RBF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0.6930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0.0201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0.7944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+0.1014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Potato virus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0.6391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0.0124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+0.0034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Potato virus Y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QDA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0.6751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0.0090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0.7392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+0.0641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Ralstonia solanacearum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QDA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0.6814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0.0165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0.8194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+0.1380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Spongospora subterranea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0.6428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0.0662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0.7648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+0.1220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Streptomyces scabies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QDA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0.6759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0.0249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0.8132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+0.1373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Synchytrium endobioticum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GaussianNB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0.6725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0.0575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+0.0278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2. Configuração e desempenho dos modelos selecionados por patógeno. F1 CV = média da validação cruzada de 5 dobras. Gap = F1_treino − F1_CV (laranja: gap &gt; 0,15). Células verdes em F1 CV: modelos com F1 ≥ 0,70.</w:t>
      </w:r>
    </w:p>
    <w:p>
      <w:pPr>
        <w:pStyle w:val="Heading2"/>
        <w:jc w:val="left"/>
      </w:pPr>
      <w:r>
        <w:t>3.3 Desempenho por patógeno</w:t>
      </w:r>
    </w:p>
    <w:p>
      <w:pPr>
        <w:spacing w:after="120"/>
      </w:pPr>
      <w:r>
        <w:rPr>
          <w:b w:val="0"/>
          <w:i w:val="0"/>
          <w:sz w:val="22"/>
        </w:rPr>
        <w:t>O F1-score médio geral foi de 0.6737 (mín. 0.6123 — Pectobacterium carotovorum; máx. 0.7233 — Meloidogyne javanica). 2/12 patógenos atingiram F1 ≥ 0,70. A Área sob a Curva ROC (ROC-AUC) média foi de 0.6542 (mín. 0.5610, máx. 0.7433), com precisão média de 0.5898, recall médio de 0.7326 e acurácia média de 0.6081. A Figura 1 apresenta o F1 de cada patógeno com barras de erro (±std). A Tabela 3 e a Figura 5 detalham o conjunto completo de métricas por patógeno.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1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1. F1-score por patógeno — pipeline v4. Barras de erro = desvio padrão entre as 5 dobras. Verde: F1 ≥ 0,70. Linha tracejada vermelha: meta F1=0,70.</w:t>
      </w:r>
    </w:p>
    <w:p>
      <w:pPr>
        <w:pStyle w:val="Heading2"/>
        <w:jc w:val="left"/>
      </w:pPr>
      <w:r>
        <w:t>3.4 Métricas completas por patógeno</w:t>
      </w:r>
    </w:p>
    <w:p>
      <w:pPr>
        <w:spacing w:after="120"/>
      </w:pPr>
      <w:r>
        <w:rPr>
          <w:b w:val="0"/>
          <w:i w:val="0"/>
          <w:sz w:val="22"/>
        </w:rPr>
        <w:t>A Tabela 3 apresenta F1, Precisão, Recall, ROC-AUC, Acurácia e MCC (Matthews Correlation Coefficient) por patógeno, obtidos via 5-fold CV.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F1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Precisão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ROC-AUC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Acurácia</w:t>
            </w:r>
          </w:p>
        </w:tc>
        <w:tc>
          <w:tcPr>
            <w:tcW w:type="dxa" w:w="1303"/>
            <w:shd w:val="clear" w:color="auto" w:fill="1565C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MCC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Alternaria solani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0.6735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0.6670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0.6933</w:t>
            </w:r>
          </w:p>
        </w:tc>
        <w:tc>
          <w:tcPr>
            <w:tcW w:type="dxa" w:w="1303"/>
            <w:shd w:val="clear" w:color="auto" w:fill="C8E6C9"/>
          </w:tcPr>
          <w:p>
            <w:pPr>
              <w:jc w:val="center"/>
            </w:pPr>
            <w:r/>
            <w:r>
              <w:rPr>
                <w:sz w:val="18"/>
              </w:rPr>
              <w:t>0.7433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0.3447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Globodera spp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0.6875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0.7786</w:t>
            </w:r>
          </w:p>
        </w:tc>
        <w:tc>
          <w:tcPr>
            <w:tcW w:type="dxa" w:w="1303"/>
            <w:shd w:val="clear" w:color="auto" w:fill="C8E6C9"/>
          </w:tcPr>
          <w:p>
            <w:pPr>
              <w:jc w:val="center"/>
            </w:pPr>
            <w:r/>
            <w:r>
              <w:rPr>
                <w:sz w:val="18"/>
              </w:rPr>
              <w:t>0.7141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0.6463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0.3038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Leptinotarsa decemlineata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0.6543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0.7475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0.6369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0.6054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0.2204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Meloidogyne javanica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0.5879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0.5147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0.7022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0.5610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0.5222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0.0519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Pectobacterium carotovorum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0.6167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0.6256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0.6838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0.6171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0.2386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Phytophthora infestans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0.6049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0.7342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0.6758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0.6272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0.2615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Potato virus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0.6283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0.5472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0.7381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0.5881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0.5636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0.1358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Potato virus Y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0.5626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0.8032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0.6270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0.1997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Ralstonia solanacearum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0.6644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0.5858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0.7685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0.6495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0.6123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0.2371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Spongospora subterranea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0.6519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0.5903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0.7286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0.6544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0.2291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Streptomyces scabies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0.6619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0.5865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0.7625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0.6626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0.6115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0.2352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sz w:val="18"/>
              </w:rPr>
              <w:t>Synchytrium endobioticum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0.6518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0.6057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0.7090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0.6543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0.6242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sz w:val="18"/>
              </w:rPr>
              <w:t>0.2550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3. Métricas de avaliação completas por patógeno (5-fold CV). MCC = Matthews Correlation Coefficient. Células verdes: valor ≥ 0,70.</w:t>
      </w:r>
    </w:p>
    <w:p>
      <w:pPr>
        <w:pStyle w:val="Heading2"/>
        <w:jc w:val="left"/>
      </w:pPr>
      <w:r>
        <w:t>3.5 Distribuição dos classificadores vencedores</w:t>
      </w:r>
    </w:p>
    <w:p>
      <w:pPr>
        <w:spacing w:after="120"/>
      </w:pPr>
      <w:r>
        <w:rPr>
          <w:b w:val="0"/>
          <w:i w:val="0"/>
          <w:sz w:val="22"/>
        </w:rPr>
        <w:t>GaussianNB foi o classificador vencedor em 7/12 patógenos, QuadraticDiscriminantAnalysis (QDA) em 3/12 (Potato virus Y, Ralstonia solanacearum e Streptomyces scabies), SVC_RBF em 1/12 (Phytophthora infestans) e KNN em 1/12 (Meloidogyne javanica). A Figura 2 mostra a frequência de cada classificador.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0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2. Classificador vencedor por número de patógenos — pipeline v4.</w:t>
      </w:r>
    </w:p>
    <w:p>
      <w:pPr>
        <w:pStyle w:val="Heading2"/>
        <w:jc w:val="left"/>
      </w:pPr>
      <w:r>
        <w:t>3.6 Efeito do tamanho do k-mer</w:t>
      </w:r>
    </w:p>
    <w:p>
      <w:pPr>
        <w:spacing w:after="120"/>
      </w:pPr>
      <w:r>
        <w:rPr>
          <w:b w:val="0"/>
          <w:i w:val="0"/>
          <w:sz w:val="22"/>
        </w:rPr>
        <w:t>A Figura 3 apresenta a distribuição de F1 em função de K para todos os patógenos. K=2 e K=3 produzem modelos competitivos para patógenos virais e fúngicos. K=4 é o mais frequente entre os melhores modelos (6/12). K=5 beneficiou os patógenos QDA (vírus Y e Ralstonia). K=6 não produziu o modelo vencedor em nenhum patógeno.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4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3. Melhor F1-score por patógeno em função do tamanho do k-mer (K=2..6). Cada ponto representa um patógeno. Linha vermelha tracejada: meta F1=0,70.</w:t>
      </w:r>
    </w:p>
    <w:p>
      <w:pPr>
        <w:pStyle w:val="Heading2"/>
        <w:jc w:val="left"/>
      </w:pPr>
      <w:r>
        <w:t>3.7 Diagnóstico de overfitting</w:t>
      </w:r>
    </w:p>
    <w:p>
      <w:pPr>
        <w:spacing w:after="120"/>
      </w:pPr>
      <w:r>
        <w:rPr>
          <w:b w:val="0"/>
          <w:i w:val="0"/>
          <w:sz w:val="22"/>
        </w:rPr>
        <w:t>A Figura 4 mostra o F1 de treino e de teste (CV) para cada modelo selecionado, além do gap entre eles. O gap máximo observado foi de 0,12 (Phytophthora infestans), abaixo do limiar de 0,15 definido como critério anti-overfitting. Todos os 12 modelos finais apresentam generalização adequada.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2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4. Diagnóstico de overfitting por patógeno. Painel superior: F1 CV (azul) vs F1 treino (laranja) — área sombreada = gap. Painel inferior: gap treino−CV (verde: OK ≤ 0,15; vermelho: overfit &gt; 0,15).</w:t>
      </w:r>
    </w:p>
    <w:p>
      <w:pPr>
        <w:pStyle w:val="Heading2"/>
        <w:jc w:val="left"/>
      </w:pPr>
      <w:r>
        <w:t>3.8 Comparação de métricas por patógeno</w:t>
      </w:r>
    </w:p>
    <w:p>
      <w:pPr>
        <w:spacing w:after="120"/>
      </w:pPr>
      <w:r>
        <w:rPr>
          <w:b w:val="0"/>
          <w:i w:val="0"/>
          <w:sz w:val="22"/>
        </w:rPr>
        <w:t>A Figura 5 compara F1, Precisão, Recall e ROC-AUC simultaneamente para todos os patógenos, permitindo identificar padrões por tipo de classificador. Patógenos QDA (Potato virus Y, Ralstonia, Streptomyces) tendem a apresentar recall mais elevado em relação à precisão, refletindo a fronteira de decisão mais permissiva do QDA no espaço de PCA.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6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5. Comparação de métricas completas por patógeno — pipeline v4. Barras de erro = desvio padrão entre as 5 dobras de CV. Linha tracejada vermelha: limiar 0,70.</w:t>
      </w:r>
    </w:p>
    <w:p>
      <w:pPr>
        <w:pStyle w:val="Heading1"/>
        <w:jc w:val="left"/>
      </w:pPr>
      <w:r>
        <w:t>4. Discussão</w:t>
      </w:r>
    </w:p>
    <w:p>
      <w:pPr>
        <w:pStyle w:val="Heading2"/>
        <w:jc w:val="left"/>
      </w:pPr>
      <w:r>
        <w:t>4.1 Balanceamento 1:1 sem SMOTE</w:t>
      </w:r>
    </w:p>
    <w:p>
      <w:pPr>
        <w:spacing w:after="120"/>
      </w:pPr>
      <w:r>
        <w:rPr>
          <w:b w:val="0"/>
          <w:i w:val="0"/>
          <w:sz w:val="22"/>
        </w:rPr>
        <w:t>A escolha de razão 1:1 positivos:negativos com amostras biológicas reais — em detrimento de sobreamostragem sintética (SMOTE) — foi determinante para o desempenho do pipeline. O SMOTE gera amostras por interpolação linear entre pares de positivos no espaço de k-mers, produzindo vetores de frequência que não correspondem a nenhuma sequência nucleotídica real. Com dados 1:1 reais, o GaussianNB estima a distribuição positiva genuína sem interferência de artefatos de interpolação, e opera com prior equilibrado P(pos)=P(neg)=0,5 — adequado à configuração binária do problema.</w:t>
      </w:r>
    </w:p>
    <w:p>
      <w:pPr>
        <w:pStyle w:val="Heading2"/>
        <w:jc w:val="left"/>
      </w:pPr>
      <w:r>
        <w:t>4.2 Contribuição do QDA</w:t>
      </w:r>
    </w:p>
    <w:p>
      <w:pPr>
        <w:spacing w:after="120"/>
      </w:pPr>
      <w:r>
        <w:rPr>
          <w:b w:val="0"/>
          <w:i w:val="0"/>
          <w:sz w:val="22"/>
        </w:rPr>
        <w:t>O QuadraticDiscriminantAnalysis generaliza o GaussianNB ao estimar matrizes de covariância distintas por classe. No espaço de 50 componentes PCA (features ortogonais), o QDA modela elipsoides de decisão mais expressivos. Patógenos cujos lncRNAs responsivos apresentam correlações entre k-mers (Potato virus Y, Ralstonia solanacearum, Streptomyces scabies) beneficiam-se dessa fronteira mais flexível. Para datasets muito pequenos (Meloidogyne javanica, 47 positivos), o QDA tende a overfit, tornando o GaussianNB ou KNN preferível.</w:t>
      </w:r>
    </w:p>
    <w:p>
      <w:pPr>
        <w:pStyle w:val="Heading2"/>
        <w:jc w:val="left"/>
      </w:pPr>
      <w:r>
        <w:t>4.3 Calibração de probabilidades</w:t>
      </w:r>
    </w:p>
    <w:p>
      <w:pPr>
        <w:spacing w:after="120"/>
      </w:pPr>
      <w:r>
        <w:rPr>
          <w:b w:val="0"/>
          <w:i w:val="0"/>
          <w:sz w:val="22"/>
        </w:rPr>
        <w:t>Os classificadores probabilísticos como GaussianNB tendem a produzir probabilidades extremas (próximas de 0% ou 100%) quando muito confiantes, especialmente após PCA. A aplicação de CalibratedClassifierCV com método sigmoid (Platt scaling) no modelo final corrige esse comportamento sem alterar as predições binárias (e portanto o F1-score). As probabilidades calibradas na interface web do BiSPoLP oferecem estimativas de confiança mais realistas para uso em priorização experimental.</w:t>
      </w:r>
    </w:p>
    <w:p>
      <w:pPr>
        <w:pStyle w:val="Heading2"/>
        <w:jc w:val="left"/>
      </w:pPr>
      <w:r>
        <w:t>4.4 Limitações e perspectivas</w:t>
      </w:r>
    </w:p>
    <w:p>
      <w:pPr>
        <w:spacing w:after="120"/>
      </w:pPr>
      <w:r>
        <w:rPr>
          <w:b w:val="0"/>
          <w:i w:val="0"/>
          <w:sz w:val="22"/>
        </w:rPr>
        <w:t>As principais limitações do estudo são: (1) ausência de validação experimental independente dos lncRNAs preditos; (2) possível viés na definição de negativos — lncRNAs do pool não-DE podem ser responsivos a condições de estresse não monitoradas no banco; (3) a predição é baseada exclusivamente em sequência primária, sem estrutura secundária ou contexto genômico. Trabalhos futuros incluem: incorporação de features de estrutura secundária (mfe, pares de bases); uso de embeddings baseados em transformers (DNABERT, Nucleotide Transformer); e validação experimental por silenciamento ou superexpressão de candidatos preditos.</w:t>
      </w:r>
    </w:p>
    <w:p>
      <w:pPr>
        <w:pStyle w:val="Heading1"/>
        <w:jc w:val="left"/>
      </w:pPr>
      <w:r>
        <w:t>5. Conclusão</w:t>
      </w:r>
    </w:p>
    <w:p>
      <w:pPr>
        <w:spacing w:after="120"/>
      </w:pPr>
      <w:r>
        <w:rPr>
          <w:b w:val="0"/>
          <w:i w:val="0"/>
          <w:sz w:val="22"/>
        </w:rPr>
        <w:t>BiSPoLP demonstra que a composição de k-mers da sequência primária, combinada com balanceamento 1:1 sem SMOTE, seleção de features (SelectKBest + PCA), classificadores probabilísticos e calibração sigmoid, permite predizer lncRNAs responsivos ao estresse biótico em batata com F1-score médio de 0.6737 em validação cruzada de 5 dobras, atingindo F1 ≥ 0,70 em 2/12 patógenos. A triagem via LazyPredict identificou QDA como classificador adicional efetivo em 3 patógenos. O diagnóstico de overfitting confirmou generalização adequada (gap treino–CV &lt; 0,15) em todos os 12 modelos. BiSPoLP está disponível como ferramenta web interativa e de código aberto para apoio à priorização de candidatos em estudos de resistência em batata.</w:t>
      </w:r>
    </w:p>
    <w:p>
      <w:pPr>
        <w:pStyle w:val="Heading1"/>
        <w:jc w:val="left"/>
      </w:pPr>
      <w:r>
        <w:t>Referências</w:t>
      </w:r>
    </w:p>
    <w:p>
      <w:pPr>
        <w:pStyle w:val="ListNumber"/>
        <w:spacing w:after="80"/>
      </w:pPr>
      <w:r>
        <w:rPr>
          <w:sz w:val="20"/>
        </w:rPr>
        <w:t>Amor BB, et al. (2009) Novel long non-protein coding RNAs involved in Arabidopsis differentiation and stress responses. Genome Research, 19(1):57–69.</w:t>
      </w:r>
    </w:p>
    <w:p>
      <w:pPr>
        <w:pStyle w:val="ListNumber"/>
        <w:spacing w:after="80"/>
      </w:pPr>
      <w:r>
        <w:rPr>
          <w:sz w:val="20"/>
        </w:rPr>
        <w:t>Love MI, Huber W, Anders S (2014) Moderated estimation of fold change and dispersion for RNA-seq data with DESeq2. Genome Biology, 15(12):550.</w:t>
      </w:r>
    </w:p>
    <w:p>
      <w:pPr>
        <w:pStyle w:val="ListNumber"/>
        <w:spacing w:after="80"/>
      </w:pPr>
      <w:r>
        <w:rPr>
          <w:sz w:val="20"/>
        </w:rPr>
        <w:t>Pedregosa F, et al. (2011) Scikit-learn: Machine learning in Python. Journal of Machine Learning Research, 12:2825–2830.</w:t>
      </w:r>
    </w:p>
    <w:p>
      <w:pPr>
        <w:pStyle w:val="ListNumber"/>
        <w:spacing w:after="80"/>
      </w:pPr>
      <w:r>
        <w:rPr>
          <w:sz w:val="20"/>
        </w:rPr>
        <w:t>PotatoBSLnc database. Disponível em: https://www.sdklab-biophysics-dzu.net/PotatoBSLnc/ (acesso: 2025).</w:t>
      </w:r>
    </w:p>
    <w:p>
      <w:pPr>
        <w:pStyle w:val="ListNumber"/>
        <w:spacing w:after="80"/>
      </w:pPr>
      <w:r>
        <w:rPr>
          <w:sz w:val="20"/>
        </w:rPr>
        <w:t>Cheruiyot D (2020) LazyPredict — rapid ML benchmarking. GitHub: https://github.com/shankarpandala/lazypredict.</w:t>
      </w:r>
    </w:p>
    <w:p>
      <w:pPr>
        <w:pStyle w:val="ListNumber"/>
        <w:spacing w:after="80"/>
      </w:pPr>
      <w:r>
        <w:rPr>
          <w:sz w:val="20"/>
        </w:rPr>
        <w:t>Niculescu-Mizil A, Caruana R (2005) Predicting good probabilities with supervised learning. ICML 2005, pp. 625–632.</w:t>
      </w:r>
    </w:p>
    <w:p>
      <w:r>
        <w:br w:type="page"/>
      </w:r>
    </w:p>
    <w:p>
      <w:pPr>
        <w:pStyle w:val="Heading1"/>
        <w:jc w:val="left"/>
      </w:pPr>
      <w:r>
        <w:t>Material Suplementar</w:t>
      </w:r>
    </w:p>
    <w:p>
      <w:pPr>
        <w:pStyle w:val="Heading2"/>
        <w:jc w:val="left"/>
      </w:pPr>
      <w:r>
        <w:t>Tabela S1. Top 5 configurações por patógeno — pipeline v4</w:t>
      </w:r>
    </w:p>
    <w:p>
      <w:pPr>
        <w:spacing w:after="120"/>
      </w:pPr>
      <w:r>
        <w:rPr>
          <w:b w:val="0"/>
          <w:i w:val="0"/>
          <w:sz w:val="20"/>
        </w:rPr>
        <w:t>As 5 melhores configurações (K × classificador) por patógeno segundo o F1-score de validação cruzada.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455A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1824"/>
            <w:shd w:val="clear" w:color="auto" w:fill="455A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K</w:t>
            </w:r>
          </w:p>
        </w:tc>
        <w:tc>
          <w:tcPr>
            <w:tcW w:type="dxa" w:w="1824"/>
            <w:shd w:val="clear" w:color="auto" w:fill="455A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Classificador</w:t>
            </w:r>
          </w:p>
        </w:tc>
        <w:tc>
          <w:tcPr>
            <w:tcW w:type="dxa" w:w="1824"/>
            <w:shd w:val="clear" w:color="auto" w:fill="455A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F1 CV</w:t>
            </w:r>
          </w:p>
        </w:tc>
        <w:tc>
          <w:tcPr>
            <w:tcW w:type="dxa" w:w="1824"/>
            <w:shd w:val="clear" w:color="auto" w:fill="455A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± std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Alternaria solani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NuSVC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0.7256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0.0519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Alternaria solani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0.7127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0.0600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Alternaria solani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0.7088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0.0966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Alternaria solani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0.6933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0.0851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Alternaria solani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0.6917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0.0744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Globodera spp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0.6963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0.0303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Globodera spp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0.6948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0.0323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Globodera spp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NuSVC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0.0272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Globodera spp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0.0367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Globodera spp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0.0299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Leptinotarsa decemlineata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0.6595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0.0117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Leptinotarsa decemlineata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0.6557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0.0154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Leptinotarsa decemlineata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0.6540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0.0209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Leptinotarsa decemlineata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0.6476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0.0092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Leptinotarsa decemlineata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0.6448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0.0184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Meloidogyne javanica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0.7243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0.1367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Meloidogyne javanica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KNN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0.7233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0.0317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Meloidogyne javanica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NuSVC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0.7150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0.1955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Meloidogyne javanica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NuSVC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0.7130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0.0858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Meloidogyne javanica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0.7038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0.1085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Pectobacterium carotovorum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0.6255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0.0548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Pectobacterium carotovorum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0.6216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0.0337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Pectobacterium carotovorum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NuSVC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0.6192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0.0364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Pectobacterium carotovorum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0.6168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0.0338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Pectobacterium carotovorum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MLP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0.6156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0.0463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Phytophthora infestans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0.6930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0.0201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Phytophthora infestans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0.6842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0.0414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Phytophthora infestans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0.6838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0.0223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Phytophthora infestans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0.6821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0.0255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Phytophthora infestans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0.6804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0.0293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0.6391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0.0124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0.6374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0.6343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0.0208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0.6269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0.0189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0.6262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0.0221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Y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0.6751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0.0090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Y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0.0179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Y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0.6652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0.0219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Y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0.6636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0.0197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Potato virus Y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0.6580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0.0162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Ralstonia solanacearum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0.6814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0.0165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Ralstonia solanacearum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0.6796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0.0252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Ralstonia solanacearum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0.6626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0.0220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Ralstonia solanacearum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0.6614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0.0138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Ralstonia solanacearum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0.6567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0.0178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Spongospora subterranea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0.6428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0.0662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Spongospora subterranea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0.6365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0.0632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Spongospora subterranea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KNN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0.6228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0.0599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Spongospora subterranea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KNN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0.6205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0.0638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Spongospora subterranea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SVC_RBF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0.6184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0.0680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Streptomyces scabies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0.6759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0.0249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Streptomyces scabies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0.6718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0.0355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Streptomyces scabies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0.6682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0.0240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Streptomyces scabies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0.6578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0.0279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Streptomyces scabies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KNN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0.6544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0.0165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Synchytrium endobioticum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0.6737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0.0321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Synchytrium endobioticum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QDA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0.6728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0.0383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Synchytrium endobioticum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0.6725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0.0575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Synchytrium endobioticum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0.6713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0.0344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6"/>
              </w:rPr>
              <w:t>Synchytrium endobioticum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GaussianNB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0.6706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16"/>
              </w:rPr>
              <w:t>0.0272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S1. Top 5 modelos por patógeno — pipeline v4.</w:t>
      </w:r>
    </w:p>
    <w:p>
      <w:pPr>
        <w:pStyle w:val="Heading2"/>
        <w:jc w:val="left"/>
      </w:pPr>
      <w:r>
        <w:t>Tabela S2. Configuração completa do pipeline v4</w:t>
      </w:r>
    </w:p>
    <w:p>
      <w:pPr>
        <w:spacing w:after="120"/>
      </w:pPr>
      <w:r>
        <w:rPr>
          <w:b w:val="0"/>
          <w:i w:val="0"/>
          <w:sz w:val="20"/>
        </w:rPr>
        <w:t>Parâmetros completos do pipeline aplicado a todos os patógenos.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561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Balanceamento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NEG_RATIO=1 (1:1, sem SMOTE)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K-mers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K ∈ {2, 3, 4, 5, 6}, frequência relativa, strand forward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Seleção de features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SelectKBest (f_classif, k=100)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Redução dimensional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PCA (n_components=50)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Normalização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StandardScaler (média=0, desvio=1)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Validação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StratifiedKFold (n_splits=5, random_state=42)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Métrica primária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F1-score binário (classe positiva)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Critério seleção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F1_adj = F1_CV − max(0, gap−0.15)×0.5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Calibração final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CalibratedClassifierCV (method=sigmoid)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Classificadores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GaussianNB, BernoulliNB, QDA, SVC_RBF, NuSVC_RBF, LogisticRegression, KNN(k=5), RandomForest(100), MLP(100)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S2. Configuração completa do pipeline BiSPoLP v4.</w:t>
      </w:r>
    </w:p>
    <w:p>
      <w:pPr>
        <w:pStyle w:val="Heading2"/>
        <w:jc w:val="left"/>
      </w:pPr>
      <w:r>
        <w:t>Tabela S3. Resultados consolidados — K, modelo e métricas (pipeline v4)</w:t>
      </w:r>
    </w:p>
    <w:p>
      <w:pPr>
        <w:spacing w:after="120"/>
      </w:pPr>
      <w:r>
        <w:rPr>
          <w:b w:val="0"/>
          <w:i w:val="0"/>
          <w:sz w:val="20"/>
        </w:rPr>
        <w:t>Tabela unificada com configuração (K e classificador) e métricas de avaliação completas por patógeno (5-fold CV). Valores reportados como média ± desvio padrão entre as dobras. MCC = Matthews Correlation Coefficient.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Patógeno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 / Modelo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Precisão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Acurácia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MCC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Alternaria solani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K=3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0.6735 ±0.0543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0.6670 ±0.0767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0.6933 ±0.1013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0.7433 ±0.0324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0.6669 ±0.0502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0.345 ±0.100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Globodera spp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0.6875 ±0.0197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0.6159 ±0.0169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0.7786 ±0.0317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0.7141 ±0.0365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0.6463 ±0.0218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0.304 ±0.046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Leptinotarsa decemlineata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0.6543 ±0.0321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0.5821 ±0.0279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0.7475 ±0.0444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0.6369 ±0.0366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0.6054 ±0.0342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0.220 ±0.071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Meloidogyne javanica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K=2  KNN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0.5879 ±0.0903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0.5147 ±0.0583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0.7022 ±0.1769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0.5610 ±0.1505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0.5222 ±0.0834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0.052 ±0.232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Pectobacterium carotovorum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K=4  LogisticRegression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0.6167 ±0.0640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0.6153 ±0.0413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0.6256 ±0.1084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0.6838 ±0.0382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0.6171 ±0.0495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0.239 ±0.102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Phytophthora infestans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K=2  SVC_RBF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0.6626 ±0.0256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0.6049 ±0.0170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0.7342 ±0.0505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0.6758 ±0.0256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0.6272 ±0.0214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0.262 ±0.044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Potato virus A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K=2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0.6283 ±0.0199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0.5472 ±0.0173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0.7381 ±0.0292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0.5881 ±0.0196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0.5636 ±0.0223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0.136 ±0.047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Potato virus Y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K=5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0.6613 ±0.0248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0.5626 ±0.0160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0.8032 ±0.0501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0.6270 ±0.0395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0.5895 ±0.0252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0.200 ±0.061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Ralstonia solanacearum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K=5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0.6644 ±0.0156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0.5858 ±0.0116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0.7685 ±0.0366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0.6495 ±0.0159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0.6123 ±0.0138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0.237 ±0.029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Spongospora subterranea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0.6519 ±0.0486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0.5903 ±0.0402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0.7286 ±0.0635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0.6544 ±0.0593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0.6114 ±0.0550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0.229 ±0.116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Streptomyces scabies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K=4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0.6619 ±0.0129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0.5865 ±0.0118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0.7625 ±0.0472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0.6626 ±0.0240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0.6115 ±0.0078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0.235 ±0.013</w:t>
            </w:r>
          </w:p>
        </w:tc>
      </w:tr>
      <w:tr>
        <w:tc>
          <w:tcPr>
            <w:tcW w:type="dxa" w:w="1140"/>
          </w:tcPr>
          <w:p>
            <w:r/>
            <w:r>
              <w:rPr>
                <w:sz w:val="17"/>
              </w:rPr>
              <w:t>Synchytrium endobioticum</w:t>
            </w:r>
          </w:p>
        </w:tc>
        <w:tc>
          <w:tcPr>
            <w:tcW w:type="dxa" w:w="1140"/>
          </w:tcPr>
          <w:p>
            <w:r/>
            <w:r>
              <w:rPr>
                <w:sz w:val="17"/>
              </w:rPr>
              <w:t>K=3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0.6518 ±0.0499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0.6057 ±0.0351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0.7090 ±0.0835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0.6543 ±0.0579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0.6242 ±0.0441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0.255 ±0.093</w:t>
            </w:r>
          </w:p>
        </w:tc>
      </w:tr>
    </w:tbl>
    <w:p>
      <w:pPr>
        <w:spacing w:after="240"/>
        <w:jc w:val="center"/>
      </w:pPr>
      <w:r>
        <w:rPr>
          <w:i/>
          <w:sz w:val="18"/>
        </w:rPr>
        <w:t>Tabela S3. Resultados consolidados por patógeno — pipeline BiSPoLP v4. Todas as métricas calculadas por 5-fold stratified CV com pré-processamento ajustado dentro de cada dobra. Células verdes: valor ≥ 0,70.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