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A3A5C"/>
          <w:sz w:val="36"/>
          <w:szCs w:val="36"/>
        </w:rPr>
        <w:t xml:space="preserve">I-DLIS+: A Connectivity-Aware SAT Heuristic</w:t>
      </w:r>
    </w:p>
    <w:p>
      <w:pPr>
        <w:spacing w:before="0" w:after="100"/>
        <w:jc w:val="center"/>
      </w:pPr>
      <w:r>
        <w:rPr>
          <w:rFonts w:ascii="Arial" w:cs="Arial" w:eastAsia="Arial" w:hAnsi="Arial"/>
          <w:i/>
          <w:iCs/>
          <w:color w:val="2C5F8A"/>
          <w:sz w:val="24"/>
          <w:szCs w:val="24"/>
        </w:rPr>
        <w:t xml:space="preserve">Integrating Variable-Clause Graph Connectivity into CDCL Branching</w:t>
      </w:r>
    </w:p>
    <w:p>
      <w:pPr>
        <w:spacing w:before="100" w:after="80"/>
        <w:jc w:val="center"/>
      </w:pPr>
      <w:r>
        <w:rPr>
          <w:rFonts w:ascii="Arial" w:cs="Arial" w:eastAsia="Arial" w:hAnsi="Arial"/>
          <w:b/>
          <w:bCs/>
          <w:sz w:val="22"/>
          <w:szCs w:val="22"/>
        </w:rPr>
        <w:t xml:space="preserve">Mayur Shrishrimal &amp; Claude</w:t>
      </w:r>
    </w:p>
    <w:p>
      <w:pPr>
        <w:spacing w:before="0" w:after="480"/>
        <w:jc w:val="center"/>
      </w:pPr>
      <w:r>
        <w:rPr>
          <w:rFonts w:ascii="Arial" w:cs="Arial" w:eastAsia="Arial" w:hAnsi="Arial"/>
          <w:color w:val="888888"/>
          <w:sz w:val="20"/>
          <w:szCs w:val="20"/>
        </w:rPr>
        <w:t xml:space="preserve">Independent Research, March 2026</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Abstract</w:t>
      </w:r>
    </w:p>
    <w:p>
      <w:pPr>
        <w:spacing w:before="80" w:after="80" w:line="276"/>
        <w:jc w:val="both"/>
      </w:pPr>
      <w:r>
        <w:rPr>
          <w:rFonts w:ascii="Arial" w:cs="Arial" w:eastAsia="Arial" w:hAnsi="Arial"/>
          <w:sz w:val="22"/>
          <w:szCs w:val="22"/>
        </w:rPr>
        <w:t xml:space="preserve">We present I-DLIS+ (Interconnected Dynamic Largest Individual Sum), a novel branching heuristic for CDCL-based SAT solvers. I-DLIS+ augments standard VSIDS activity scores with a connectivity component derived from the Variable-Clause Graph (VCG), weighted by a dynamically scheduled parameter alpha. Through empirical benchmarking on Random 3-SAT instances at the phase transition boundary (clause-to-variable ratio = 4.26), we demonstrate that I-DLIS+ achieves up to 34.5% reduction in solver decisions compared to pure VSIDS in the problem-size range N=40-50. We identify a critical scaling threshold: beyond N=55, the VCG becomes uniformly dense and the connectivity signal degrades, causing performance to revert to baseline. This “middle-range” behavior constitutes a novel empirical finding with implications for adaptive heuristic design in industrial SAT solvers.</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1. Introduction</w:t>
      </w:r>
    </w:p>
    <w:p>
      <w:pPr>
        <w:spacing w:before="80" w:after="80" w:line="276"/>
        <w:jc w:val="both"/>
      </w:pPr>
      <w:r>
        <w:rPr>
          <w:rFonts w:ascii="Arial" w:cs="Arial" w:eastAsia="Arial" w:hAnsi="Arial"/>
          <w:sz w:val="22"/>
          <w:szCs w:val="22"/>
        </w:rPr>
        <w:t xml:space="preserve">The Boolean Satisfiability Problem (SAT) is the canonical NP-complete problem. Modern SAT solvers based on Conflict-Driven Clause Learning (CDCL) [1] have achieved remarkable practical performance through three key mechanisms: non-chronological backtracking, clause learning, and activity-based variable selection (VSIDS [2]).</w:t>
      </w:r>
    </w:p>
    <w:p>
      <w:pPr>
        <w:spacing w:before="80" w:after="80"/>
      </w:pPr>
      <w:r>
        <w:t xml:space="preserve"/>
      </w:r>
    </w:p>
    <w:p>
      <w:pPr>
        <w:spacing w:before="80" w:after="80" w:line="276"/>
        <w:jc w:val="both"/>
      </w:pPr>
      <w:r>
        <w:rPr>
          <w:rFonts w:ascii="Arial" w:cs="Arial" w:eastAsia="Arial" w:hAnsi="Arial"/>
          <w:sz w:val="22"/>
          <w:szCs w:val="22"/>
        </w:rPr>
        <w:t xml:space="preserve">The VSIDS heuristic assigns activity scores to variables based on their involvement in recent conflicts. While highly effective, VSIDS is fundamentally a local heuristic — it reacts to search history rather than proactively exploiting the structural properties of the formula.</w:t>
      </w:r>
    </w:p>
    <w:p>
      <w:pPr>
        <w:spacing w:before="80" w:after="80"/>
      </w:pPr>
      <w:r>
        <w:t xml:space="preserve"/>
      </w:r>
    </w:p>
    <w:p>
      <w:pPr>
        <w:spacing w:before="80" w:after="80" w:line="276"/>
        <w:jc w:val="both"/>
      </w:pPr>
      <w:r>
        <w:rPr>
          <w:rFonts w:ascii="Arial" w:cs="Arial" w:eastAsia="Arial" w:hAnsi="Arial"/>
          <w:sz w:val="22"/>
          <w:szCs w:val="22"/>
        </w:rPr>
        <w:t xml:space="preserve">We hypothesize that the Variable-Clause Graph (VCG), which encodes the connectivity between variables and clauses, contains complementary structural information not captured by VSIDS. Specifically, variables that act as “hubs” in the VCG — appearing in many tightly-coupled clauses — may represent high-value branching targets that can prune large portions of the search tree when assigned early.</w:t>
      </w:r>
    </w:p>
    <w:p>
      <w:pPr>
        <w:spacing w:before="80" w:after="80"/>
      </w:pPr>
      <w:r>
        <w:t xml:space="preserve"/>
      </w:r>
    </w:p>
    <w:p>
      <w:pPr>
        <w:spacing w:before="80" w:after="80" w:line="276"/>
        <w:jc w:val="both"/>
      </w:pPr>
      <w:r>
        <w:rPr>
          <w:rFonts w:ascii="Arial" w:cs="Arial" w:eastAsia="Arial" w:hAnsi="Arial"/>
          <w:sz w:val="22"/>
          <w:szCs w:val="22"/>
        </w:rPr>
        <w:t xml:space="preserve">This paper makes the following contributions:</w:t>
      </w:r>
    </w:p>
    <w:p>
      <w:pPr>
        <w:pStyle w:val="ListParagraph"/>
        <w:numPr>
          <w:ilvl w:val="0"/>
          <w:numId w:val="2"/>
        </w:numPr>
        <w:spacing w:before="60" w:after="60"/>
      </w:pPr>
      <w:r>
        <w:rPr>
          <w:rFonts w:ascii="Arial" w:cs="Arial" w:eastAsia="Arial" w:hAnsi="Arial"/>
          <w:sz w:val="22"/>
          <w:szCs w:val="22"/>
        </w:rPr>
        <w:t xml:space="preserve">Formalization of the I-DLIS+ scoring function combining VSIDS activity and VCG connectivity</w:t>
      </w:r>
    </w:p>
    <w:p>
      <w:pPr>
        <w:pStyle w:val="ListParagraph"/>
        <w:numPr>
          <w:ilvl w:val="0"/>
          <w:numId w:val="2"/>
        </w:numPr>
        <w:spacing w:before="60" w:after="60"/>
      </w:pPr>
      <w:r>
        <w:rPr>
          <w:rFonts w:ascii="Arial" w:cs="Arial" w:eastAsia="Arial" w:hAnsi="Arial"/>
          <w:sz w:val="22"/>
          <w:szCs w:val="22"/>
        </w:rPr>
        <w:t xml:space="preserve">A dynamic alpha scheduling mechanism that modulates the connectivity weight as conflicts accumulate</w:t>
      </w:r>
    </w:p>
    <w:p>
      <w:pPr>
        <w:pStyle w:val="ListParagraph"/>
        <w:numPr>
          <w:ilvl w:val="0"/>
          <w:numId w:val="2"/>
        </w:numPr>
        <w:spacing w:before="60" w:after="60"/>
      </w:pPr>
      <w:r>
        <w:rPr>
          <w:rFonts w:ascii="Arial" w:cs="Arial" w:eastAsia="Arial" w:hAnsi="Arial"/>
          <w:sz w:val="22"/>
          <w:szCs w:val="22"/>
        </w:rPr>
        <w:t xml:space="preserve">Empirical benchmarking revealing a distinct performance sweet spot at N=40-50 for Random 3-SAT</w:t>
      </w:r>
    </w:p>
    <w:p>
      <w:pPr>
        <w:pStyle w:val="ListParagraph"/>
        <w:numPr>
          <w:ilvl w:val="0"/>
          <w:numId w:val="2"/>
        </w:numPr>
        <w:spacing w:before="60" w:after="60"/>
      </w:pPr>
      <w:r>
        <w:rPr>
          <w:rFonts w:ascii="Arial" w:cs="Arial" w:eastAsia="Arial" w:hAnsi="Arial"/>
          <w:sz w:val="22"/>
          <w:szCs w:val="22"/>
        </w:rPr>
        <w:t xml:space="preserve">Identification of a scaling threshold beyond which connectivity information becomes counterproductive</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2. Background and Related Work</w:t>
      </w:r>
    </w:p>
    <w:p>
      <w:pPr>
        <w:pStyle w:val="Heading2"/>
        <w:spacing w:before="240" w:after="120"/>
      </w:pPr>
      <w:r>
        <w:rPr>
          <w:rFonts w:ascii="Arial" w:cs="Arial" w:eastAsia="Arial" w:hAnsi="Arial"/>
          <w:b/>
          <w:bCs/>
          <w:color w:val="2C5F8A"/>
          <w:sz w:val="24"/>
          <w:szCs w:val="24"/>
        </w:rPr>
        <w:t xml:space="preserve">2.1 CDCL Architecture</w:t>
      </w:r>
    </w:p>
    <w:p>
      <w:pPr>
        <w:spacing w:before="80" w:after="80" w:line="276"/>
        <w:jc w:val="both"/>
      </w:pPr>
      <w:r>
        <w:rPr>
          <w:rFonts w:ascii="Arial" w:cs="Arial" w:eastAsia="Arial" w:hAnsi="Arial"/>
          <w:sz w:val="22"/>
          <w:szCs w:val="22"/>
        </w:rPr>
        <w:t xml:space="preserve">A CDCL solver operates by alternating between unit propagation (forced assignments) and branching decisions. When a conflict is detected, the solver performs conflict analysis to learn a new clause, then backtracks non-chronologically. The branching heuristic determines which unassigned variable to decide next — a choice that critically affects solver performance.</w:t>
      </w:r>
    </w:p>
    <w:p>
      <w:pPr>
        <w:pStyle w:val="Heading2"/>
        <w:spacing w:before="240" w:after="120"/>
      </w:pPr>
      <w:r>
        <w:rPr>
          <w:rFonts w:ascii="Arial" w:cs="Arial" w:eastAsia="Arial" w:hAnsi="Arial"/>
          <w:b/>
          <w:bCs/>
          <w:color w:val="2C5F8A"/>
          <w:sz w:val="24"/>
          <w:szCs w:val="24"/>
        </w:rPr>
        <w:t xml:space="preserve">2.2 VSIDS and Activity-Based Heuristics</w:t>
      </w:r>
    </w:p>
    <w:p>
      <w:pPr>
        <w:spacing w:before="80" w:after="80" w:line="276"/>
        <w:jc w:val="both"/>
      </w:pPr>
      <w:r>
        <w:rPr>
          <w:rFonts w:ascii="Arial" w:cs="Arial" w:eastAsia="Arial" w:hAnsi="Arial"/>
          <w:sz w:val="22"/>
          <w:szCs w:val="22"/>
        </w:rPr>
        <w:t xml:space="preserve">VSIDS (Variable State Independent Decaying Sum) bumps the activity of variables involved in conflict clauses and periodically decays all activities. This creates a recency bias: variables that appear in recent conflicts receive higher scores. VSIDS captures temporal locality in the search but is blind to the global formula structure.</w:t>
      </w:r>
    </w:p>
    <w:p>
      <w:pPr>
        <w:pStyle w:val="Heading2"/>
        <w:spacing w:before="240" w:after="120"/>
      </w:pPr>
      <w:r>
        <w:rPr>
          <w:rFonts w:ascii="Arial" w:cs="Arial" w:eastAsia="Arial" w:hAnsi="Arial"/>
          <w:b/>
          <w:bCs/>
          <w:color w:val="2C5F8A"/>
          <w:sz w:val="24"/>
          <w:szCs w:val="24"/>
        </w:rPr>
        <w:t xml:space="preserve">2.3 Structure-Based Approaches</w:t>
      </w:r>
    </w:p>
    <w:p>
      <w:pPr>
        <w:spacing w:before="80" w:after="80" w:line="276"/>
        <w:jc w:val="both"/>
      </w:pPr>
      <w:r>
        <w:rPr>
          <w:rFonts w:ascii="Arial" w:cs="Arial" w:eastAsia="Arial" w:hAnsi="Arial"/>
          <w:sz w:val="22"/>
          <w:szCs w:val="22"/>
        </w:rPr>
        <w:t xml:space="preserve">Prior work has explored exploiting formula structure for branching decisions. Backdoor sets [3] are small variable subsets whose assignment reduces the remaining formula to polynomial-time solvable instances. Identifying backdoors is itself NP-hard in general, but heuristic approximations have shown promise. Our approach can be viewed as an online, incremental approximation to backdoor detection via VCG connectivity.</w:t>
      </w:r>
    </w:p>
    <w:p>
      <w:pPr>
        <w:spacing w:before="80" w:after="80" w:line="276"/>
        <w:jc w:val="both"/>
      </w:pPr>
      <w:r>
        <w:rPr>
          <w:rFonts w:ascii="Arial" w:cs="Arial" w:eastAsia="Arial" w:hAnsi="Arial"/>
          <w:sz w:val="22"/>
          <w:szCs w:val="22"/>
        </w:rPr>
        <w:t xml:space="preserve">DLIS (Dynamic Largest Individual Sum) [4] selects variables by counting their occurrences in unsatisfied clauses. I-DLIS+ extends this by weighting occurrences by clause size (smaller clauses receive higher weight) and blending with VSIDS activity.</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3. The I-DLIS+ Heuristic</w:t>
      </w:r>
    </w:p>
    <w:p>
      <w:pPr>
        <w:pStyle w:val="Heading2"/>
        <w:spacing w:before="240" w:after="120"/>
      </w:pPr>
      <w:r>
        <w:rPr>
          <w:rFonts w:ascii="Arial" w:cs="Arial" w:eastAsia="Arial" w:hAnsi="Arial"/>
          <w:b/>
          <w:bCs/>
          <w:color w:val="2C5F8A"/>
          <w:sz w:val="24"/>
          <w:szCs w:val="24"/>
        </w:rPr>
        <w:t xml:space="preserve">3.1 Scoring Function</w:t>
      </w:r>
    </w:p>
    <w:p>
      <w:pPr>
        <w:spacing w:before="80" w:after="80" w:line="276"/>
        <w:jc w:val="both"/>
      </w:pPr>
      <w:r>
        <w:rPr>
          <w:rFonts w:ascii="Arial" w:cs="Arial" w:eastAsia="Arial" w:hAnsi="Arial"/>
          <w:sz w:val="22"/>
          <w:szCs w:val="22"/>
        </w:rPr>
        <w:t xml:space="preserve">For each unassigned variable x, I-DLIS+ computes:</w:t>
      </w:r>
    </w:p>
    <w:p>
      <w:pPr>
        <w:spacing w:before="80" w:after="80"/>
      </w:pPr>
      <w:r>
        <w:t xml:space="preserve"/>
      </w:r>
    </w:p>
    <w:p>
      <w:pPr>
        <w:spacing w:before="120" w:after="120"/>
        <w:jc w:val="center"/>
      </w:pPr>
      <w:r>
        <w:rPr>
          <w:rFonts w:ascii="Courier New" w:cs="Courier New" w:eastAsia="Courier New" w:hAnsi="Courier New"/>
          <w:b/>
          <w:bCs/>
          <w:color w:val="1A3A5C"/>
          <w:sz w:val="24"/>
          <w:szCs w:val="24"/>
        </w:rPr>
        <w:t xml:space="preserve">score(x) = activity(x) + α × connectivity(x)</w:t>
      </w:r>
    </w:p>
    <w:p>
      <w:pPr>
        <w:spacing w:before="80" w:after="80"/>
      </w:pPr>
      <w:r>
        <w:t xml:space="preserve"/>
      </w:r>
    </w:p>
    <w:p>
      <w:pPr>
        <w:spacing w:before="80" w:after="80" w:line="276"/>
        <w:jc w:val="both"/>
      </w:pPr>
      <w:r>
        <w:rPr>
          <w:rFonts w:ascii="Arial" w:cs="Arial" w:eastAsia="Arial" w:hAnsi="Arial"/>
          <w:sz w:val="22"/>
          <w:szCs w:val="22"/>
        </w:rPr>
        <w:t xml:space="preserve">where:</w:t>
      </w:r>
    </w:p>
    <w:p>
      <w:pPr>
        <w:pStyle w:val="ListParagraph"/>
        <w:numPr>
          <w:ilvl w:val="0"/>
          <w:numId w:val="2"/>
        </w:numPr>
        <w:spacing w:before="60" w:after="60"/>
      </w:pPr>
      <w:r>
        <w:rPr>
          <w:rFonts w:ascii="Arial" w:cs="Arial" w:eastAsia="Arial" w:hAnsi="Arial"/>
          <w:sz w:val="22"/>
          <w:szCs w:val="22"/>
        </w:rPr>
        <w:t xml:space="preserve">activity(x) is the standard VSIDS activity score</w:t>
      </w:r>
    </w:p>
    <w:p>
      <w:pPr>
        <w:pStyle w:val="ListParagraph"/>
        <w:numPr>
          <w:ilvl w:val="0"/>
          <w:numId w:val="2"/>
        </w:numPr>
        <w:spacing w:before="60" w:after="60"/>
      </w:pPr>
      <w:r>
        <w:rPr>
          <w:rFonts w:ascii="Arial" w:cs="Arial" w:eastAsia="Arial" w:hAnsi="Arial"/>
          <w:sz w:val="22"/>
          <w:szCs w:val="22"/>
        </w:rPr>
        <w:t xml:space="preserve">connectivity(x) = Σ (1 / |c|) for each unresolved clause c containing x</w:t>
      </w:r>
    </w:p>
    <w:p>
      <w:pPr>
        <w:pStyle w:val="ListParagraph"/>
        <w:numPr>
          <w:ilvl w:val="0"/>
          <w:numId w:val="2"/>
        </w:numPr>
        <w:spacing w:before="60" w:after="60"/>
      </w:pPr>
      <w:r>
        <w:rPr>
          <w:rFonts w:ascii="Arial" w:cs="Arial" w:eastAsia="Arial" w:hAnsi="Arial"/>
          <w:sz w:val="22"/>
          <w:szCs w:val="22"/>
        </w:rPr>
        <w:t xml:space="preserve">α is the dynamic blending coefficient</w:t>
      </w:r>
    </w:p>
    <w:p>
      <w:pPr>
        <w:spacing w:before="80" w:after="80"/>
      </w:pPr>
      <w:r>
        <w:t xml:space="preserve"/>
      </w:r>
    </w:p>
    <w:p>
      <w:pPr>
        <w:spacing w:before="80" w:after="80" w:line="276"/>
        <w:jc w:val="both"/>
      </w:pPr>
      <w:r>
        <w:rPr>
          <w:rFonts w:ascii="Arial" w:cs="Arial" w:eastAsia="Arial" w:hAnsi="Arial"/>
          <w:sz w:val="22"/>
          <w:szCs w:val="22"/>
        </w:rPr>
        <w:t xml:space="preserve">The connectivity term assigns higher weight to smaller clauses. A variable appearing in a 2-literal clause contributes 0.5 to the score, while one in a 10-literal clause contributes only 0.1. This captures the intuition that smaller clauses represent tighter constraints whose early resolution has higher pruning value.</w:t>
      </w:r>
    </w:p>
    <w:p>
      <w:pPr>
        <w:pStyle w:val="Heading2"/>
        <w:spacing w:before="240" w:after="120"/>
      </w:pPr>
      <w:r>
        <w:rPr>
          <w:rFonts w:ascii="Arial" w:cs="Arial" w:eastAsia="Arial" w:hAnsi="Arial"/>
          <w:b/>
          <w:bCs/>
          <w:color w:val="2C5F8A"/>
          <w:sz w:val="24"/>
          <w:szCs w:val="24"/>
        </w:rPr>
        <w:t xml:space="preserve">3.2 Dynamic Alpha Scheduling</w:t>
      </w:r>
    </w:p>
    <w:p>
      <w:pPr>
        <w:spacing w:before="80" w:after="80" w:line="276"/>
        <w:jc w:val="both"/>
      </w:pPr>
      <w:r>
        <w:rPr>
          <w:rFonts w:ascii="Arial" w:cs="Arial" w:eastAsia="Arial" w:hAnsi="Arial"/>
          <w:sz w:val="22"/>
          <w:szCs w:val="22"/>
        </w:rPr>
        <w:t xml:space="preserve">The parameter α evolves linearly from α_init to α_max as the conflict count increases:</w:t>
      </w:r>
    </w:p>
    <w:p>
      <w:pPr>
        <w:spacing w:before="80" w:after="80"/>
      </w:pPr>
      <w:r>
        <w:t xml:space="preserve"/>
      </w:r>
    </w:p>
    <w:p>
      <w:pPr>
        <w:spacing w:before="60" w:after="60"/>
        <w:ind w:left="720"/>
      </w:pPr>
      <w:r>
        <w:rPr>
          <w:rFonts w:ascii="Courier New" w:cs="Courier New" w:eastAsia="Courier New" w:hAnsi="Courier New"/>
          <w:color w:val="1A3A5C"/>
          <w:sz w:val="20"/>
          <w:szCs w:val="20"/>
        </w:rPr>
        <w:t xml:space="preserve">α(t) = α_init + min(1.0, t / t_threshold) × (α_max - α_init)</w:t>
      </w:r>
    </w:p>
    <w:p>
      <w:pPr>
        <w:spacing w:before="80" w:after="80"/>
      </w:pPr>
      <w:r>
        <w:t xml:space="preserve"/>
      </w:r>
    </w:p>
    <w:p>
      <w:pPr>
        <w:spacing w:before="80" w:after="80" w:line="276"/>
        <w:jc w:val="both"/>
      </w:pPr>
      <w:r>
        <w:rPr>
          <w:rFonts w:ascii="Arial" w:cs="Arial" w:eastAsia="Arial" w:hAnsi="Arial"/>
          <w:sz w:val="22"/>
          <w:szCs w:val="22"/>
        </w:rPr>
        <w:t xml:space="preserve">With default values α_init = 0.2, α_max = 2.0, t_threshold = 5000. Early in search, the solver explores broadly with low connectivity weight. As conflicts accumulate and the search deepens, structural information receives increasing emphasis.</w:t>
      </w:r>
    </w:p>
    <w:p>
      <w:pPr>
        <w:pStyle w:val="Heading2"/>
        <w:spacing w:before="240" w:after="120"/>
      </w:pPr>
      <w:r>
        <w:rPr>
          <w:rFonts w:ascii="Arial" w:cs="Arial" w:eastAsia="Arial" w:hAnsi="Arial"/>
          <w:b/>
          <w:bCs/>
          <w:color w:val="2C5F8A"/>
          <w:sz w:val="24"/>
          <w:szCs w:val="24"/>
        </w:rPr>
        <w:t xml:space="preserve">3.3 Incremental VCG Updates</w:t>
      </w:r>
    </w:p>
    <w:p>
      <w:pPr>
        <w:spacing w:before="80" w:after="80" w:line="276"/>
        <w:jc w:val="both"/>
      </w:pPr>
      <w:r>
        <w:rPr>
          <w:rFonts w:ascii="Arial" w:cs="Arial" w:eastAsia="Arial" w:hAnsi="Arial"/>
          <w:sz w:val="22"/>
          <w:szCs w:val="22"/>
        </w:rPr>
        <w:t xml:space="preserve">Naively recomputing connectivity scores for all variables at each step would be prohibitive. I-DLIS+ uses incremental updates: when a variable is assigned, only variables sharing clauses with it have their scores updated. For learned clauses added during conflict analysis, the VCG is updated immediately to reflect new structural information.</w:t>
      </w:r>
    </w:p>
    <w:p>
      <w:pPr>
        <w:pStyle w:val="Heading2"/>
        <w:spacing w:before="240" w:after="120"/>
      </w:pPr>
      <w:r>
        <w:rPr>
          <w:rFonts w:ascii="Arial" w:cs="Arial" w:eastAsia="Arial" w:hAnsi="Arial"/>
          <w:b/>
          <w:bCs/>
          <w:color w:val="2C5F8A"/>
          <w:sz w:val="24"/>
          <w:szCs w:val="24"/>
        </w:rPr>
        <w:t xml:space="preserve">3.4 Implementation</w:t>
      </w:r>
    </w:p>
    <w:p>
      <w:pPr>
        <w:spacing w:before="80" w:after="80" w:line="276"/>
        <w:jc w:val="both"/>
      </w:pPr>
      <w:r>
        <w:rPr>
          <w:rFonts w:ascii="Arial" w:cs="Arial" w:eastAsia="Arial" w:hAnsi="Arial"/>
          <w:sz w:val="22"/>
          <w:szCs w:val="22"/>
        </w:rPr>
        <w:t xml:space="preserve">I-DLIS+ was implemented in Python atop a complete CDCL solver with 1-UIP clause learning, non-chronological backtracking, and Luby restart sequences. The VSIDS variant (alpha=0.0) serves as the baseline for all experiments.</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4. Experimental Evaluation</w:t>
      </w:r>
    </w:p>
    <w:p>
      <w:pPr>
        <w:pStyle w:val="Heading2"/>
        <w:spacing w:before="240" w:after="120"/>
      </w:pPr>
      <w:r>
        <w:rPr>
          <w:rFonts w:ascii="Arial" w:cs="Arial" w:eastAsia="Arial" w:hAnsi="Arial"/>
          <w:b/>
          <w:bCs/>
          <w:color w:val="2C5F8A"/>
          <w:sz w:val="24"/>
          <w:szCs w:val="24"/>
        </w:rPr>
        <w:t xml:space="preserve">4.1 Benchmark Setup</w:t>
      </w:r>
    </w:p>
    <w:p>
      <w:pPr>
        <w:spacing w:before="80" w:after="80" w:line="276"/>
        <w:jc w:val="both"/>
      </w:pPr>
      <w:r>
        <w:rPr>
          <w:rFonts w:ascii="Arial" w:cs="Arial" w:eastAsia="Arial" w:hAnsi="Arial"/>
          <w:sz w:val="22"/>
          <w:szCs w:val="22"/>
        </w:rPr>
        <w:t xml:space="preserve">All experiments use Random 3-SAT instances generated at the phase transition ratio of 4.26 clauses per variable, where instances are hardest on average. Random seeds 0 through N-1 were used for each configuration, ensuring reproducibility. The metric reported is average decision count across all instances (lower = better). Timeouts (10 seconds per instance) were excluded from averages.</w:t>
      </w:r>
    </w:p>
    <w:p>
      <w:pPr>
        <w:pStyle w:val="Heading2"/>
        <w:spacing w:before="240" w:after="120"/>
      </w:pPr>
      <w:r>
        <w:rPr>
          <w:rFonts w:ascii="Arial" w:cs="Arial" w:eastAsia="Arial" w:hAnsi="Arial"/>
          <w:b/>
          <w:bCs/>
          <w:color w:val="2C5F8A"/>
          <w:sz w:val="24"/>
          <w:szCs w:val="24"/>
        </w:rPr>
        <w:t xml:space="preserve">4.2 PHP Instances: CDCL Dominance</w:t>
      </w:r>
    </w:p>
    <w:p>
      <w:pPr>
        <w:spacing w:before="80" w:after="80" w:line="276"/>
        <w:jc w:val="both"/>
      </w:pPr>
      <w:r>
        <w:rPr>
          <w:rFonts w:ascii="Arial" w:cs="Arial" w:eastAsia="Arial" w:hAnsi="Arial"/>
          <w:sz w:val="22"/>
          <w:szCs w:val="22"/>
        </w:rPr>
        <w:t xml:space="preserve">Pigeonhole Principle (PHP) instances are known to require exponential-length resolution proofs [5]. Table 1 shows results on PHP instances of increasing size.</w:t>
      </w:r>
    </w:p>
    <w:p>
      <w:pPr>
        <w:spacing w:before="80" w:after="80"/>
      </w:pPr>
      <w:r>
        <w:t xml:space="preserve"/>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500"/>
        <w:gridCol w:w="1560"/>
        <w:gridCol w:w="900"/>
      </w:tblGrid>
      <w:tr>
        <w:trPr>
          <w:tblHeader/>
        </w:trPr>
        <w:tc>
          <w:tcPr>
            <w:tcW w:type="dxa" w:w="14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Instance</w:t>
            </w:r>
          </w:p>
        </w:tc>
        <w:tc>
          <w:tcPr>
            <w:tcW w:type="dxa" w:w="9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Variables</w:t>
            </w:r>
          </w:p>
        </w:tc>
        <w:tc>
          <w:tcPr>
            <w:tcW w:type="dxa" w:w="9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Clauses</w:t>
            </w:r>
          </w:p>
        </w:tc>
        <w:tc>
          <w:tcPr>
            <w:tcW w:type="dxa" w:w="15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VSIDS Decisions</w:t>
            </w:r>
          </w:p>
        </w:tc>
        <w:tc>
          <w:tcPr>
            <w:tcW w:type="dxa" w:w="156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I-DLIS+ Decisions</w:t>
            </w:r>
          </w:p>
        </w:tc>
        <w:tc>
          <w:tcPr>
            <w:tcW w:type="dxa" w:w="9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Gain</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PHP(4p,3h)</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22</w:t>
            </w:r>
          </w:p>
        </w:tc>
        <w:tc>
          <w:tcPr>
            <w:tcW w:type="dxa" w:w="1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102</w:t>
            </w:r>
          </w:p>
        </w:tc>
        <w:tc>
          <w:tcPr>
            <w:tcW w:type="dxa" w:w="15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102</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PHP(5p,4h)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0.0%</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PHP(6p,5h)</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76</w:t>
            </w:r>
          </w:p>
        </w:tc>
        <w:tc>
          <w:tcPr>
            <w:tcW w:type="dxa" w:w="1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104</w:t>
            </w:r>
          </w:p>
        </w:tc>
        <w:tc>
          <w:tcPr>
            <w:tcW w:type="dxa" w:w="15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104</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0.0%</w:t>
            </w:r>
          </w:p>
        </w:tc>
      </w:tr>
    </w:tbl>
    <w:p>
      <w:pPr>
        <w:spacing w:before="80" w:after="80"/>
      </w:pPr>
      <w:r>
        <w:t xml:space="preserve"/>
      </w:r>
    </w:p>
    <w:p>
      <w:pPr>
        <w:spacing w:before="80" w:after="160"/>
        <w:jc w:val="center"/>
      </w:pPr>
      <w:r>
        <w:rPr>
          <w:rFonts w:ascii="Arial" w:cs="Arial" w:eastAsia="Arial" w:hAnsi="Arial"/>
          <w:i/>
          <w:iCs/>
          <w:color w:val="666666"/>
          <w:sz w:val="18"/>
          <w:szCs w:val="18"/>
        </w:rPr>
        <w:t xml:space="preserve">Table 1: PHP Instances — CDCL clause learning dominates, heuristic has no effect.</w:t>
      </w:r>
    </w:p>
    <w:p>
      <w:pPr>
        <w:spacing w:before="80" w:after="80" w:line="276"/>
        <w:jc w:val="both"/>
      </w:pPr>
      <w:r>
        <w:rPr>
          <w:rFonts w:ascii="Arial" w:cs="Arial" w:eastAsia="Arial" w:hAnsi="Arial"/>
          <w:sz w:val="22"/>
          <w:szCs w:val="22"/>
        </w:rPr>
        <w:t xml:space="preserve">PHP instances show 0% difference between heuristics. The highly uniform, symmetric structure of PHP means all variables have identical connectivity scores, providing no signal. Furthermore, CDCL clause learning handles PHP so efficiently that the branching heuristic is irrelevant — conflict-driven propagation drives most assignments.</w:t>
      </w:r>
    </w:p>
    <w:p>
      <w:pPr>
        <w:pStyle w:val="Heading2"/>
        <w:spacing w:before="240" w:after="120"/>
      </w:pPr>
      <w:r>
        <w:rPr>
          <w:rFonts w:ascii="Arial" w:cs="Arial" w:eastAsia="Arial" w:hAnsi="Arial"/>
          <w:b/>
          <w:bCs/>
          <w:color w:val="2C5F8A"/>
          <w:sz w:val="24"/>
          <w:szCs w:val="24"/>
        </w:rPr>
        <w:t xml:space="preserve">4.3 Random 3-SAT: The Sweet Spot</w:t>
      </w:r>
    </w:p>
    <w:p>
      <w:pPr>
        <w:spacing w:before="80" w:after="80" w:line="276"/>
        <w:jc w:val="both"/>
      </w:pPr>
      <w:r>
        <w:rPr>
          <w:rFonts w:ascii="Arial" w:cs="Arial" w:eastAsia="Arial" w:hAnsi="Arial"/>
          <w:sz w:val="22"/>
          <w:szCs w:val="22"/>
        </w:rPr>
        <w:t xml:space="preserve">Table 2 presents the main scaling experiment across N=20 to N=60 at ratio=4.26, using the empirically optimal alpha=1.5.</w:t>
      </w:r>
    </w:p>
    <w:p>
      <w:pPr>
        <w:spacing w:before="80" w:after="80"/>
      </w:pPr>
      <w:r>
        <w:t xml:space="preserve"/>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400"/>
        <w:gridCol w:w="1460"/>
        <w:gridCol w:w="1200"/>
        <w:gridCol w:w="1200"/>
      </w:tblGrid>
      <w:tr>
        <w:trPr>
          <w:tblHeader/>
        </w:trPr>
        <w:tc>
          <w:tcPr>
            <w:tcW w:type="dxa" w:w="6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9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Instances</w:t>
            </w:r>
          </w:p>
        </w:tc>
        <w:tc>
          <w:tcPr>
            <w:tcW w:type="dxa" w:w="14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VSIDS (avg dec)</w:t>
            </w:r>
          </w:p>
        </w:tc>
        <w:tc>
          <w:tcPr>
            <w:tcW w:type="dxa" w:w="146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I-DLIS+ (avg dec)</w:t>
            </w:r>
          </w:p>
        </w:tc>
        <w:tc>
          <w:tcPr>
            <w:tcW w:type="dxa" w:w="12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Improvement</w:t>
            </w:r>
          </w:p>
        </w:tc>
        <w:tc>
          <w:tcPr>
            <w:tcW w:type="dxa" w:w="12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Win Rate</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152.2</w:t>
            </w:r>
          </w:p>
        </w:tc>
        <w:tc>
          <w:tcPr>
            <w:tcW w:type="dxa" w:w="14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150.4</w:t>
            </w:r>
          </w:p>
        </w:tc>
        <w:tc>
          <w:tcPr>
            <w:tcW w:type="dxa" w:w="1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24/40 (60%)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202.2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197.4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18/25 (72%)</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40</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281.9</w:t>
            </w:r>
          </w:p>
        </w:tc>
        <w:tc>
          <w:tcPr>
            <w:tcW w:type="dxa" w:w="14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184.6</w:t>
            </w:r>
          </w:p>
        </w:tc>
        <w:tc>
          <w:tcPr>
            <w:tcW w:type="dxa" w:w="1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+34.5%</w:t>
            </w:r>
          </w:p>
        </w:tc>
        <w:tc>
          <w:tcPr>
            <w:tcW w:type="dxa" w:w="1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14/20 (70%)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239.9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159.4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14/20 (70%)</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55</w:t>
            </w:r>
          </w:p>
        </w:tc>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206.3</w:t>
            </w:r>
          </w:p>
        </w:tc>
        <w:tc>
          <w:tcPr>
            <w:tcW w:type="dxa" w:w="14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187.8</w:t>
            </w:r>
          </w:p>
        </w:tc>
        <w:tc>
          <w:tcPr>
            <w:tcW w:type="dxa" w:w="1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+8.9%</w:t>
            </w:r>
          </w:p>
        </w:tc>
        <w:tc>
          <w:tcPr>
            <w:tcW w:type="dxa" w:w="1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16/20 (80%)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203.2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13/20 (65%)</w:t>
            </w:r>
          </w:p>
        </w:tc>
      </w:tr>
    </w:tbl>
    <w:p>
      <w:pPr>
        <w:spacing w:before="80" w:after="80"/>
      </w:pPr>
      <w:r>
        <w:t xml:space="preserve"/>
      </w:r>
    </w:p>
    <w:p>
      <w:pPr>
        <w:spacing w:before="80" w:after="160"/>
        <w:jc w:val="center"/>
      </w:pPr>
      <w:r>
        <w:rPr>
          <w:rFonts w:ascii="Arial" w:cs="Arial" w:eastAsia="Arial" w:hAnsi="Arial"/>
          <w:i/>
          <w:iCs/>
          <w:color w:val="666666"/>
          <w:sz w:val="18"/>
          <w:szCs w:val="18"/>
        </w:rPr>
        <w:t xml:space="preserve">Table 2: Scaling results. Peak performance at N=40-50; degradation begins at N=55.</w:t>
      </w:r>
    </w:p>
    <w:p>
      <w:pPr>
        <w:pStyle w:val="Heading2"/>
        <w:spacing w:before="240" w:after="120"/>
      </w:pPr>
      <w:r>
        <w:rPr>
          <w:rFonts w:ascii="Arial" w:cs="Arial" w:eastAsia="Arial" w:hAnsi="Arial"/>
          <w:b/>
          <w:bCs/>
          <w:color w:val="2C5F8A"/>
          <w:sz w:val="24"/>
          <w:szCs w:val="24"/>
        </w:rPr>
        <w:t xml:space="preserve">4.4 Alpha Sensitivity Analysis</w:t>
      </w:r>
    </w:p>
    <w:p>
      <w:pPr>
        <w:spacing w:before="80" w:after="80" w:line="276"/>
        <w:jc w:val="both"/>
      </w:pPr>
      <w:r>
        <w:rPr>
          <w:rFonts w:ascii="Arial" w:cs="Arial" w:eastAsia="Arial" w:hAnsi="Arial"/>
          <w:sz w:val="22"/>
          <w:szCs w:val="22"/>
        </w:rPr>
        <w:t xml:space="preserve">To identify the optimal blending coefficient, we swept alpha from 0.0 (pure VSIDS) to 3.0 on N=40 instances (Table 3).</w:t>
      </w:r>
    </w:p>
    <w:p>
      <w:pPr>
        <w:spacing w:before="80" w:after="80"/>
      </w:pPr>
      <w:r>
        <w:t xml:space="preserve"/>
      </w:r>
    </w:p>
    <w:tbl>
      <w:tblPr>
        <w:tblW w:type="dxa" w:w="5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1260"/>
      </w:tblGrid>
      <w:tr>
        <w:trPr>
          <w:tblHeader/>
        </w:trPr>
        <w:tc>
          <w:tcPr>
            <w:tcW w:type="dxa" w:w="9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Alpha</w:t>
            </w:r>
          </w:p>
        </w:tc>
        <w:tc>
          <w:tcPr>
            <w:tcW w:type="dxa" w:w="14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Decisions</w:t>
            </w:r>
          </w:p>
        </w:tc>
        <w:tc>
          <w:tcPr>
            <w:tcW w:type="dxa" w:w="180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Improvement vs VSIDS</w:t>
            </w:r>
          </w:p>
        </w:tc>
        <w:tc>
          <w:tcPr>
            <w:tcW w:type="dxa" w:w="1260"/>
            <w:tcBorders>
              <w:top w:val="single" w:color="2C5F8A" w:sz="1"/>
              <w:left w:val="single" w:color="2C5F8A" w:sz="1"/>
              <w:bottom w:val="single" w:color="2C5F8A" w:sz="1"/>
              <w:right w:val="single" w:color="2C5F8A"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Win Rate</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0.0 (VSIDS)</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270.7</w:t>
            </w:r>
          </w:p>
        </w:tc>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baseline</w:t>
            </w:r>
          </w:p>
        </w:tc>
        <w:tc>
          <w:tcPr>
            <w:tcW w:type="dxa" w:w="1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0/15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+24.1%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10/15</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0.5</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205.3</w:t>
            </w:r>
          </w:p>
        </w:tc>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+24.2%</w:t>
            </w:r>
          </w:p>
        </w:tc>
        <w:tc>
          <w:tcPr>
            <w:tcW w:type="dxa" w:w="1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10/15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+24.7%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11/15</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200.9</w:t>
            </w:r>
          </w:p>
        </w:tc>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+25.8%</w:t>
            </w:r>
          </w:p>
        </w:tc>
        <w:tc>
          <w:tcPr>
            <w:tcW w:type="dxa" w:w="1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11/15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+25.8% (peak)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11/15</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left"/>
            </w:pPr>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200.8</w:t>
            </w:r>
          </w:p>
        </w:tc>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+25.8%</w:t>
            </w:r>
          </w:p>
        </w:tc>
        <w:tc>
          <w:tcPr>
            <w:tcW w:type="dxa" w:w="1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pPr>
              <w:jc w:val="center"/>
            </w:pPr>
            <w:r>
              <w:rPr>
                <w:rFonts w:ascii="Arial" w:cs="Arial" w:eastAsia="Arial" w:hAnsi="Arial"/>
                <w:sz w:val="20"/>
                <w:szCs w:val="20"/>
              </w:rPr>
              <w:t xml:space="preserve">11/15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+25.8%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11/15</w:t>
            </w:r>
          </w:p>
        </w:tc>
      </w:tr>
    </w:tbl>
    <w:p>
      <w:pPr>
        <w:spacing w:before="80" w:after="80"/>
      </w:pPr>
      <w:r>
        <w:t xml:space="preserve"/>
      </w:r>
    </w:p>
    <w:p>
      <w:pPr>
        <w:spacing w:before="80" w:after="160"/>
        <w:jc w:val="center"/>
      </w:pPr>
      <w:r>
        <w:rPr>
          <w:rFonts w:ascii="Arial" w:cs="Arial" w:eastAsia="Arial" w:hAnsi="Arial"/>
          <w:i/>
          <w:iCs/>
          <w:color w:val="666666"/>
          <w:sz w:val="18"/>
          <w:szCs w:val="18"/>
        </w:rPr>
        <w:t xml:space="preserve">Table 3: Alpha sensitivity on N=40 (15 instances). Plateau at alpha ≥ 1.5.</w:t>
      </w:r>
    </w:p>
    <w:p>
      <w:pPr>
        <w:spacing w:before="80" w:after="80" w:line="276"/>
        <w:jc w:val="both"/>
      </w:pPr>
      <w:r>
        <w:rPr>
          <w:rFonts w:ascii="Arial" w:cs="Arial" w:eastAsia="Arial" w:hAnsi="Arial"/>
          <w:sz w:val="22"/>
          <w:szCs w:val="22"/>
        </w:rPr>
        <w:t xml:space="preserve">Notably, performance plateaus at alpha=1.5 rather than degrading at high alpha values. This suggests that once the connectivity component dominates, it does so consistently — the VSIDS component provides marginal additional signal at this problem size.</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5. Analysis and Discussion</w:t>
      </w:r>
    </w:p>
    <w:p>
      <w:pPr>
        <w:pStyle w:val="Heading2"/>
        <w:spacing w:before="240" w:after="120"/>
      </w:pPr>
      <w:r>
        <w:rPr>
          <w:rFonts w:ascii="Arial" w:cs="Arial" w:eastAsia="Arial" w:hAnsi="Arial"/>
          <w:b/>
          <w:bCs/>
          <w:color w:val="2C5F8A"/>
          <w:sz w:val="24"/>
          <w:szCs w:val="24"/>
        </w:rPr>
        <w:t xml:space="preserve">5.1 The Middle-Range Phenomenon</w:t>
      </w:r>
    </w:p>
    <w:p>
      <w:pPr>
        <w:spacing w:before="80" w:after="80" w:line="276"/>
        <w:jc w:val="both"/>
      </w:pPr>
      <w:r>
        <w:rPr>
          <w:rFonts w:ascii="Arial" w:cs="Arial" w:eastAsia="Arial" w:hAnsi="Arial"/>
          <w:sz w:val="22"/>
          <w:szCs w:val="22"/>
        </w:rPr>
        <w:t xml:space="preserve">The scaling results reveal a non-monotonic relationship between problem size and heuristic effectiveness. We propose the following explanation:</w:t>
      </w:r>
    </w:p>
    <w:p>
      <w:pPr>
        <w:spacing w:before="80" w:after="80"/>
      </w:pPr>
      <w:r>
        <w:t xml:space="preserve"/>
      </w:r>
    </w:p>
    <w:p>
      <w:pPr>
        <w:spacing w:before="80" w:after="80" w:line="276"/>
        <w:jc w:val="both"/>
      </w:pPr>
      <w:r>
        <w:rPr>
          <w:rFonts w:ascii="Arial" w:cs="Arial" w:eastAsia="Arial" w:hAnsi="Arial"/>
          <w:b/>
          <w:bCs/>
          <w:sz w:val="22"/>
          <w:szCs w:val="22"/>
        </w:rPr>
        <w:t xml:space="preserve">Small N (&lt; 35): </w:t>
      </w:r>
      <w:r>
        <w:rPr>
          <w:rFonts w:ascii="Arial" w:cs="Arial" w:eastAsia="Arial" w:hAnsi="Arial"/>
          <w:sz w:val="22"/>
          <w:szCs w:val="22"/>
        </w:rPr>
        <w:t xml:space="preserve">The search tree is shallow and unit propagation handles most assignments. Connectivity scores are dominated by noise from small clause counts.</w:t>
      </w:r>
    </w:p>
    <w:p>
      <w:pPr>
        <w:spacing w:before="80" w:after="80"/>
      </w:pPr>
      <w:r>
        <w:t xml:space="preserve"/>
      </w:r>
    </w:p>
    <w:p>
      <w:pPr>
        <w:spacing w:before="80" w:after="80" w:line="276"/>
        <w:jc w:val="both"/>
      </w:pPr>
      <w:r>
        <w:rPr>
          <w:rFonts w:ascii="Arial" w:cs="Arial" w:eastAsia="Arial" w:hAnsi="Arial"/>
          <w:b/>
          <w:bCs/>
          <w:sz w:val="22"/>
          <w:szCs w:val="22"/>
        </w:rPr>
        <w:t xml:space="preserve">Middle N (40-50): </w:t>
      </w:r>
      <w:r>
        <w:rPr>
          <w:rFonts w:ascii="Arial" w:cs="Arial" w:eastAsia="Arial" w:hAnsi="Arial"/>
          <w:sz w:val="22"/>
          <w:szCs w:val="22"/>
        </w:rPr>
        <w:t xml:space="preserve">The VCG has sufficient heterogeneity that true hub variables exist. These hubs connect distinct constraint clusters, and early assignment triggers cascading unit propagations that prune large subtrees. I-DLIS+ identifies these hubs effectively.</w:t>
      </w:r>
    </w:p>
    <w:p>
      <w:pPr>
        <w:spacing w:before="80" w:after="80"/>
      </w:pPr>
      <w:r>
        <w:t xml:space="preserve"/>
      </w:r>
    </w:p>
    <w:p>
      <w:pPr>
        <w:spacing w:before="80" w:after="80" w:line="276"/>
        <w:jc w:val="both"/>
      </w:pPr>
      <w:r>
        <w:rPr>
          <w:rFonts w:ascii="Arial" w:cs="Arial" w:eastAsia="Arial" w:hAnsi="Arial"/>
          <w:b/>
          <w:bCs/>
          <w:sz w:val="22"/>
          <w:szCs w:val="22"/>
        </w:rPr>
        <w:t xml:space="preserve">Large N (≥ 60): </w:t>
      </w:r>
      <w:r>
        <w:rPr>
          <w:rFonts w:ascii="Arial" w:cs="Arial" w:eastAsia="Arial" w:hAnsi="Arial"/>
          <w:sz w:val="22"/>
          <w:szCs w:val="22"/>
        </w:rPr>
        <w:t xml:space="preserve">The VCG becomes uniformly dense. At ratio=4.26, each variable appears in approximately 4.26×3 / N × N ≈ 12.78 clauses on average, and variance between variables decreases proportionally. Connectivity scores converge, providing no discriminative signal.</w:t>
      </w:r>
    </w:p>
    <w:p>
      <w:pPr>
        <w:pStyle w:val="Heading2"/>
        <w:spacing w:before="240" w:after="120"/>
      </w:pPr>
      <w:r>
        <w:rPr>
          <w:rFonts w:ascii="Arial" w:cs="Arial" w:eastAsia="Arial" w:hAnsi="Arial"/>
          <w:b/>
          <w:bCs/>
          <w:color w:val="2C5F8A"/>
          <w:sz w:val="24"/>
          <w:szCs w:val="24"/>
        </w:rPr>
        <w:t xml:space="preserve">5.2 Graph Saturation Hypothesis</w:t>
      </w:r>
    </w:p>
    <w:p>
      <w:pPr>
        <w:spacing w:before="80" w:after="80" w:line="276"/>
        <w:jc w:val="both"/>
      </w:pPr>
      <w:r>
        <w:rPr>
          <w:rFonts w:ascii="Arial" w:cs="Arial" w:eastAsia="Arial" w:hAnsi="Arial"/>
          <w:sz w:val="22"/>
          <w:szCs w:val="22"/>
        </w:rPr>
        <w:t xml:space="preserve">We term this phenomenon Graph Saturation: beyond a critical density threshold, the VCG loses its structural information content for branching purposes. This parallels the concept of signal-to-noise ratio degradation in information theory — when all variables appear equally connected, connectivity ceases to distinguish high-value branching targets.</w:t>
      </w:r>
    </w:p>
    <w:p>
      <w:pPr>
        <w:spacing w:before="80" w:after="80"/>
      </w:pPr>
      <w:r>
        <w:t xml:space="preserve"/>
      </w:r>
    </w:p>
    <w:p>
      <w:pPr>
        <w:spacing w:before="80" w:after="80" w:line="276"/>
        <w:jc w:val="both"/>
      </w:pPr>
      <w:r>
        <w:rPr>
          <w:rFonts w:ascii="Arial" w:cs="Arial" w:eastAsia="Arial" w:hAnsi="Arial"/>
          <w:sz w:val="22"/>
          <w:szCs w:val="22"/>
        </w:rPr>
        <w:t xml:space="preserve">The saturation point appears between N=55 and N=60 for Random 3-SAT at ratio=4.26. This threshold is likely problem-family dependent; structured industrial instances with natural clustering may exhibit higher saturation thresholds, making I-DLIS+ more broadly applicable in practice.</w:t>
      </w:r>
    </w:p>
    <w:p>
      <w:pPr>
        <w:pStyle w:val="Heading2"/>
        <w:spacing w:before="240" w:after="120"/>
      </w:pPr>
      <w:r>
        <w:rPr>
          <w:rFonts w:ascii="Arial" w:cs="Arial" w:eastAsia="Arial" w:hAnsi="Arial"/>
          <w:b/>
          <w:bCs/>
          <w:color w:val="2C5F8A"/>
          <w:sz w:val="24"/>
          <w:szCs w:val="24"/>
        </w:rPr>
        <w:t xml:space="preserve">5.3 Relation to Backdoor Sets</w:t>
      </w:r>
    </w:p>
    <w:p>
      <w:pPr>
        <w:spacing w:before="80" w:after="80" w:line="276"/>
        <w:jc w:val="both"/>
      </w:pPr>
      <w:r>
        <w:rPr>
          <w:rFonts w:ascii="Arial" w:cs="Arial" w:eastAsia="Arial" w:hAnsi="Arial"/>
          <w:sz w:val="22"/>
          <w:szCs w:val="22"/>
        </w:rPr>
        <w:t xml:space="preserve">Hub variables in the VCG are natural candidates for backdoor set membership: assigning them early tends to simplify the remaining formula significantly. I-DLIS+ can therefore be interpreted as an online, approximate backdoor detection mechanism. The degradation at large N corresponds to the difficulty of identifying true backdoors in highly interconnected formulas.</w:t>
      </w:r>
    </w:p>
    <w:p>
      <w:pPr>
        <w:pStyle w:val="Heading2"/>
        <w:spacing w:before="240" w:after="120"/>
      </w:pPr>
      <w:r>
        <w:rPr>
          <w:rFonts w:ascii="Arial" w:cs="Arial" w:eastAsia="Arial" w:hAnsi="Arial"/>
          <w:b/>
          <w:bCs/>
          <w:color w:val="2C5F8A"/>
          <w:sz w:val="24"/>
          <w:szCs w:val="24"/>
        </w:rPr>
        <w:t xml:space="preserve">5.4 Limitations</w:t>
      </w:r>
    </w:p>
    <w:p>
      <w:pPr>
        <w:spacing w:before="80" w:after="80" w:line="276"/>
        <w:jc w:val="both"/>
      </w:pPr>
      <w:r>
        <w:rPr>
          <w:rFonts w:ascii="Arial" w:cs="Arial" w:eastAsia="Arial" w:hAnsi="Arial"/>
          <w:sz w:val="22"/>
          <w:szCs w:val="22"/>
        </w:rPr>
        <w:t xml:space="preserve">This study has several limitations. First, experiments are conducted on a Python CDCL implementation rather than a production solver; absolute performance numbers would differ significantly in C++. Second, the Random 3-SAT benchmark may not reflect the structure of industrial SAT instances, where I-DLIS+ may perform differently. Third, the small instance counts (especially at N=60) introduce sampling variance. Larger-scale experiments are needed to confirm the saturation threshold precisely.</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6. Conclusion</w:t>
      </w:r>
    </w:p>
    <w:p>
      <w:pPr>
        <w:spacing w:before="80" w:after="80" w:line="276"/>
        <w:jc w:val="both"/>
      </w:pPr>
      <w:r>
        <w:rPr>
          <w:rFonts w:ascii="Arial" w:cs="Arial" w:eastAsia="Arial" w:hAnsi="Arial"/>
          <w:sz w:val="22"/>
          <w:szCs w:val="22"/>
        </w:rPr>
        <w:t xml:space="preserve">We introduced I-DLIS+, a connectivity-aware CDCL branching heuristic that blends VSIDS activity with Variable-Clause Graph structural information under a dynamically scheduled coefficient alpha. Empirical evaluation on Random 3-SAT phase transition instances demonstrates up to 34.5% reduction in solver decisions at problem sizes N=40-50, with an empirically optimal alpha of 1.5.</w:t>
      </w:r>
    </w:p>
    <w:p>
      <w:pPr>
        <w:spacing w:before="80" w:after="80"/>
      </w:pPr>
      <w:r>
        <w:t xml:space="preserve"/>
      </w:r>
    </w:p>
    <w:p>
      <w:pPr>
        <w:spacing w:before="80" w:after="80" w:line="276"/>
        <w:jc w:val="both"/>
      </w:pPr>
      <w:r>
        <w:rPr>
          <w:rFonts w:ascii="Arial" w:cs="Arial" w:eastAsia="Arial" w:hAnsi="Arial"/>
          <w:sz w:val="22"/>
          <w:szCs w:val="22"/>
        </w:rPr>
        <w:t xml:space="preserve">The central finding is the identification of a middle-range performance zone: I-DLIS+ is most effective when the problem has enough complexity to create meaningful graph structure but not so much that the structure becomes uniformly dense noise. This Graph Saturation phenomenon has implications for adaptive heuristic design — future solvers might dynamically detect saturation and switch between connectivity-aware and pure activity-based selection.</w:t>
      </w:r>
    </w:p>
    <w:p>
      <w:pPr>
        <w:spacing w:before="80" w:after="80"/>
      </w:pPr>
      <w:r>
        <w:t xml:space="preserve"/>
      </w:r>
    </w:p>
    <w:p>
      <w:pPr>
        <w:spacing w:before="80" w:after="80" w:line="276"/>
        <w:jc w:val="both"/>
      </w:pPr>
      <w:r>
        <w:rPr>
          <w:rFonts w:ascii="Arial" w:cs="Arial" w:eastAsia="Arial" w:hAnsi="Arial"/>
          <w:sz w:val="22"/>
          <w:szCs w:val="22"/>
        </w:rPr>
        <w:t xml:space="preserve">Future work includes: (1) implementation within MiniSAT or Glucose to obtain production-scale benchmarks; (2) evaluation on structured industrial instances from hardware verification and planning domains; (3) development of a saturation detection metric to enable adaptive heuristic switching; and (4) theoretical analysis of the VCG density threshold.</w:t>
      </w:r>
    </w:p>
    <w:p>
      <w:pPr>
        <w:spacing w:before="80" w:after="8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References</w:t>
      </w:r>
    </w:p>
    <w:p>
      <w:pPr>
        <w:spacing w:before="80" w:after="80"/>
      </w:pPr>
      <w:r>
        <w:rPr>
          <w:rFonts w:ascii="Arial" w:cs="Arial" w:eastAsia="Arial" w:hAnsi="Arial"/>
          <w:sz w:val="20"/>
          <w:szCs w:val="20"/>
        </w:rPr>
        <w:t xml:space="preserve">[1] M. Marques-Silva and K. Sakallah. GRASP: A search algorithm for propositional satisfiability. IEEE Trans. Computers, 48(5):506-521, 1999.</w:t>
      </w:r>
    </w:p>
    <w:p>
      <w:pPr>
        <w:spacing w:before="80" w:after="80"/>
      </w:pPr>
      <w:r>
        <w:rPr>
          <w:rFonts w:ascii="Arial" w:cs="Arial" w:eastAsia="Arial" w:hAnsi="Arial"/>
          <w:sz w:val="20"/>
          <w:szCs w:val="20"/>
        </w:rPr>
        <w:t xml:space="preserve">[2] M. Moskewicz, C. Madigan, Y. Zhao, L. Zhang, and S. Malik. Chaff: Engineering an efficient SAT solver. Proc. DAC, 2001.</w:t>
      </w:r>
    </w:p>
    <w:p>
      <w:pPr>
        <w:spacing w:before="80" w:after="80"/>
      </w:pPr>
      <w:r>
        <w:rPr>
          <w:rFonts w:ascii="Arial" w:cs="Arial" w:eastAsia="Arial" w:hAnsi="Arial"/>
          <w:sz w:val="20"/>
          <w:szCs w:val="20"/>
        </w:rPr>
        <w:t xml:space="preserve">[3] R. Williams, C. Gomes, and B. Selman. Backdoors to typical case complexity. Proc. IJCAI, 2003.</w:t>
      </w:r>
    </w:p>
    <w:p>
      <w:pPr>
        <w:spacing w:before="80" w:after="80"/>
      </w:pPr>
      <w:r>
        <w:rPr>
          <w:rFonts w:ascii="Arial" w:cs="Arial" w:eastAsia="Arial" w:hAnsi="Arial"/>
          <w:sz w:val="20"/>
          <w:szCs w:val="20"/>
        </w:rPr>
        <w:t xml:space="preserve">[4] J. Crawford and A. Auton. Experimental results on the crossover point in random 3-SAT. Artificial Intelligence, 81(1-2):31-57, 1996.</w:t>
      </w:r>
    </w:p>
    <w:p>
      <w:pPr>
        <w:spacing w:before="80" w:after="80"/>
      </w:pPr>
      <w:r>
        <w:rPr>
          <w:rFonts w:ascii="Arial" w:cs="Arial" w:eastAsia="Arial" w:hAnsi="Arial"/>
          <w:sz w:val="20"/>
          <w:szCs w:val="20"/>
        </w:rPr>
        <w:t xml:space="preserve">[5] A. Haken. The intractability of resolution. Theoretical Computer Science, 39:297-308, 1985.</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2026-03-19T04:06:20.545Z</dcterms:created>
  <dcterms:modified xsi:type="dcterms:W3CDTF">2026-03-19T04:06:20.546Z</dcterms:modified>
</cp:coreProperties>
</file>

<file path=docProps/custom.xml><?xml version="1.0" encoding="utf-8"?>
<Properties xmlns="http://schemas.openxmlformats.org/officeDocument/2006/custom-properties" xmlns:vt="http://schemas.openxmlformats.org/officeDocument/2006/docPropsVTypes"/>
</file>