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B8924A"/>
          <w:sz w:val="18"/>
        </w:rPr>
        <w:t>GAP ANALYSIS</w:t>
      </w:r>
    </w:p>
    <w:p>
      <w:pPr>
        <w:spacing w:after="40"/>
      </w:pPr>
      <w:r>
        <w:rPr>
          <w:b/>
          <w:i w:val="0"/>
          <w:color w:val="0B1F3A"/>
          <w:sz w:val="44"/>
        </w:rPr>
        <w:t>FacilityCore – Building Maintenance Software</w:t>
      </w:r>
    </w:p>
    <w:p>
      <w:pPr>
        <w:spacing w:after="160"/>
      </w:pPr>
      <w:r>
        <w:rPr>
          <w:b w:val="0"/>
          <w:i w:val="0"/>
          <w:color w:val="1F2937"/>
          <w:sz w:val="21"/>
        </w:rPr>
        <w:t>Current BRD (Version 1.2, 14 October 2026) compared with the five requested integrations and with what a complete BRD of this kind normally covers. Prepared 17 October 2026. Every recommendation has been written into the updated BRD (Version 2.0, file FacilityCore_BRD_v2.docx). The last column of the main table says where. Anything not stated in the user’s own documents is marked Proposed.</w:t>
      </w:r>
    </w:p>
    <w:p>
      <w:pPr>
        <w:spacing w:after="60"/>
      </w:pPr>
      <w:r>
        <w:rPr>
          <w:b/>
          <w:i w:val="0"/>
          <w:color w:val="B8924A"/>
          <w:sz w:val="26"/>
        </w:rPr>
        <w:t>The five requested integrations</w:t>
      </w:r>
    </w:p>
    <w:p>
      <w:pPr>
        <w:spacing w:after="80"/>
      </w:pPr>
      <w:r>
        <w:rPr>
          <w:b w:val="0"/>
          <w:i w:val="0"/>
          <w:color w:val="1F2937"/>
          <w:sz w:val="20"/>
        </w:rPr>
        <w:t>1. Society clean-up services   2. Security: face identification/verification of arriving tenants and entry approval   3. Local vendors within 2 km   4. Premium tower plant-care services   5. Maid services</w:t>
      </w:r>
    </w:p>
    <w:p>
      <w:pPr>
        <w:spacing w:after="60"/>
      </w:pPr>
      <w:r>
        <w:rPr>
          <w:b/>
          <w:i w:val="0"/>
          <w:color w:val="B8924A"/>
          <w:sz w:val="26"/>
        </w:rPr>
        <w:t>Main conflicts with the current BRD</w:t>
      </w:r>
    </w:p>
    <w:p>
      <w:pPr>
        <w:spacing w:after="60"/>
      </w:pPr>
      <w:r>
        <w:rPr>
          <w:b w:val="0"/>
          <w:i w:val="0"/>
          <w:color w:val="1F2937"/>
          <w:sz w:val="20"/>
        </w:rPr>
        <w:t>• Gate security against scope and positioning: v1.2 leaves out “Visitor Gate Management” (3.2), says the app is “only an accounting and complaint tool” that needs “no hardware at the gate and no difficult tablet training for security guards” (2.4), and says guards do not log in (Section 5). Face verification and entry approval go against all three, and move FacilityCore closer to the MyGate/NoBrokerHood model it positions against.</w:t>
      </w:r>
    </w:p>
    <w:p>
      <w:pPr>
        <w:spacing w:after="60"/>
      </w:pPr>
      <w:r>
        <w:rPr>
          <w:b w:val="0"/>
          <w:i w:val="0"/>
          <w:color w:val="1F2937"/>
          <w:sz w:val="20"/>
        </w:rPr>
        <w:t>• Paid services against the payment and marketplace rules: v1.2 leaves out payment gateways and a “gig-economy marketplace” that handles vendor payments or takes commissions. Premium plant care, maid services and flat cleaning are paid services, so they need either direct UPI to the provider (fits the BRD) or a gateway and commission (breaks the BRD).</w:t>
      </w:r>
    </w:p>
    <w:p>
      <w:pPr>
        <w:spacing w:after="60"/>
      </w:pPr>
      <w:r>
        <w:rPr>
          <w:b w:val="0"/>
          <w:i w:val="0"/>
          <w:color w:val="1F2937"/>
          <w:sz w:val="20"/>
        </w:rPr>
        <w:t>• Revenue model: Section 15 says “the app takes no share of the payments”. Any marketplace revenue has to come from add-on or listing fees, unless that rule is changed on purpose.</w:t>
      </w:r>
    </w:p>
    <w:p>
      <w:pPr>
        <w:spacing w:after="60"/>
      </w:pPr>
      <w:r>
        <w:rPr>
          <w:b w:val="0"/>
          <w:i w:val="0"/>
          <w:color w:val="1F2937"/>
          <w:sz w:val="20"/>
        </w:rPr>
        <w:t>• Local Help is a “fixed phonebook” (3.1, REQ-4.3), but a 2 km radius needs locations, vendor sign-up and checks.</w:t>
      </w:r>
    </w:p>
    <w:p>
      <w:pPr>
        <w:spacing w:after="60"/>
      </w:pPr>
      <w:r>
        <w:rPr>
          <w:b w:val="0"/>
          <w:i w:val="0"/>
          <w:color w:val="1F2937"/>
          <w:sz w:val="20"/>
        </w:rPr>
        <w:t>• Privacy is one line in the NFRs. Face data, location and worker records need much more under the DPDP Act 2023 and DPDP Rules 2025 (notified 13 Nov 2025; most Data Fiduciary duties start about 13 May 2027, roughly 7 months from now).</w:t>
      </w:r>
    </w:p>
    <w:p>
      <w:pPr>
        <w:spacing w:after="60"/>
      </w:pPr>
      <w:r>
        <w:rPr>
          <w:b/>
          <w:i w:val="0"/>
          <w:color w:val="B8924A"/>
          <w:sz w:val="26"/>
        </w:rPr>
        <w:t>Detailed gap table</w:t>
      </w:r>
    </w:p>
    <w:tbl>
      <w:tblPr>
        <w:tblStyle w:val="TableGrid"/>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Layout w:type="fixed"/>
      </w:tblPr>
      <w:tblGrid>
        <w:gridCol w:w="454"/>
        <w:gridCol w:w="1928"/>
        <w:gridCol w:w="2835"/>
        <w:gridCol w:w="3515"/>
        <w:gridCol w:w="4535"/>
        <w:gridCol w:w="907"/>
      </w:tblGrid>
      <w:tr>
        <w:trPr>
          <w:tblHeader w:val="true"/>
        </w:trPr>
        <w:tc>
          <w:tcPr>
            <w:tcW w:type="dxa" w:w="454"/>
            <w:shd w:val="clear" w:color="auto" w:fill="0B1F3A"/>
          </w:tcPr>
          <w:p>
            <w:r/>
            <w:r>
              <w:rPr>
                <w:b/>
                <w:color w:val="FFFFFF"/>
                <w:sz w:val="17"/>
              </w:rPr>
              <w:t>#</w:t>
            </w:r>
          </w:p>
        </w:tc>
        <w:tc>
          <w:tcPr>
            <w:tcW w:type="dxa" w:w="1928"/>
            <w:shd w:val="clear" w:color="auto" w:fill="0B1F3A"/>
          </w:tcPr>
          <w:p>
            <w:r/>
            <w:r>
              <w:rPr>
                <w:b/>
                <w:color w:val="FFFFFF"/>
                <w:sz w:val="17"/>
              </w:rPr>
              <w:t>AREA</w:t>
            </w:r>
          </w:p>
        </w:tc>
        <w:tc>
          <w:tcPr>
            <w:tcW w:type="dxa" w:w="2835"/>
            <w:shd w:val="clear" w:color="auto" w:fill="0B1F3A"/>
          </w:tcPr>
          <w:p>
            <w:r/>
            <w:r>
              <w:rPr>
                <w:b/>
                <w:color w:val="FFFFFF"/>
                <w:sz w:val="17"/>
              </w:rPr>
              <w:t>CURRENT STATE (V1.2)</w:t>
            </w:r>
          </w:p>
        </w:tc>
        <w:tc>
          <w:tcPr>
            <w:tcW w:type="dxa" w:w="3515"/>
            <w:shd w:val="clear" w:color="auto" w:fill="0B1F3A"/>
          </w:tcPr>
          <w:p>
            <w:r/>
            <w:r>
              <w:rPr>
                <w:b/>
                <w:color w:val="FFFFFF"/>
                <w:sz w:val="17"/>
              </w:rPr>
              <w:t>GAP</w:t>
            </w:r>
          </w:p>
        </w:tc>
        <w:tc>
          <w:tcPr>
            <w:tcW w:type="dxa" w:w="4535"/>
            <w:shd w:val="clear" w:color="auto" w:fill="0B1F3A"/>
          </w:tcPr>
          <w:p>
            <w:r/>
            <w:r>
              <w:rPr>
                <w:b/>
                <w:color w:val="FFFFFF"/>
                <w:sz w:val="17"/>
              </w:rPr>
              <w:t>RECOMMENDATION (WHERE IN V2.0)</w:t>
            </w:r>
          </w:p>
        </w:tc>
        <w:tc>
          <w:tcPr>
            <w:tcW w:type="dxa" w:w="907"/>
            <w:shd w:val="clear" w:color="auto" w:fill="0B1F3A"/>
          </w:tcPr>
          <w:p>
            <w:r/>
            <w:r>
              <w:rPr>
                <w:b/>
                <w:color w:val="FFFFFF"/>
                <w:sz w:val="17"/>
              </w:rPr>
              <w:t>PRIORITY</w:t>
            </w:r>
          </w:p>
        </w:tc>
      </w:tr>
      <w:tr>
        <w:trPr>
          <w:cantSplit/>
        </w:trPr>
        <w:tc>
          <w:tcPr>
            <w:tcW w:type="dxa" w:w="454"/>
            <w:shd w:val="clear" w:color="auto" w:fill="F6F3EC"/>
          </w:tcPr>
          <w:p>
            <w:r/>
            <w:r>
              <w:rPr>
                <w:sz w:val="18"/>
              </w:rPr>
              <w:t>1</w:t>
            </w:r>
          </w:p>
        </w:tc>
        <w:tc>
          <w:tcPr>
            <w:tcW w:type="dxa" w:w="1928"/>
            <w:shd w:val="clear" w:color="auto" w:fill="F6F3EC"/>
          </w:tcPr>
          <w:p>
            <w:r/>
            <w:r>
              <w:rPr>
                <w:b/>
                <w:color w:val="0B1F3A"/>
                <w:sz w:val="18"/>
              </w:rPr>
              <w:t>Security – face verification of arriving tenants</w:t>
            </w:r>
          </w:p>
        </w:tc>
        <w:tc>
          <w:tcPr>
            <w:tcW w:type="dxa" w:w="2835"/>
            <w:shd w:val="clear" w:color="auto" w:fill="F6F3EC"/>
          </w:tcPr>
          <w:p>
            <w:r/>
            <w:r>
              <w:rPr>
                <w:sz w:val="18"/>
              </w:rPr>
              <w:t>Not covered. Visitor gate management is out of scope (3.2). No hardware or guard training (2.4). Guards do not log in (5).</w:t>
            </w:r>
          </w:p>
        </w:tc>
        <w:tc>
          <w:tcPr>
            <w:tcW w:type="dxa" w:w="3515"/>
            <w:shd w:val="clear" w:color="auto" w:fill="F6F3EC"/>
          </w:tcPr>
          <w:p>
            <w:r/>
            <w:r>
              <w:rPr>
                <w:sz w:val="18"/>
              </w:rPr>
              <w:t>Goes straight against scope and positioning. No guard role, device, face registration, matching, accuracy target or manual fallback. “Arriving tenants” is not defined (residents at the gate, or new tenants moving in).</w:t>
            </w:r>
          </w:p>
        </w:tc>
        <w:tc>
          <w:tcPr>
            <w:tcW w:type="dxa" w:w="4535"/>
            <w:shd w:val="clear" w:color="auto" w:fill="F6F3EC"/>
          </w:tcPr>
          <w:p>
            <w:r/>
            <w:r>
              <w:rPr>
                <w:sz w:val="18"/>
              </w:rPr>
              <w:t>Optional Gate add-on, off by default, built last (Phases 10–11). Face check only on top of entry approval and only for adults who agree. Both meanings of “arriving tenant” covered: face check (REQ-4.15.4) and new tenant check (REQ-4.15.5). 2.4 and 3.2 reworded. Decisions 17–19.</w:t>
            </w:r>
          </w:p>
        </w:tc>
        <w:tc>
          <w:tcPr>
            <w:tcW w:type="dxa" w:w="907"/>
            <w:shd w:val="clear" w:color="auto" w:fill="F6F3EC"/>
          </w:tcPr>
          <w:p>
            <w:r/>
            <w:r>
              <w:rPr>
                <w:b/>
                <w:color w:val="B42318"/>
                <w:sz w:val="18"/>
              </w:rPr>
              <w:t>High</w:t>
            </w:r>
          </w:p>
        </w:tc>
      </w:tr>
      <w:tr>
        <w:trPr>
          <w:cantSplit/>
        </w:trPr>
        <w:tc>
          <w:tcPr>
            <w:tcW w:type="dxa" w:w="454"/>
            <w:shd w:val="clear" w:color="auto" w:fill="FFFFFF"/>
          </w:tcPr>
          <w:p>
            <w:r/>
            <w:r>
              <w:rPr>
                <w:sz w:val="18"/>
              </w:rPr>
              <w:t>2</w:t>
            </w:r>
          </w:p>
        </w:tc>
        <w:tc>
          <w:tcPr>
            <w:tcW w:type="dxa" w:w="1928"/>
            <w:shd w:val="clear" w:color="auto" w:fill="FFFFFF"/>
          </w:tcPr>
          <w:p>
            <w:r/>
            <w:r>
              <w:rPr>
                <w:b/>
                <w:color w:val="0B1F3A"/>
                <w:sz w:val="18"/>
              </w:rPr>
              <w:t>Security – entry permission / approval</w:t>
            </w:r>
          </w:p>
        </w:tc>
        <w:tc>
          <w:tcPr>
            <w:tcW w:type="dxa" w:w="2835"/>
            <w:shd w:val="clear" w:color="auto" w:fill="FFFFFF"/>
          </w:tcPr>
          <w:p>
            <w:r/>
            <w:r>
              <w:rPr>
                <w:sz w:val="18"/>
              </w:rPr>
              <w:t>Not covered.</w:t>
            </w:r>
          </w:p>
        </w:tc>
        <w:tc>
          <w:tcPr>
            <w:tcW w:type="dxa" w:w="3515"/>
            <w:shd w:val="clear" w:color="auto" w:fill="FFFFFF"/>
          </w:tcPr>
          <w:p>
            <w:r/>
            <w:r>
              <w:rPr>
                <w:sz w:val="18"/>
              </w:rPr>
              <w:t>No visitor request flow, no-answer timeout, guest codes, daily staff entry, blocked list, entry log or offline mode.</w:t>
            </w:r>
          </w:p>
        </w:tc>
        <w:tc>
          <w:tcPr>
            <w:tcW w:type="dxa" w:w="4535"/>
            <w:shd w:val="clear" w:color="auto" w:fill="FFFFFF"/>
          </w:tcPr>
          <w:p>
            <w:r/>
            <w:r>
              <w:rPr>
                <w:sz w:val="18"/>
              </w:rPr>
              <w:t>REQ-4.15.6–4.15.11; Guard app screens (8.3); flow “Letting a visitor in” (8.4); messages in Section 7.</w:t>
            </w:r>
          </w:p>
        </w:tc>
        <w:tc>
          <w:tcPr>
            <w:tcW w:type="dxa" w:w="907"/>
            <w:shd w:val="clear" w:color="auto" w:fill="FFFFFF"/>
          </w:tcPr>
          <w:p>
            <w:r/>
            <w:r>
              <w:rPr>
                <w:b/>
                <w:color w:val="B42318"/>
                <w:sz w:val="18"/>
              </w:rPr>
              <w:t>High</w:t>
            </w:r>
          </w:p>
        </w:tc>
      </w:tr>
      <w:tr>
        <w:trPr>
          <w:cantSplit/>
        </w:trPr>
        <w:tc>
          <w:tcPr>
            <w:tcW w:type="dxa" w:w="454"/>
            <w:shd w:val="clear" w:color="auto" w:fill="F6F3EC"/>
          </w:tcPr>
          <w:p>
            <w:r/>
            <w:r>
              <w:rPr>
                <w:sz w:val="18"/>
              </w:rPr>
              <w:t>3</w:t>
            </w:r>
          </w:p>
        </w:tc>
        <w:tc>
          <w:tcPr>
            <w:tcW w:type="dxa" w:w="1928"/>
            <w:shd w:val="clear" w:color="auto" w:fill="F6F3EC"/>
          </w:tcPr>
          <w:p>
            <w:r/>
            <w:r>
              <w:rPr>
                <w:b/>
                <w:color w:val="0B1F3A"/>
                <w:sz w:val="18"/>
              </w:rPr>
              <w:t>Face data under DPDP Act 2023</w:t>
            </w:r>
          </w:p>
        </w:tc>
        <w:tc>
          <w:tcPr>
            <w:tcW w:type="dxa" w:w="2835"/>
            <w:shd w:val="clear" w:color="auto" w:fill="F6F3EC"/>
          </w:tcPr>
          <w:p>
            <w:r/>
            <w:r>
              <w:rPr>
                <w:sz w:val="18"/>
              </w:rPr>
              <w:t>One NFR line: “follows DPDP Act 2023, including taking consent”.</w:t>
            </w:r>
          </w:p>
        </w:tc>
        <w:tc>
          <w:tcPr>
            <w:tcW w:type="dxa" w:w="3515"/>
            <w:shd w:val="clear" w:color="auto" w:fill="F6F3EC"/>
          </w:tcPr>
          <w:p>
            <w:r/>
            <w:r>
              <w:rPr>
                <w:sz w:val="18"/>
              </w:rPr>
              <w:t>Face data needs a clear itemised notice, consent per purpose, withdrawal as easy as giving it, no forced consent (another way to enter must exist), no children’s data without verifiable parental consent, retention and deletion rules, reasonable security, breach reporting (Board within 72 hours) and a grievance contact. Main duties start about May 2027.</w:t>
            </w:r>
          </w:p>
        </w:tc>
        <w:tc>
          <w:tcPr>
            <w:tcW w:type="dxa" w:w="4535"/>
            <w:shd w:val="clear" w:color="auto" w:fill="F6F3EC"/>
          </w:tcPr>
          <w:p>
            <w:r/>
            <w:r>
              <w:rPr>
                <w:sz w:val="18"/>
              </w:rPr>
              <w:t>New REQ-4.16 (consent per purpose, withdrawal, deletion in 7 days, India-only storage, data requests, breach plan). NFR rows: DPDP readiness, face data, retention, access history. Adults only, no Aadhaar face matching (3.2). Privacy impact review before face check goes live.</w:t>
            </w:r>
          </w:p>
        </w:tc>
        <w:tc>
          <w:tcPr>
            <w:tcW w:type="dxa" w:w="907"/>
            <w:shd w:val="clear" w:color="auto" w:fill="F6F3EC"/>
          </w:tcPr>
          <w:p>
            <w:r/>
            <w:r>
              <w:rPr>
                <w:b/>
                <w:color w:val="B42318"/>
                <w:sz w:val="18"/>
              </w:rPr>
              <w:t>High</w:t>
            </w:r>
          </w:p>
        </w:tc>
      </w:tr>
      <w:tr>
        <w:trPr>
          <w:cantSplit/>
        </w:trPr>
        <w:tc>
          <w:tcPr>
            <w:tcW w:type="dxa" w:w="454"/>
            <w:shd w:val="clear" w:color="auto" w:fill="FFFFFF"/>
          </w:tcPr>
          <w:p>
            <w:r/>
            <w:r>
              <w:rPr>
                <w:sz w:val="18"/>
              </w:rPr>
              <w:t>4</w:t>
            </w:r>
          </w:p>
        </w:tc>
        <w:tc>
          <w:tcPr>
            <w:tcW w:type="dxa" w:w="1928"/>
            <w:shd w:val="clear" w:color="auto" w:fill="FFFFFF"/>
          </w:tcPr>
          <w:p>
            <w:r/>
            <w:r>
              <w:rPr>
                <w:b/>
                <w:color w:val="0B1F3A"/>
                <w:sz w:val="18"/>
              </w:rPr>
              <w:t>Who is responsible for data (Fiduciary / Processor)</w:t>
            </w:r>
          </w:p>
        </w:tc>
        <w:tc>
          <w:tcPr>
            <w:tcW w:type="dxa" w:w="2835"/>
            <w:shd w:val="clear" w:color="auto" w:fill="FFFFFF"/>
          </w:tcPr>
          <w:p>
            <w:r/>
            <w:r>
              <w:rPr>
                <w:sz w:val="18"/>
              </w:rPr>
              <w:t>Not stated.</w:t>
            </w:r>
          </w:p>
        </w:tc>
        <w:tc>
          <w:tcPr>
            <w:tcW w:type="dxa" w:w="3515"/>
            <w:shd w:val="clear" w:color="auto" w:fill="FFFFFF"/>
          </w:tcPr>
          <w:p>
            <w:r/>
            <w:r>
              <w:rPr>
                <w:sz w:val="18"/>
              </w:rPr>
              <w:t>It is unclear whether the society or FacilityCore is the Data Fiduciary for resident, gate and vendor data. This decides contracts, notices and who answers requests.</w:t>
            </w:r>
          </w:p>
        </w:tc>
        <w:tc>
          <w:tcPr>
            <w:tcW w:type="dxa" w:w="4535"/>
            <w:shd w:val="clear" w:color="auto" w:fill="FFFFFF"/>
          </w:tcPr>
          <w:p>
            <w:r/>
            <w:r>
              <w:rPr>
                <w:sz w:val="18"/>
              </w:rPr>
              <w:t>Decision 23 (Proposed: society for resident and gate data, with FacilityCore as processor under contract; FacilityCore for vendor data). Confirm with a lawyer.</w:t>
            </w:r>
          </w:p>
        </w:tc>
        <w:tc>
          <w:tcPr>
            <w:tcW w:type="dxa" w:w="907"/>
            <w:shd w:val="clear" w:color="auto" w:fill="FFFFFF"/>
          </w:tcPr>
          <w:p>
            <w:r/>
            <w:r>
              <w:rPr>
                <w:b/>
                <w:color w:val="B42318"/>
                <w:sz w:val="18"/>
              </w:rPr>
              <w:t>High</w:t>
            </w:r>
          </w:p>
        </w:tc>
      </w:tr>
      <w:tr>
        <w:trPr>
          <w:cantSplit/>
        </w:trPr>
        <w:tc>
          <w:tcPr>
            <w:tcW w:type="dxa" w:w="454"/>
            <w:shd w:val="clear" w:color="auto" w:fill="F6F3EC"/>
          </w:tcPr>
          <w:p>
            <w:r/>
            <w:r>
              <w:rPr>
                <w:sz w:val="18"/>
              </w:rPr>
              <w:t>5</w:t>
            </w:r>
          </w:p>
        </w:tc>
        <w:tc>
          <w:tcPr>
            <w:tcW w:type="dxa" w:w="1928"/>
            <w:shd w:val="clear" w:color="auto" w:fill="F6F3EC"/>
          </w:tcPr>
          <w:p>
            <w:r/>
            <w:r>
              <w:rPr>
                <w:b/>
                <w:color w:val="0B1F3A"/>
                <w:sz w:val="18"/>
              </w:rPr>
              <w:t>Tenant verification</w:t>
            </w:r>
          </w:p>
        </w:tc>
        <w:tc>
          <w:tcPr>
            <w:tcW w:type="dxa" w:w="2835"/>
            <w:shd w:val="clear" w:color="auto" w:fill="F6F3EC"/>
          </w:tcPr>
          <w:p>
            <w:r/>
            <w:r>
              <w:rPr>
                <w:sz w:val="18"/>
              </w:rPr>
              <w:t>Tenants can be added (REQ-4.6.4). No checks.</w:t>
            </w:r>
          </w:p>
        </w:tc>
        <w:tc>
          <w:tcPr>
            <w:tcW w:type="dxa" w:w="3515"/>
            <w:shd w:val="clear" w:color="auto" w:fill="F6F3EC"/>
          </w:tcPr>
          <w:p>
            <w:r/>
            <w:r>
              <w:rPr>
                <w:sz w:val="18"/>
              </w:rPr>
              <w:t>No owner approval, rental agreement or police verification record before a tenant gets gate access. Access is not removed at move-out.</w:t>
            </w:r>
          </w:p>
        </w:tc>
        <w:tc>
          <w:tcPr>
            <w:tcW w:type="dxa" w:w="4535"/>
            <w:shd w:val="clear" w:color="auto" w:fill="F6F3EC"/>
          </w:tcPr>
          <w:p>
            <w:r/>
            <w:r>
              <w:rPr>
                <w:sz w:val="18"/>
              </w:rPr>
              <w:t>REQ-4.15.5 (check before access, removal at move-out linked to REQ-4.8.4). FacilityCore records checks but does not do them (3.2, Section 10).</w:t>
            </w:r>
          </w:p>
        </w:tc>
        <w:tc>
          <w:tcPr>
            <w:tcW w:type="dxa" w:w="907"/>
            <w:shd w:val="clear" w:color="auto" w:fill="F6F3EC"/>
          </w:tcPr>
          <w:p>
            <w:r/>
            <w:r>
              <w:rPr>
                <w:b/>
                <w:color w:val="B42318"/>
                <w:sz w:val="18"/>
              </w:rPr>
              <w:t>High</w:t>
            </w:r>
          </w:p>
        </w:tc>
      </w:tr>
      <w:tr>
        <w:trPr>
          <w:cantSplit/>
        </w:trPr>
        <w:tc>
          <w:tcPr>
            <w:tcW w:type="dxa" w:w="454"/>
            <w:shd w:val="clear" w:color="auto" w:fill="FFFFFF"/>
          </w:tcPr>
          <w:p>
            <w:r/>
            <w:r>
              <w:rPr>
                <w:sz w:val="18"/>
              </w:rPr>
              <w:t>6</w:t>
            </w:r>
          </w:p>
        </w:tc>
        <w:tc>
          <w:tcPr>
            <w:tcW w:type="dxa" w:w="1928"/>
            <w:shd w:val="clear" w:color="auto" w:fill="FFFFFF"/>
          </w:tcPr>
          <w:p>
            <w:r/>
            <w:r>
              <w:rPr>
                <w:b/>
                <w:color w:val="0B1F3A"/>
                <w:sz w:val="18"/>
              </w:rPr>
              <w:t>Local vendors within 2 km</w:t>
            </w:r>
          </w:p>
        </w:tc>
        <w:tc>
          <w:tcPr>
            <w:tcW w:type="dxa" w:w="2835"/>
            <w:shd w:val="clear" w:color="auto" w:fill="FFFFFF"/>
          </w:tcPr>
          <w:p>
            <w:r/>
            <w:r>
              <w:rPr>
                <w:sz w:val="18"/>
              </w:rPr>
              <w:t>Fixed, admin-managed phonebook (REQ-4.3). No location data.</w:t>
            </w:r>
          </w:p>
        </w:tc>
        <w:tc>
          <w:tcPr>
            <w:tcW w:type="dxa" w:w="3515"/>
            <w:shd w:val="clear" w:color="auto" w:fill="FFFFFF"/>
          </w:tcPr>
          <w:p>
            <w:r/>
            <w:r>
              <w:rPr>
                <w:sz w:val="18"/>
              </w:rPr>
              <w:t>No society or vendor location, distance search, sorting, radius setting or vendor self sign-up.</w:t>
            </w:r>
          </w:p>
        </w:tc>
        <w:tc>
          <w:tcPr>
            <w:tcW w:type="dxa" w:w="4535"/>
            <w:shd w:val="clear" w:color="auto" w:fill="FFFFFF"/>
          </w:tcPr>
          <w:p>
            <w:r/>
            <w:r>
              <w:rPr>
                <w:sz w:val="18"/>
              </w:rPr>
              <w:t>REQ-4.10.1–4.10.4 and 4.10.7; maps assumption (Section 10); radius as a setting (Decision 20); risk “too few vendors”.</w:t>
            </w:r>
          </w:p>
        </w:tc>
        <w:tc>
          <w:tcPr>
            <w:tcW w:type="dxa" w:w="907"/>
            <w:shd w:val="clear" w:color="auto" w:fill="FFFFFF"/>
          </w:tcPr>
          <w:p>
            <w:r/>
            <w:r>
              <w:rPr>
                <w:b/>
                <w:color w:val="B42318"/>
                <w:sz w:val="18"/>
              </w:rPr>
              <w:t>High</w:t>
            </w:r>
          </w:p>
        </w:tc>
      </w:tr>
      <w:tr>
        <w:trPr>
          <w:cantSplit/>
        </w:trPr>
        <w:tc>
          <w:tcPr>
            <w:tcW w:type="dxa" w:w="454"/>
            <w:shd w:val="clear" w:color="auto" w:fill="F6F3EC"/>
          </w:tcPr>
          <w:p>
            <w:r/>
            <w:r>
              <w:rPr>
                <w:sz w:val="18"/>
              </w:rPr>
              <w:t>7</w:t>
            </w:r>
          </w:p>
        </w:tc>
        <w:tc>
          <w:tcPr>
            <w:tcW w:type="dxa" w:w="1928"/>
            <w:shd w:val="clear" w:color="auto" w:fill="F6F3EC"/>
          </w:tcPr>
          <w:p>
            <w:r/>
            <w:r>
              <w:rPr>
                <w:b/>
                <w:color w:val="0B1F3A"/>
                <w:sz w:val="18"/>
              </w:rPr>
              <w:t>Vendor sign-up and checks</w:t>
            </w:r>
          </w:p>
        </w:tc>
        <w:tc>
          <w:tcPr>
            <w:tcW w:type="dxa" w:w="2835"/>
            <w:shd w:val="clear" w:color="auto" w:fill="F6F3EC"/>
          </w:tcPr>
          <w:p>
            <w:r/>
            <w:r>
              <w:rPr>
                <w:sz w:val="18"/>
              </w:rPr>
              <w:t>“Verified local vendors” is stated, but there is no process.</w:t>
            </w:r>
          </w:p>
        </w:tc>
        <w:tc>
          <w:tcPr>
            <w:tcW w:type="dxa" w:w="3515"/>
            <w:shd w:val="clear" w:color="auto" w:fill="F6F3EC"/>
          </w:tcPr>
          <w:p>
            <w:r/>
            <w:r>
              <w:rPr>
                <w:sz w:val="18"/>
              </w:rPr>
              <w:t>Who checks, which documents, re-check cycle, audit trail, hiding or blocking, single society vs. many societies.</w:t>
            </w:r>
          </w:p>
        </w:tc>
        <w:tc>
          <w:tcPr>
            <w:tcW w:type="dxa" w:w="4535"/>
            <w:shd w:val="clear" w:color="auto" w:fill="F6F3EC"/>
          </w:tcPr>
          <w:p>
            <w:r/>
            <w:r>
              <w:rPr>
                <w:sz w:val="18"/>
              </w:rPr>
              <w:t>REQ-4.10.5 (verified badge with who and when, re-check every 12 months), 4.13.2 for maids; flow “Adding a vendor or maid”; Decision 14.</w:t>
            </w:r>
          </w:p>
        </w:tc>
        <w:tc>
          <w:tcPr>
            <w:tcW w:type="dxa" w:w="907"/>
            <w:shd w:val="clear" w:color="auto" w:fill="F6F3EC"/>
          </w:tcPr>
          <w:p>
            <w:r/>
            <w:r>
              <w:rPr>
                <w:b/>
                <w:color w:val="B42318"/>
                <w:sz w:val="18"/>
              </w:rPr>
              <w:t>High</w:t>
            </w:r>
          </w:p>
        </w:tc>
      </w:tr>
      <w:tr>
        <w:trPr>
          <w:cantSplit/>
        </w:trPr>
        <w:tc>
          <w:tcPr>
            <w:tcW w:type="dxa" w:w="454"/>
            <w:shd w:val="clear" w:color="auto" w:fill="FFFFFF"/>
          </w:tcPr>
          <w:p>
            <w:r/>
            <w:r>
              <w:rPr>
                <w:sz w:val="18"/>
              </w:rPr>
              <w:t>8</w:t>
            </w:r>
          </w:p>
        </w:tc>
        <w:tc>
          <w:tcPr>
            <w:tcW w:type="dxa" w:w="1928"/>
            <w:shd w:val="clear" w:color="auto" w:fill="FFFFFF"/>
          </w:tcPr>
          <w:p>
            <w:r/>
            <w:r>
              <w:rPr>
                <w:b/>
                <w:color w:val="0B1F3A"/>
                <w:sz w:val="18"/>
              </w:rPr>
              <w:t>Booking of services</w:t>
            </w:r>
          </w:p>
        </w:tc>
        <w:tc>
          <w:tcPr>
            <w:tcW w:type="dxa" w:w="2835"/>
            <w:shd w:val="clear" w:color="auto" w:fill="FFFFFF"/>
          </w:tcPr>
          <w:p>
            <w:r/>
            <w:r>
              <w:rPr>
                <w:sz w:val="18"/>
              </w:rPr>
              <w:t>Not covered.</w:t>
            </w:r>
          </w:p>
        </w:tc>
        <w:tc>
          <w:tcPr>
            <w:tcW w:type="dxa" w:w="3515"/>
            <w:shd w:val="clear" w:color="auto" w:fill="FFFFFF"/>
          </w:tcPr>
          <w:p>
            <w:r/>
            <w:r>
              <w:rPr>
                <w:sz w:val="18"/>
              </w:rPr>
              <w:t>No slots, accept/decline, timeout, cancel/reschedule, job completion or link to helpdesk.</w:t>
            </w:r>
          </w:p>
        </w:tc>
        <w:tc>
          <w:tcPr>
            <w:tcW w:type="dxa" w:w="4535"/>
            <w:shd w:val="clear" w:color="auto" w:fill="FFFFFF"/>
          </w:tcPr>
          <w:p>
            <w:r/>
            <w:r>
              <w:rPr>
                <w:sz w:val="18"/>
              </w:rPr>
              <w:t>Shared booking engine REQ-4.11.1–4.11.6 used by all add-ons.</w:t>
            </w:r>
          </w:p>
        </w:tc>
        <w:tc>
          <w:tcPr>
            <w:tcW w:type="dxa" w:w="907"/>
            <w:shd w:val="clear" w:color="auto" w:fill="FFFFFF"/>
          </w:tcPr>
          <w:p>
            <w:r/>
            <w:r>
              <w:rPr>
                <w:b/>
                <w:color w:val="B42318"/>
                <w:sz w:val="18"/>
              </w:rPr>
              <w:t>High</w:t>
            </w:r>
          </w:p>
        </w:tc>
      </w:tr>
      <w:tr>
        <w:trPr>
          <w:cantSplit/>
        </w:trPr>
        <w:tc>
          <w:tcPr>
            <w:tcW w:type="dxa" w:w="454"/>
            <w:shd w:val="clear" w:color="auto" w:fill="F6F3EC"/>
          </w:tcPr>
          <w:p>
            <w:r/>
            <w:r>
              <w:rPr>
                <w:sz w:val="18"/>
              </w:rPr>
              <w:t>9</w:t>
            </w:r>
          </w:p>
        </w:tc>
        <w:tc>
          <w:tcPr>
            <w:tcW w:type="dxa" w:w="1928"/>
            <w:shd w:val="clear" w:color="auto" w:fill="F6F3EC"/>
          </w:tcPr>
          <w:p>
            <w:r/>
            <w:r>
              <w:rPr>
                <w:b/>
                <w:color w:val="0B1F3A"/>
                <w:sz w:val="18"/>
              </w:rPr>
              <w:t>Payments for paid services</w:t>
            </w:r>
          </w:p>
        </w:tc>
        <w:tc>
          <w:tcPr>
            <w:tcW w:type="dxa" w:w="2835"/>
            <w:shd w:val="clear" w:color="auto" w:fill="F6F3EC"/>
          </w:tcPr>
          <w:p>
            <w:r/>
            <w:r>
              <w:rPr>
                <w:sz w:val="18"/>
              </w:rPr>
              <w:t>Payments go only to the society’s UPI ID. Gateways and vendor payments are out of scope.</w:t>
            </w:r>
          </w:p>
        </w:tc>
        <w:tc>
          <w:tcPr>
            <w:tcW w:type="dxa" w:w="3515"/>
            <w:shd w:val="clear" w:color="auto" w:fill="F6F3EC"/>
          </w:tcPr>
          <w:p>
            <w:r/>
            <w:r>
              <w:rPr>
                <w:sz w:val="18"/>
              </w:rPr>
              <w:t>Premium plant care, maid help and flat cleaning are paid, but there is no payment path. Risk of mixing provider money with society dues and late fees.</w:t>
            </w:r>
          </w:p>
        </w:tc>
        <w:tc>
          <w:tcPr>
            <w:tcW w:type="dxa" w:w="4535"/>
            <w:shd w:val="clear" w:color="auto" w:fill="F6F3EC"/>
          </w:tcPr>
          <w:p>
            <w:r/>
            <w:r>
              <w:rPr>
                <w:sz w:val="18"/>
              </w:rPr>
              <w:t>Direct UPI Intent to the provider’s own UPI ID, provider confirms receipt, receipt clearly says it is not a society payment (REQ-4.11.3). Billing rules: provider payments never affect dues; society-paid costs can be added as a bill charge item (Section 6, REQ-4.11.4).</w:t>
            </w:r>
          </w:p>
        </w:tc>
        <w:tc>
          <w:tcPr>
            <w:tcW w:type="dxa" w:w="907"/>
            <w:shd w:val="clear" w:color="auto" w:fill="F6F3EC"/>
          </w:tcPr>
          <w:p>
            <w:r/>
            <w:r>
              <w:rPr>
                <w:b/>
                <w:color w:val="B42318"/>
                <w:sz w:val="18"/>
              </w:rPr>
              <w:t>High</w:t>
            </w:r>
          </w:p>
        </w:tc>
      </w:tr>
      <w:tr>
        <w:trPr>
          <w:cantSplit/>
        </w:trPr>
        <w:tc>
          <w:tcPr>
            <w:tcW w:type="dxa" w:w="454"/>
            <w:shd w:val="clear" w:color="auto" w:fill="FFFFFF"/>
          </w:tcPr>
          <w:p>
            <w:r/>
            <w:r>
              <w:rPr>
                <w:sz w:val="18"/>
              </w:rPr>
              <w:t>10</w:t>
            </w:r>
          </w:p>
        </w:tc>
        <w:tc>
          <w:tcPr>
            <w:tcW w:type="dxa" w:w="1928"/>
            <w:shd w:val="clear" w:color="auto" w:fill="FFFFFF"/>
          </w:tcPr>
          <w:p>
            <w:r/>
            <w:r>
              <w:rPr>
                <w:b/>
                <w:color w:val="0B1F3A"/>
                <w:sz w:val="18"/>
              </w:rPr>
              <w:t>Revenue model for marketplace services</w:t>
            </w:r>
          </w:p>
        </w:tc>
        <w:tc>
          <w:tcPr>
            <w:tcW w:type="dxa" w:w="2835"/>
            <w:shd w:val="clear" w:color="auto" w:fill="FFFFFF"/>
          </w:tcPr>
          <w:p>
            <w:r/>
            <w:r>
              <w:rPr>
                <w:sz w:val="18"/>
              </w:rPr>
              <w:t>Per-flat fee only. “App takes no share of the payments.”</w:t>
            </w:r>
          </w:p>
        </w:tc>
        <w:tc>
          <w:tcPr>
            <w:tcW w:type="dxa" w:w="3515"/>
            <w:shd w:val="clear" w:color="auto" w:fill="FFFFFF"/>
          </w:tcPr>
          <w:p>
            <w:r/>
            <w:r>
              <w:rPr>
                <w:sz w:val="18"/>
              </w:rPr>
              <w:t>No revenue from the new services. A commission goes against out-of-scope items and the zero-fee message, and needs a gateway.</w:t>
            </w:r>
          </w:p>
        </w:tc>
        <w:tc>
          <w:tcPr>
            <w:tcW w:type="dxa" w:w="4535"/>
            <w:shd w:val="clear" w:color="auto" w:fill="FFFFFF"/>
          </w:tcPr>
          <w:p>
            <w:r/>
            <w:r>
              <w:rPr>
                <w:sz w:val="18"/>
              </w:rPr>
              <w:t>Add-on packs, vendor listing / labelled “Featured” fee, no commission (Section 15, Decision 13). Commission listed as “not recommended for now”.</w:t>
            </w:r>
          </w:p>
        </w:tc>
        <w:tc>
          <w:tcPr>
            <w:tcW w:type="dxa" w:w="907"/>
            <w:shd w:val="clear" w:color="auto" w:fill="FFFFFF"/>
          </w:tcPr>
          <w:p>
            <w:r/>
            <w:r>
              <w:rPr>
                <w:b/>
                <w:color w:val="B42318"/>
                <w:sz w:val="18"/>
              </w:rPr>
              <w:t>High</w:t>
            </w:r>
          </w:p>
        </w:tc>
      </w:tr>
      <w:tr>
        <w:trPr>
          <w:cantSplit/>
        </w:trPr>
        <w:tc>
          <w:tcPr>
            <w:tcW w:type="dxa" w:w="454"/>
            <w:shd w:val="clear" w:color="auto" w:fill="F6F3EC"/>
          </w:tcPr>
          <w:p>
            <w:r/>
            <w:r>
              <w:rPr>
                <w:sz w:val="18"/>
              </w:rPr>
              <w:t>11</w:t>
            </w:r>
          </w:p>
        </w:tc>
        <w:tc>
          <w:tcPr>
            <w:tcW w:type="dxa" w:w="1928"/>
            <w:shd w:val="clear" w:color="auto" w:fill="F6F3EC"/>
          </w:tcPr>
          <w:p>
            <w:r/>
            <w:r>
              <w:rPr>
                <w:b/>
                <w:color w:val="0B1F3A"/>
                <w:sz w:val="18"/>
              </w:rPr>
              <w:t>Marketplace and labour law exposure</w:t>
            </w:r>
          </w:p>
        </w:tc>
        <w:tc>
          <w:tcPr>
            <w:tcW w:type="dxa" w:w="2835"/>
            <w:shd w:val="clear" w:color="auto" w:fill="F6F3EC"/>
          </w:tcPr>
          <w:p>
            <w:r/>
            <w:r>
              <w:rPr>
                <w:sz w:val="18"/>
              </w:rPr>
              <w:t>Not considered.</w:t>
            </w:r>
          </w:p>
        </w:tc>
        <w:tc>
          <w:tcPr>
            <w:tcW w:type="dxa" w:w="3515"/>
            <w:shd w:val="clear" w:color="auto" w:fill="F6F3EC"/>
          </w:tcPr>
          <w:p>
            <w:r/>
            <w:r>
              <w:rPr>
                <w:sz w:val="18"/>
              </w:rPr>
              <w:t>If FacilityCore handles money or acts as a marketplace, these may apply: Consumer Protection (E-Commerce) Rules 2020, GST rules for e-commerce operators, and the Code on Social Security 2020 (in force 21 Nov 2025; “aggregators” pay 1–2% of turnover, capped at 5% of payouts to gig/platform workers, once notified for their category).</w:t>
            </w:r>
          </w:p>
        </w:tc>
        <w:tc>
          <w:tcPr>
            <w:tcW w:type="dxa" w:w="4535"/>
            <w:shd w:val="clear" w:color="auto" w:fill="F6F3EC"/>
          </w:tcPr>
          <w:p>
            <w:r/>
            <w:r>
              <w:rPr>
                <w:sz w:val="18"/>
              </w:rPr>
              <w:t>Connector-only model in v2.0 (no money handling, no commission, not the employer). Legal and tax review before Phase 8 (Section 10). Risk row added.</w:t>
            </w:r>
          </w:p>
        </w:tc>
        <w:tc>
          <w:tcPr>
            <w:tcW w:type="dxa" w:w="907"/>
            <w:shd w:val="clear" w:color="auto" w:fill="F6F3EC"/>
          </w:tcPr>
          <w:p>
            <w:r/>
            <w:r>
              <w:rPr>
                <w:b/>
                <w:color w:val="B42318"/>
                <w:sz w:val="18"/>
              </w:rPr>
              <w:t>High</w:t>
            </w:r>
          </w:p>
        </w:tc>
      </w:tr>
      <w:tr>
        <w:trPr>
          <w:cantSplit/>
        </w:trPr>
        <w:tc>
          <w:tcPr>
            <w:tcW w:type="dxa" w:w="454"/>
            <w:shd w:val="clear" w:color="auto" w:fill="FFFFFF"/>
          </w:tcPr>
          <w:p>
            <w:r/>
            <w:r>
              <w:rPr>
                <w:sz w:val="18"/>
              </w:rPr>
              <w:t>12</w:t>
            </w:r>
          </w:p>
        </w:tc>
        <w:tc>
          <w:tcPr>
            <w:tcW w:type="dxa" w:w="1928"/>
            <w:shd w:val="clear" w:color="auto" w:fill="FFFFFF"/>
          </w:tcPr>
          <w:p>
            <w:r/>
            <w:r>
              <w:rPr>
                <w:b/>
                <w:color w:val="0B1F3A"/>
                <w:sz w:val="18"/>
              </w:rPr>
              <w:t>Positioning and competitive advantage</w:t>
            </w:r>
          </w:p>
        </w:tc>
        <w:tc>
          <w:tcPr>
            <w:tcW w:type="dxa" w:w="2835"/>
            <w:shd w:val="clear" w:color="auto" w:fill="FFFFFF"/>
          </w:tcPr>
          <w:p>
            <w:r/>
            <w:r>
              <w:rPr>
                <w:sz w:val="18"/>
              </w:rPr>
              <w:t>“Only an accounting and complaint tool”, “not gate management”, “guarantee 100% of residents see” bills on WhatsApp.</w:t>
            </w:r>
          </w:p>
        </w:tc>
        <w:tc>
          <w:tcPr>
            <w:tcW w:type="dxa" w:w="3515"/>
            <w:shd w:val="clear" w:color="auto" w:fill="FFFFFF"/>
          </w:tcPr>
          <w:p>
            <w:r/>
            <w:r>
              <w:rPr>
                <w:sz w:val="18"/>
              </w:rPr>
              <w:t>The new add-ons make the first two claims untrue. The 100% claim already goes against WhatsApp opt-in (REQ-4.9.3) and Phase 6 timing.</w:t>
            </w:r>
          </w:p>
        </w:tc>
        <w:tc>
          <w:tcPr>
            <w:tcW w:type="dxa" w:w="4535"/>
            <w:shd w:val="clear" w:color="auto" w:fill="FFFFFF"/>
          </w:tcPr>
          <w:p>
            <w:r/>
            <w:r>
              <w:rPr>
                <w:sz w:val="18"/>
              </w:rPr>
              <w:t>2.4 reworded to “simple core + optional add-ons”. New row “Optional Add-ons vs. Forced Bundles”. WhatsApp claim softened. Core principle notes that add-ons are off by default.</w:t>
            </w:r>
          </w:p>
        </w:tc>
        <w:tc>
          <w:tcPr>
            <w:tcW w:type="dxa" w:w="907"/>
            <w:shd w:val="clear" w:color="auto" w:fill="FFFFFF"/>
          </w:tcPr>
          <w:p>
            <w:r/>
            <w:r>
              <w:rPr>
                <w:b/>
                <w:color w:val="B42318"/>
                <w:sz w:val="18"/>
              </w:rPr>
              <w:t>High</w:t>
            </w:r>
          </w:p>
        </w:tc>
      </w:tr>
      <w:tr>
        <w:trPr>
          <w:cantSplit/>
        </w:trPr>
        <w:tc>
          <w:tcPr>
            <w:tcW w:type="dxa" w:w="454"/>
            <w:shd w:val="clear" w:color="auto" w:fill="F6F3EC"/>
          </w:tcPr>
          <w:p>
            <w:r/>
            <w:r>
              <w:rPr>
                <w:sz w:val="18"/>
              </w:rPr>
              <w:t>13</w:t>
            </w:r>
          </w:p>
        </w:tc>
        <w:tc>
          <w:tcPr>
            <w:tcW w:type="dxa" w:w="1928"/>
            <w:shd w:val="clear" w:color="auto" w:fill="F6F3EC"/>
          </w:tcPr>
          <w:p>
            <w:r/>
            <w:r>
              <w:rPr>
                <w:b/>
                <w:color w:val="0B1F3A"/>
                <w:sz w:val="18"/>
              </w:rPr>
              <w:t>Maid services</w:t>
            </w:r>
          </w:p>
        </w:tc>
        <w:tc>
          <w:tcPr>
            <w:tcW w:type="dxa" w:w="2835"/>
            <w:shd w:val="clear" w:color="auto" w:fill="F6F3EC"/>
          </w:tcPr>
          <w:p>
            <w:r/>
            <w:r>
              <w:rPr>
                <w:sz w:val="18"/>
              </w:rPr>
              <w:t>Not covered.</w:t>
            </w:r>
          </w:p>
        </w:tc>
        <w:tc>
          <w:tcPr>
            <w:tcW w:type="dxa" w:w="3515"/>
            <w:shd w:val="clear" w:color="auto" w:fill="F6F3EC"/>
          </w:tcPr>
          <w:p>
            <w:r/>
            <w:r>
              <w:rPr>
                <w:sz w:val="18"/>
              </w:rPr>
              <w:t>No profiles, verification or police-check status, hiring options, attendance, blocking, access for maids without smartphones, or clarity that FacilityCore is not the employer.</w:t>
            </w:r>
          </w:p>
        </w:tc>
        <w:tc>
          <w:tcPr>
            <w:tcW w:type="dxa" w:w="4535"/>
            <w:shd w:val="clear" w:color="auto" w:fill="F6F3EC"/>
          </w:tcPr>
          <w:p>
            <w:r/>
            <w:r>
              <w:rPr>
                <w:sz w:val="18"/>
              </w:rPr>
              <w:t>REQ-4.13.1–4.13.7; Decision 21 (unverified maids); out of scope: background checks done by FacilityCore.</w:t>
            </w:r>
          </w:p>
        </w:tc>
        <w:tc>
          <w:tcPr>
            <w:tcW w:type="dxa" w:w="907"/>
            <w:shd w:val="clear" w:color="auto" w:fill="F6F3EC"/>
          </w:tcPr>
          <w:p>
            <w:r/>
            <w:r>
              <w:rPr>
                <w:b/>
                <w:color w:val="B42318"/>
                <w:sz w:val="18"/>
              </w:rPr>
              <w:t>High</w:t>
            </w:r>
          </w:p>
        </w:tc>
      </w:tr>
      <w:tr>
        <w:trPr>
          <w:cantSplit/>
        </w:trPr>
        <w:tc>
          <w:tcPr>
            <w:tcW w:type="dxa" w:w="454"/>
            <w:shd w:val="clear" w:color="auto" w:fill="FFFFFF"/>
          </w:tcPr>
          <w:p>
            <w:r/>
            <w:r>
              <w:rPr>
                <w:sz w:val="18"/>
              </w:rPr>
              <w:t>14</w:t>
            </w:r>
          </w:p>
        </w:tc>
        <w:tc>
          <w:tcPr>
            <w:tcW w:type="dxa" w:w="1928"/>
            <w:shd w:val="clear" w:color="auto" w:fill="FFFFFF"/>
          </w:tcPr>
          <w:p>
            <w:r/>
            <w:r>
              <w:rPr>
                <w:b/>
                <w:color w:val="0B1F3A"/>
                <w:sz w:val="18"/>
              </w:rPr>
              <w:t>Society clean-up services</w:t>
            </w:r>
          </w:p>
        </w:tc>
        <w:tc>
          <w:tcPr>
            <w:tcW w:type="dxa" w:w="2835"/>
            <w:shd w:val="clear" w:color="auto" w:fill="FFFFFF"/>
          </w:tcPr>
          <w:p>
            <w:r/>
            <w:r>
              <w:rPr>
                <w:sz w:val="18"/>
              </w:rPr>
              <w:t>Only “Cleaners” as a phonebook category.</w:t>
            </w:r>
          </w:p>
        </w:tc>
        <w:tc>
          <w:tcPr>
            <w:tcW w:type="dxa" w:w="3515"/>
            <w:shd w:val="clear" w:color="auto" w:fill="FFFFFF"/>
          </w:tcPr>
          <w:p>
            <w:r/>
            <w:r>
              <w:rPr>
                <w:sz w:val="18"/>
              </w:rPr>
              <w:t>No common-area schedule, checklist with photo proof, missed-task alerts, flat cleaning booking, or rule on who pays.</w:t>
            </w:r>
          </w:p>
        </w:tc>
        <w:tc>
          <w:tcPr>
            <w:tcW w:type="dxa" w:w="4535"/>
            <w:shd w:val="clear" w:color="auto" w:fill="FFFFFF"/>
          </w:tcPr>
          <w:p>
            <w:r/>
            <w:r>
              <w:rPr>
                <w:sz w:val="18"/>
              </w:rPr>
              <w:t>REQ-4.12.1–4.12.5; Decision 16 (meaning of “society clean-up”).</w:t>
            </w:r>
          </w:p>
        </w:tc>
        <w:tc>
          <w:tcPr>
            <w:tcW w:type="dxa" w:w="907"/>
            <w:shd w:val="clear" w:color="auto" w:fill="FFFFFF"/>
          </w:tcPr>
          <w:p>
            <w:r/>
            <w:r>
              <w:rPr>
                <w:b/>
                <w:color w:val="B86E00"/>
                <w:sz w:val="18"/>
              </w:rPr>
              <w:t>Medium</w:t>
            </w:r>
          </w:p>
        </w:tc>
      </w:tr>
      <w:tr>
        <w:trPr>
          <w:cantSplit/>
        </w:trPr>
        <w:tc>
          <w:tcPr>
            <w:tcW w:type="dxa" w:w="454"/>
            <w:shd w:val="clear" w:color="auto" w:fill="F6F3EC"/>
          </w:tcPr>
          <w:p>
            <w:r/>
            <w:r>
              <w:rPr>
                <w:sz w:val="18"/>
              </w:rPr>
              <w:t>15</w:t>
            </w:r>
          </w:p>
        </w:tc>
        <w:tc>
          <w:tcPr>
            <w:tcW w:type="dxa" w:w="1928"/>
            <w:shd w:val="clear" w:color="auto" w:fill="F6F3EC"/>
          </w:tcPr>
          <w:p>
            <w:r/>
            <w:r>
              <w:rPr>
                <w:b/>
                <w:color w:val="0B1F3A"/>
                <w:sz w:val="18"/>
              </w:rPr>
              <w:t>Premium tower plant care</w:t>
            </w:r>
          </w:p>
        </w:tc>
        <w:tc>
          <w:tcPr>
            <w:tcW w:type="dxa" w:w="2835"/>
            <w:shd w:val="clear" w:color="auto" w:fill="F6F3EC"/>
          </w:tcPr>
          <w:p>
            <w:r/>
            <w:r>
              <w:rPr>
                <w:sz w:val="18"/>
              </w:rPr>
              <w:t>Not covered.</w:t>
            </w:r>
          </w:p>
        </w:tc>
        <w:tc>
          <w:tcPr>
            <w:tcW w:type="dxa" w:w="3515"/>
            <w:shd w:val="clear" w:color="auto" w:fill="F6F3EC"/>
          </w:tcPr>
          <w:p>
            <w:r/>
            <w:r>
              <w:rPr>
                <w:sz w:val="18"/>
              </w:rPr>
              <w:t>“Premium tower plant care” is unclear (common greenery paid by the society, balcony plants paid by residents, or both). No plans, renewal consent or visit proof.</w:t>
            </w:r>
          </w:p>
        </w:tc>
        <w:tc>
          <w:tcPr>
            <w:tcW w:type="dxa" w:w="4535"/>
            <w:shd w:val="clear" w:color="auto" w:fill="F6F3EC"/>
          </w:tcPr>
          <w:p>
            <w:r/>
            <w:r>
              <w:rPr>
                <w:sz w:val="18"/>
              </w:rPr>
              <w:t>REQ-4.14.1–4.14.5; Decision 15. Plans renew only with consent.</w:t>
            </w:r>
          </w:p>
        </w:tc>
        <w:tc>
          <w:tcPr>
            <w:tcW w:type="dxa" w:w="907"/>
            <w:shd w:val="clear" w:color="auto" w:fill="F6F3EC"/>
          </w:tcPr>
          <w:p>
            <w:r/>
            <w:r>
              <w:rPr>
                <w:b/>
                <w:color w:val="B86E00"/>
                <w:sz w:val="18"/>
              </w:rPr>
              <w:t>Medium</w:t>
            </w:r>
          </w:p>
        </w:tc>
      </w:tr>
      <w:tr>
        <w:trPr>
          <w:cantSplit/>
        </w:trPr>
        <w:tc>
          <w:tcPr>
            <w:tcW w:type="dxa" w:w="454"/>
            <w:shd w:val="clear" w:color="auto" w:fill="FFFFFF"/>
          </w:tcPr>
          <w:p>
            <w:r/>
            <w:r>
              <w:rPr>
                <w:sz w:val="18"/>
              </w:rPr>
              <w:t>16</w:t>
            </w:r>
          </w:p>
        </w:tc>
        <w:tc>
          <w:tcPr>
            <w:tcW w:type="dxa" w:w="1928"/>
            <w:shd w:val="clear" w:color="auto" w:fill="FFFFFF"/>
          </w:tcPr>
          <w:p>
            <w:r/>
            <w:r>
              <w:rPr>
                <w:b/>
                <w:color w:val="0B1F3A"/>
                <w:sz w:val="18"/>
              </w:rPr>
              <w:t>Ratings, reviews and moderation</w:t>
            </w:r>
          </w:p>
        </w:tc>
        <w:tc>
          <w:tcPr>
            <w:tcW w:type="dxa" w:w="2835"/>
            <w:shd w:val="clear" w:color="auto" w:fill="FFFFFF"/>
          </w:tcPr>
          <w:p>
            <w:r/>
            <w:r>
              <w:rPr>
                <w:sz w:val="18"/>
              </w:rPr>
              <w:t>Not covered.</w:t>
            </w:r>
          </w:p>
        </w:tc>
        <w:tc>
          <w:tcPr>
            <w:tcW w:type="dxa" w:w="3515"/>
            <w:shd w:val="clear" w:color="auto" w:fill="FFFFFF"/>
          </w:tcPr>
          <w:p>
            <w:r/>
            <w:r>
              <w:rPr>
                <w:sz w:val="18"/>
              </w:rPr>
              <w:t>No quality signal, no threshold for hiding a vendor, no report button.</w:t>
            </w:r>
          </w:p>
        </w:tc>
        <w:tc>
          <w:tcPr>
            <w:tcW w:type="dxa" w:w="4535"/>
            <w:shd w:val="clear" w:color="auto" w:fill="FFFFFF"/>
          </w:tcPr>
          <w:p>
            <w:r/>
            <w:r>
              <w:rPr>
                <w:sz w:val="18"/>
              </w:rPr>
              <w:t>REQ-4.10.6, 4.11.6, 4.13.6.</w:t>
            </w:r>
          </w:p>
        </w:tc>
        <w:tc>
          <w:tcPr>
            <w:tcW w:type="dxa" w:w="907"/>
            <w:shd w:val="clear" w:color="auto" w:fill="FFFFFF"/>
          </w:tcPr>
          <w:p>
            <w:r/>
            <w:r>
              <w:rPr>
                <w:b/>
                <w:color w:val="B86E00"/>
                <w:sz w:val="18"/>
              </w:rPr>
              <w:t>Medium</w:t>
            </w:r>
          </w:p>
        </w:tc>
      </w:tr>
      <w:tr>
        <w:trPr>
          <w:cantSplit/>
        </w:trPr>
        <w:tc>
          <w:tcPr>
            <w:tcW w:type="dxa" w:w="454"/>
            <w:shd w:val="clear" w:color="auto" w:fill="F6F3EC"/>
          </w:tcPr>
          <w:p>
            <w:r/>
            <w:r>
              <w:rPr>
                <w:sz w:val="18"/>
              </w:rPr>
              <w:t>17</w:t>
            </w:r>
          </w:p>
        </w:tc>
        <w:tc>
          <w:tcPr>
            <w:tcW w:type="dxa" w:w="1928"/>
            <w:shd w:val="clear" w:color="auto" w:fill="F6F3EC"/>
          </w:tcPr>
          <w:p>
            <w:r/>
            <w:r>
              <w:rPr>
                <w:b/>
                <w:color w:val="0B1F3A"/>
                <w:sz w:val="18"/>
              </w:rPr>
              <w:t>Service promises (SLAs)</w:t>
            </w:r>
          </w:p>
        </w:tc>
        <w:tc>
          <w:tcPr>
            <w:tcW w:type="dxa" w:w="2835"/>
            <w:shd w:val="clear" w:color="auto" w:fill="F6F3EC"/>
          </w:tcPr>
          <w:p>
            <w:r/>
            <w:r>
              <w:rPr>
                <w:sz w:val="18"/>
              </w:rPr>
              <w:t>Only targets for complaint pickup and reminders.</w:t>
            </w:r>
          </w:p>
        </w:tc>
        <w:tc>
          <w:tcPr>
            <w:tcW w:type="dxa" w:w="3515"/>
            <w:shd w:val="clear" w:color="auto" w:fill="F6F3EC"/>
          </w:tcPr>
          <w:p>
            <w:r/>
            <w:r>
              <w:rPr>
                <w:sz w:val="18"/>
              </w:rPr>
              <w:t>No promises for accepting bookings, arriving on time, rework, or gate response times.</w:t>
            </w:r>
          </w:p>
        </w:tc>
        <w:tc>
          <w:tcPr>
            <w:tcW w:type="dxa" w:w="4535"/>
            <w:shd w:val="clear" w:color="auto" w:fill="F6F3EC"/>
          </w:tcPr>
          <w:p>
            <w:r/>
            <w:r>
              <w:rPr>
                <w:sz w:val="18"/>
              </w:rPr>
              <w:t>REQ-4.11.7; new targets in 2.6; gate speed NFR.</w:t>
            </w:r>
          </w:p>
        </w:tc>
        <w:tc>
          <w:tcPr>
            <w:tcW w:type="dxa" w:w="907"/>
            <w:shd w:val="clear" w:color="auto" w:fill="F6F3EC"/>
          </w:tcPr>
          <w:p>
            <w:r/>
            <w:r>
              <w:rPr>
                <w:b/>
                <w:color w:val="B86E00"/>
                <w:sz w:val="18"/>
              </w:rPr>
              <w:t>Medium</w:t>
            </w:r>
          </w:p>
        </w:tc>
      </w:tr>
      <w:tr>
        <w:trPr>
          <w:cantSplit/>
        </w:trPr>
        <w:tc>
          <w:tcPr>
            <w:tcW w:type="dxa" w:w="454"/>
            <w:shd w:val="clear" w:color="auto" w:fill="FFFFFF"/>
          </w:tcPr>
          <w:p>
            <w:r/>
            <w:r>
              <w:rPr>
                <w:sz w:val="18"/>
              </w:rPr>
              <w:t>18</w:t>
            </w:r>
          </w:p>
        </w:tc>
        <w:tc>
          <w:tcPr>
            <w:tcW w:type="dxa" w:w="1928"/>
            <w:shd w:val="clear" w:color="auto" w:fill="FFFFFF"/>
          </w:tcPr>
          <w:p>
            <w:r/>
            <w:r>
              <w:rPr>
                <w:b/>
                <w:color w:val="0B1F3A"/>
                <w:sz w:val="18"/>
              </w:rPr>
              <w:t>Users and permissions</w:t>
            </w:r>
          </w:p>
        </w:tc>
        <w:tc>
          <w:tcPr>
            <w:tcW w:type="dxa" w:w="2835"/>
            <w:shd w:val="clear" w:color="auto" w:fill="FFFFFF"/>
          </w:tcPr>
          <w:p>
            <w:r/>
            <w:r>
              <w:rPr>
                <w:sz w:val="18"/>
              </w:rPr>
              <w:t>4 roles. Guards only get SOS by SMS/WhatsApp.</w:t>
            </w:r>
          </w:p>
        </w:tc>
        <w:tc>
          <w:tcPr>
            <w:tcW w:type="dxa" w:w="3515"/>
            <w:shd w:val="clear" w:color="auto" w:fill="FFFFFF"/>
          </w:tcPr>
          <w:p>
            <w:r/>
            <w:r>
              <w:rPr>
                <w:sz w:val="18"/>
              </w:rPr>
              <w:t>No Security Guard or Service Provider roles. No limit on what guards and providers can see.</w:t>
            </w:r>
          </w:p>
        </w:tc>
        <w:tc>
          <w:tcPr>
            <w:tcW w:type="dxa" w:w="4535"/>
            <w:shd w:val="clear" w:color="auto" w:fill="FFFFFF"/>
          </w:tcPr>
          <w:p>
            <w:r/>
            <w:r>
              <w:rPr>
                <w:sz w:val="18"/>
              </w:rPr>
              <w:t>REQ-4.6.2 updated; Section 5: 12 new permission rows and a new table for Guard, Vendor, Maid and Partner, with limited data access.</w:t>
            </w:r>
          </w:p>
        </w:tc>
        <w:tc>
          <w:tcPr>
            <w:tcW w:type="dxa" w:w="907"/>
            <w:shd w:val="clear" w:color="auto" w:fill="FFFFFF"/>
          </w:tcPr>
          <w:p>
            <w:r/>
            <w:r>
              <w:rPr>
                <w:b/>
                <w:color w:val="B42318"/>
                <w:sz w:val="18"/>
              </w:rPr>
              <w:t>High</w:t>
            </w:r>
          </w:p>
        </w:tc>
      </w:tr>
      <w:tr>
        <w:trPr>
          <w:cantSplit/>
        </w:trPr>
        <w:tc>
          <w:tcPr>
            <w:tcW w:type="dxa" w:w="454"/>
            <w:shd w:val="clear" w:color="auto" w:fill="F6F3EC"/>
          </w:tcPr>
          <w:p>
            <w:r/>
            <w:r>
              <w:rPr>
                <w:sz w:val="18"/>
              </w:rPr>
              <w:t>19</w:t>
            </w:r>
          </w:p>
        </w:tc>
        <w:tc>
          <w:tcPr>
            <w:tcW w:type="dxa" w:w="1928"/>
            <w:shd w:val="clear" w:color="auto" w:fill="F6F3EC"/>
          </w:tcPr>
          <w:p>
            <w:r/>
            <w:r>
              <w:rPr>
                <w:b/>
                <w:color w:val="0B1F3A"/>
                <w:sz w:val="18"/>
              </w:rPr>
              <w:t>Messages and WhatsApp templates</w:t>
            </w:r>
          </w:p>
        </w:tc>
        <w:tc>
          <w:tcPr>
            <w:tcW w:type="dxa" w:w="2835"/>
            <w:shd w:val="clear" w:color="auto" w:fill="F6F3EC"/>
          </w:tcPr>
          <w:p>
            <w:r/>
            <w:r>
              <w:rPr>
                <w:sz w:val="18"/>
              </w:rPr>
              <w:t>Billing, complaint, poll and SOS messages only.</w:t>
            </w:r>
          </w:p>
        </w:tc>
        <w:tc>
          <w:tcPr>
            <w:tcW w:type="dxa" w:w="3515"/>
            <w:shd w:val="clear" w:color="auto" w:fill="F6F3EC"/>
          </w:tcPr>
          <w:p>
            <w:r/>
            <w:r>
              <w:rPr>
                <w:sz w:val="18"/>
              </w:rPr>
              <w:t>No booking, visitor approval, no-answer, missed visit, consent or re-check messages. New WhatsApp templates need approval.</w:t>
            </w:r>
          </w:p>
        </w:tc>
        <w:tc>
          <w:tcPr>
            <w:tcW w:type="dxa" w:w="4535"/>
            <w:shd w:val="clear" w:color="auto" w:fill="F6F3EC"/>
          </w:tcPr>
          <w:p>
            <w:r/>
            <w:r>
              <w:rPr>
                <w:sz w:val="18"/>
              </w:rPr>
              <w:t>9 new rows in Section 7; template approval added to Section 10.</w:t>
            </w:r>
          </w:p>
        </w:tc>
        <w:tc>
          <w:tcPr>
            <w:tcW w:type="dxa" w:w="907"/>
            <w:shd w:val="clear" w:color="auto" w:fill="F6F3EC"/>
          </w:tcPr>
          <w:p>
            <w:r/>
            <w:r>
              <w:rPr>
                <w:b/>
                <w:color w:val="B86E00"/>
                <w:sz w:val="18"/>
              </w:rPr>
              <w:t>Medium</w:t>
            </w:r>
          </w:p>
        </w:tc>
      </w:tr>
      <w:tr>
        <w:trPr>
          <w:cantSplit/>
        </w:trPr>
        <w:tc>
          <w:tcPr>
            <w:tcW w:type="dxa" w:w="454"/>
            <w:shd w:val="clear" w:color="auto" w:fill="FFFFFF"/>
          </w:tcPr>
          <w:p>
            <w:r/>
            <w:r>
              <w:rPr>
                <w:sz w:val="18"/>
              </w:rPr>
              <w:t>20</w:t>
            </w:r>
          </w:p>
        </w:tc>
        <w:tc>
          <w:tcPr>
            <w:tcW w:type="dxa" w:w="1928"/>
            <w:shd w:val="clear" w:color="auto" w:fill="FFFFFF"/>
          </w:tcPr>
          <w:p>
            <w:r/>
            <w:r>
              <w:rPr>
                <w:b/>
                <w:color w:val="0B1F3A"/>
                <w:sz w:val="18"/>
              </w:rPr>
              <w:t>Screens and flows</w:t>
            </w:r>
          </w:p>
        </w:tc>
        <w:tc>
          <w:tcPr>
            <w:tcW w:type="dxa" w:w="2835"/>
            <w:shd w:val="clear" w:color="auto" w:fill="FFFFFF"/>
          </w:tcPr>
          <w:p>
            <w:r/>
            <w:r>
              <w:rPr>
                <w:sz w:val="18"/>
              </w:rPr>
              <w:t>Resident app and admin dashboard only.</w:t>
            </w:r>
          </w:p>
        </w:tc>
        <w:tc>
          <w:tcPr>
            <w:tcW w:type="dxa" w:w="3515"/>
            <w:shd w:val="clear" w:color="auto" w:fill="FFFFFF"/>
          </w:tcPr>
          <w:p>
            <w:r/>
            <w:r>
              <w:rPr>
                <w:sz w:val="18"/>
              </w:rPr>
              <w:t>No guard app, provider app, Services/Vendors/Bookings/Visitors screens, or admin pages for add-ons, vendors, gate and privacy.</w:t>
            </w:r>
          </w:p>
        </w:tc>
        <w:tc>
          <w:tcPr>
            <w:tcW w:type="dxa" w:w="4535"/>
            <w:shd w:val="clear" w:color="auto" w:fill="FFFFFF"/>
          </w:tcPr>
          <w:p>
            <w:r/>
            <w:r>
              <w:rPr>
                <w:sz w:val="18"/>
              </w:rPr>
              <w:t>Section 8 updated; new 8.3 (Guard and Provider apps); 4 new flows in 8.4.</w:t>
            </w:r>
          </w:p>
        </w:tc>
        <w:tc>
          <w:tcPr>
            <w:tcW w:type="dxa" w:w="907"/>
            <w:shd w:val="clear" w:color="auto" w:fill="FFFFFF"/>
          </w:tcPr>
          <w:p>
            <w:r/>
            <w:r>
              <w:rPr>
                <w:b/>
                <w:color w:val="B86E00"/>
                <w:sz w:val="18"/>
              </w:rPr>
              <w:t>Medium</w:t>
            </w:r>
          </w:p>
        </w:tc>
      </w:tr>
      <w:tr>
        <w:trPr>
          <w:cantSplit/>
        </w:trPr>
        <w:tc>
          <w:tcPr>
            <w:tcW w:type="dxa" w:w="454"/>
            <w:shd w:val="clear" w:color="auto" w:fill="F6F3EC"/>
          </w:tcPr>
          <w:p>
            <w:r/>
            <w:r>
              <w:rPr>
                <w:sz w:val="18"/>
              </w:rPr>
              <w:t>21</w:t>
            </w:r>
          </w:p>
        </w:tc>
        <w:tc>
          <w:tcPr>
            <w:tcW w:type="dxa" w:w="1928"/>
            <w:shd w:val="clear" w:color="auto" w:fill="F6F3EC"/>
          </w:tcPr>
          <w:p>
            <w:r/>
            <w:r>
              <w:rPr>
                <w:b/>
                <w:color w:val="0B1F3A"/>
                <w:sz w:val="18"/>
              </w:rPr>
              <w:t>Non-functional requirements</w:t>
            </w:r>
          </w:p>
        </w:tc>
        <w:tc>
          <w:tcPr>
            <w:tcW w:type="dxa" w:w="2835"/>
            <w:shd w:val="clear" w:color="auto" w:fill="F6F3EC"/>
          </w:tcPr>
          <w:p>
            <w:r/>
            <w:r>
              <w:rPr>
                <w:sz w:val="18"/>
              </w:rPr>
              <w:t>Speed, security, privacy, uptime 99.5%, backups.</w:t>
            </w:r>
          </w:p>
        </w:tc>
        <w:tc>
          <w:tcPr>
            <w:tcW w:type="dxa" w:w="3515"/>
            <w:shd w:val="clear" w:color="auto" w:fill="F6F3EC"/>
          </w:tcPr>
          <w:p>
            <w:r/>
            <w:r>
              <w:rPr>
                <w:sz w:val="18"/>
              </w:rPr>
              <w:t>Missing: face accuracy (false match / false reject), liveness check, gate speed and uptime, offline gate mode, lost-device handling, retention periods, location privacy, admin access history, accessibility.</w:t>
            </w:r>
          </w:p>
        </w:tc>
        <w:tc>
          <w:tcPr>
            <w:tcW w:type="dxa" w:w="4535"/>
            <w:shd w:val="clear" w:color="auto" w:fill="F6F3EC"/>
          </w:tcPr>
          <w:p>
            <w:r/>
            <w:r>
              <w:rPr>
                <w:sz w:val="18"/>
              </w:rPr>
              <w:t>10 new NFR rows in Section 9 (all Proposed targets).</w:t>
            </w:r>
          </w:p>
        </w:tc>
        <w:tc>
          <w:tcPr>
            <w:tcW w:type="dxa" w:w="907"/>
            <w:shd w:val="clear" w:color="auto" w:fill="F6F3EC"/>
          </w:tcPr>
          <w:p>
            <w:r/>
            <w:r>
              <w:rPr>
                <w:b/>
                <w:color w:val="B42318"/>
                <w:sz w:val="18"/>
              </w:rPr>
              <w:t>High</w:t>
            </w:r>
          </w:p>
        </w:tc>
      </w:tr>
      <w:tr>
        <w:trPr>
          <w:cantSplit/>
        </w:trPr>
        <w:tc>
          <w:tcPr>
            <w:tcW w:type="dxa" w:w="454"/>
            <w:shd w:val="clear" w:color="auto" w:fill="FFFFFF"/>
          </w:tcPr>
          <w:p>
            <w:r/>
            <w:r>
              <w:rPr>
                <w:sz w:val="18"/>
              </w:rPr>
              <w:t>22</w:t>
            </w:r>
          </w:p>
        </w:tc>
        <w:tc>
          <w:tcPr>
            <w:tcW w:type="dxa" w:w="1928"/>
            <w:shd w:val="clear" w:color="auto" w:fill="FFFFFF"/>
          </w:tcPr>
          <w:p>
            <w:r/>
            <w:r>
              <w:rPr>
                <w:b/>
                <w:color w:val="0B1F3A"/>
                <w:sz w:val="18"/>
              </w:rPr>
              <w:t>Technical assumptions</w:t>
            </w:r>
          </w:p>
        </w:tc>
        <w:tc>
          <w:tcPr>
            <w:tcW w:type="dxa" w:w="2835"/>
            <w:shd w:val="clear" w:color="auto" w:fill="FFFFFF"/>
          </w:tcPr>
          <w:p>
            <w:r/>
            <w:r>
              <w:rPr>
                <w:sz w:val="18"/>
              </w:rPr>
              <w:t>Bank, WhatsApp, SMS, hosting.</w:t>
            </w:r>
          </w:p>
        </w:tc>
        <w:tc>
          <w:tcPr>
            <w:tcW w:type="dxa" w:w="3515"/>
            <w:shd w:val="clear" w:color="auto" w:fill="FFFFFF"/>
          </w:tcPr>
          <w:p>
            <w:r/>
            <w:r>
              <w:rPr>
                <w:sz w:val="18"/>
              </w:rPr>
              <w:t>Missing: maps, face check provider and data residency, gate devices, service partners, provider UPI IDs, police verification process, legal and tax review.</w:t>
            </w:r>
          </w:p>
        </w:tc>
        <w:tc>
          <w:tcPr>
            <w:tcW w:type="dxa" w:w="4535"/>
            <w:shd w:val="clear" w:color="auto" w:fill="FFFFFF"/>
          </w:tcPr>
          <w:p>
            <w:r/>
            <w:r>
              <w:rPr>
                <w:sz w:val="18"/>
              </w:rPr>
              <w:t>8 new rows in Section 10.</w:t>
            </w:r>
          </w:p>
        </w:tc>
        <w:tc>
          <w:tcPr>
            <w:tcW w:type="dxa" w:w="907"/>
            <w:shd w:val="clear" w:color="auto" w:fill="FFFFFF"/>
          </w:tcPr>
          <w:p>
            <w:r/>
            <w:r>
              <w:rPr>
                <w:b/>
                <w:color w:val="B86E00"/>
                <w:sz w:val="18"/>
              </w:rPr>
              <w:t>Medium</w:t>
            </w:r>
          </w:p>
        </w:tc>
      </w:tr>
      <w:tr>
        <w:trPr>
          <w:cantSplit/>
        </w:trPr>
        <w:tc>
          <w:tcPr>
            <w:tcW w:type="dxa" w:w="454"/>
            <w:shd w:val="clear" w:color="auto" w:fill="F6F3EC"/>
          </w:tcPr>
          <w:p>
            <w:r/>
            <w:r>
              <w:rPr>
                <w:sz w:val="18"/>
              </w:rPr>
              <w:t>23</w:t>
            </w:r>
          </w:p>
        </w:tc>
        <w:tc>
          <w:tcPr>
            <w:tcW w:type="dxa" w:w="1928"/>
            <w:shd w:val="clear" w:color="auto" w:fill="F6F3EC"/>
          </w:tcPr>
          <w:p>
            <w:r/>
            <w:r>
              <w:rPr>
                <w:b/>
                <w:color w:val="0B1F3A"/>
                <w:sz w:val="18"/>
              </w:rPr>
              <w:t>Liability and terms of use</w:t>
            </w:r>
          </w:p>
        </w:tc>
        <w:tc>
          <w:tcPr>
            <w:tcW w:type="dxa" w:w="2835"/>
            <w:shd w:val="clear" w:color="auto" w:fill="F6F3EC"/>
          </w:tcPr>
          <w:p>
            <w:r/>
            <w:r>
              <w:rPr>
                <w:sz w:val="18"/>
              </w:rPr>
              <w:t>Not covered.</w:t>
            </w:r>
          </w:p>
        </w:tc>
        <w:tc>
          <w:tcPr>
            <w:tcW w:type="dxa" w:w="3515"/>
            <w:shd w:val="clear" w:color="auto" w:fill="F6F3EC"/>
          </w:tcPr>
          <w:p>
            <w:r/>
            <w:r>
              <w:rPr>
                <w:sz w:val="18"/>
              </w:rPr>
              <w:t>What happens after theft, damage or misconduct by a provider; resident and provider terms; whether providers need insurance.</w:t>
            </w:r>
          </w:p>
        </w:tc>
        <w:tc>
          <w:tcPr>
            <w:tcW w:type="dxa" w:w="4535"/>
            <w:shd w:val="clear" w:color="auto" w:fill="F6F3EC"/>
          </w:tcPr>
          <w:p>
            <w:r/>
            <w:r>
              <w:rPr>
                <w:sz w:val="18"/>
              </w:rPr>
              <w:t>Out-of-scope rows (FacilityCore is not the employer); risk row; legal review. Proposed: write resident and provider terms before Phase 8.</w:t>
            </w:r>
          </w:p>
        </w:tc>
        <w:tc>
          <w:tcPr>
            <w:tcW w:type="dxa" w:w="907"/>
            <w:shd w:val="clear" w:color="auto" w:fill="F6F3EC"/>
          </w:tcPr>
          <w:p>
            <w:r/>
            <w:r>
              <w:rPr>
                <w:b/>
                <w:color w:val="B86E00"/>
                <w:sz w:val="18"/>
              </w:rPr>
              <w:t>Medium</w:t>
            </w:r>
          </w:p>
        </w:tc>
      </w:tr>
      <w:tr>
        <w:trPr>
          <w:cantSplit/>
        </w:trPr>
        <w:tc>
          <w:tcPr>
            <w:tcW w:type="dxa" w:w="454"/>
            <w:shd w:val="clear" w:color="auto" w:fill="FFFFFF"/>
          </w:tcPr>
          <w:p>
            <w:r/>
            <w:r>
              <w:rPr>
                <w:sz w:val="18"/>
              </w:rPr>
              <w:t>24</w:t>
            </w:r>
          </w:p>
        </w:tc>
        <w:tc>
          <w:tcPr>
            <w:tcW w:type="dxa" w:w="1928"/>
            <w:shd w:val="clear" w:color="auto" w:fill="FFFFFF"/>
          </w:tcPr>
          <w:p>
            <w:r/>
            <w:r>
              <w:rPr>
                <w:b/>
                <w:color w:val="0B1F3A"/>
                <w:sz w:val="18"/>
              </w:rPr>
              <w:t>Build phases</w:t>
            </w:r>
          </w:p>
        </w:tc>
        <w:tc>
          <w:tcPr>
            <w:tcW w:type="dxa" w:w="2835"/>
            <w:shd w:val="clear" w:color="auto" w:fill="FFFFFF"/>
          </w:tcPr>
          <w:p>
            <w:r/>
            <w:r>
              <w:rPr>
                <w:sz w:val="18"/>
              </w:rPr>
              <w:t>Phases 1–7 cover the core only.</w:t>
            </w:r>
          </w:p>
        </w:tc>
        <w:tc>
          <w:tcPr>
            <w:tcW w:type="dxa" w:w="3515"/>
            <w:shd w:val="clear" w:color="auto" w:fill="FFFFFF"/>
          </w:tcPr>
          <w:p>
            <w:r/>
            <w:r>
              <w:rPr>
                <w:sz w:val="18"/>
              </w:rPr>
              <w:t>No phases for add-ons. Risk that the add-ons delay the core.</w:t>
            </w:r>
          </w:p>
        </w:tc>
        <w:tc>
          <w:tcPr>
            <w:tcW w:type="dxa" w:w="4535"/>
            <w:shd w:val="clear" w:color="auto" w:fill="FFFFFF"/>
          </w:tcPr>
          <w:p>
            <w:r/>
            <w:r>
              <w:rPr>
                <w:sz w:val="18"/>
              </w:rPr>
              <w:t>Phases 8–11 start only after Phase 7, each with a pass check (Section 12).</w:t>
            </w:r>
          </w:p>
        </w:tc>
        <w:tc>
          <w:tcPr>
            <w:tcW w:type="dxa" w:w="907"/>
            <w:shd w:val="clear" w:color="auto" w:fill="FFFFFF"/>
          </w:tcPr>
          <w:p>
            <w:r/>
            <w:r>
              <w:rPr>
                <w:b/>
                <w:color w:val="B86E00"/>
                <w:sz w:val="18"/>
              </w:rPr>
              <w:t>Medium</w:t>
            </w:r>
          </w:p>
        </w:tc>
      </w:tr>
      <w:tr>
        <w:trPr>
          <w:cantSplit/>
        </w:trPr>
        <w:tc>
          <w:tcPr>
            <w:tcW w:type="dxa" w:w="454"/>
            <w:shd w:val="clear" w:color="auto" w:fill="F6F3EC"/>
          </w:tcPr>
          <w:p>
            <w:r/>
            <w:r>
              <w:rPr>
                <w:sz w:val="18"/>
              </w:rPr>
              <w:t>25</w:t>
            </w:r>
          </w:p>
        </w:tc>
        <w:tc>
          <w:tcPr>
            <w:tcW w:type="dxa" w:w="1928"/>
            <w:shd w:val="clear" w:color="auto" w:fill="F6F3EC"/>
          </w:tcPr>
          <w:p>
            <w:r/>
            <w:r>
              <w:rPr>
                <w:b/>
                <w:color w:val="0B1F3A"/>
                <w:sz w:val="18"/>
              </w:rPr>
              <w:t>Risks</w:t>
            </w:r>
          </w:p>
        </w:tc>
        <w:tc>
          <w:tcPr>
            <w:tcW w:type="dxa" w:w="2835"/>
            <w:shd w:val="clear" w:color="auto" w:fill="F6F3EC"/>
          </w:tcPr>
          <w:p>
            <w:r/>
            <w:r>
              <w:rPr>
                <w:sz w:val="18"/>
              </w:rPr>
              <w:t>9 risks, all about the core.</w:t>
            </w:r>
          </w:p>
        </w:tc>
        <w:tc>
          <w:tcPr>
            <w:tcW w:type="dxa" w:w="3515"/>
            <w:shd w:val="clear" w:color="auto" w:fill="F6F3EC"/>
          </w:tcPr>
          <w:p>
            <w:r/>
            <w:r>
              <w:rPr>
                <w:sz w:val="18"/>
              </w:rPr>
              <w:t>No risks for biometrics, wrong face matches, provider misconduct, positioning, legal exposure or scope creep.</w:t>
            </w:r>
          </w:p>
        </w:tc>
        <w:tc>
          <w:tcPr>
            <w:tcW w:type="dxa" w:w="4535"/>
            <w:shd w:val="clear" w:color="auto" w:fill="F6F3EC"/>
          </w:tcPr>
          <w:p>
            <w:r/>
            <w:r>
              <w:rPr>
                <w:sz w:val="18"/>
              </w:rPr>
              <w:t>9 new risk rows (Section 14).</w:t>
            </w:r>
          </w:p>
        </w:tc>
        <w:tc>
          <w:tcPr>
            <w:tcW w:type="dxa" w:w="907"/>
            <w:shd w:val="clear" w:color="auto" w:fill="F6F3EC"/>
          </w:tcPr>
          <w:p>
            <w:r/>
            <w:r>
              <w:rPr>
                <w:b/>
                <w:color w:val="B86E00"/>
                <w:sz w:val="18"/>
              </w:rPr>
              <w:t>Medium</w:t>
            </w:r>
          </w:p>
        </w:tc>
      </w:tr>
      <w:tr>
        <w:trPr>
          <w:cantSplit/>
        </w:trPr>
        <w:tc>
          <w:tcPr>
            <w:tcW w:type="dxa" w:w="454"/>
            <w:shd w:val="clear" w:color="auto" w:fill="FFFFFF"/>
          </w:tcPr>
          <w:p>
            <w:r/>
            <w:r>
              <w:rPr>
                <w:sz w:val="18"/>
              </w:rPr>
              <w:t>26</w:t>
            </w:r>
          </w:p>
        </w:tc>
        <w:tc>
          <w:tcPr>
            <w:tcW w:type="dxa" w:w="1928"/>
            <w:shd w:val="clear" w:color="auto" w:fill="FFFFFF"/>
          </w:tcPr>
          <w:p>
            <w:r/>
            <w:r>
              <w:rPr>
                <w:b/>
                <w:color w:val="0B1F3A"/>
                <w:sz w:val="18"/>
              </w:rPr>
              <w:t>Success measures</w:t>
            </w:r>
          </w:p>
        </w:tc>
        <w:tc>
          <w:tcPr>
            <w:tcW w:type="dxa" w:w="2835"/>
            <w:shd w:val="clear" w:color="auto" w:fill="FFFFFF"/>
          </w:tcPr>
          <w:p>
            <w:r/>
            <w:r>
              <w:rPr>
                <w:sz w:val="18"/>
              </w:rPr>
              <w:t>Billing and complaint targets.</w:t>
            </w:r>
          </w:p>
        </w:tc>
        <w:tc>
          <w:tcPr>
            <w:tcW w:type="dxa" w:w="3515"/>
            <w:shd w:val="clear" w:color="auto" w:fill="FFFFFF"/>
          </w:tcPr>
          <w:p>
            <w:r/>
            <w:r>
              <w:rPr>
                <w:sz w:val="18"/>
              </w:rPr>
              <w:t>No targets for services or the gate.</w:t>
            </w:r>
          </w:p>
        </w:tc>
        <w:tc>
          <w:tcPr>
            <w:tcW w:type="dxa" w:w="4535"/>
            <w:shd w:val="clear" w:color="auto" w:fill="FFFFFF"/>
          </w:tcPr>
          <w:p>
            <w:r/>
            <w:r>
              <w:rPr>
                <w:sz w:val="18"/>
              </w:rPr>
              <w:t>5 new Proposed targets (2.6).</w:t>
            </w:r>
          </w:p>
        </w:tc>
        <w:tc>
          <w:tcPr>
            <w:tcW w:type="dxa" w:w="907"/>
            <w:shd w:val="clear" w:color="auto" w:fill="FFFFFF"/>
          </w:tcPr>
          <w:p>
            <w:r/>
            <w:r>
              <w:rPr>
                <w:b/>
                <w:color w:val="16335A"/>
                <w:sz w:val="18"/>
              </w:rPr>
              <w:t>Low</w:t>
            </w:r>
          </w:p>
        </w:tc>
      </w:tr>
      <w:tr>
        <w:trPr>
          <w:cantSplit/>
        </w:trPr>
        <w:tc>
          <w:tcPr>
            <w:tcW w:type="dxa" w:w="454"/>
            <w:shd w:val="clear" w:color="auto" w:fill="F6F3EC"/>
          </w:tcPr>
          <w:p>
            <w:r/>
            <w:r>
              <w:rPr>
                <w:sz w:val="18"/>
              </w:rPr>
              <w:t>27</w:t>
            </w:r>
          </w:p>
        </w:tc>
        <w:tc>
          <w:tcPr>
            <w:tcW w:type="dxa" w:w="1928"/>
            <w:shd w:val="clear" w:color="auto" w:fill="F6F3EC"/>
          </w:tcPr>
          <w:p>
            <w:r/>
            <w:r>
              <w:rPr>
                <w:b/>
                <w:color w:val="0B1F3A"/>
                <w:sz w:val="18"/>
              </w:rPr>
              <w:t>Many societies and shared vendors</w:t>
            </w:r>
          </w:p>
        </w:tc>
        <w:tc>
          <w:tcPr>
            <w:tcW w:type="dxa" w:w="2835"/>
            <w:shd w:val="clear" w:color="auto" w:fill="F6F3EC"/>
          </w:tcPr>
          <w:p>
            <w:r/>
            <w:r>
              <w:rPr>
                <w:sz w:val="18"/>
              </w:rPr>
              <w:t>Decision 1: one society first.</w:t>
            </w:r>
          </w:p>
        </w:tc>
        <w:tc>
          <w:tcPr>
            <w:tcW w:type="dxa" w:w="3515"/>
            <w:shd w:val="clear" w:color="auto" w:fill="F6F3EC"/>
          </w:tcPr>
          <w:p>
            <w:r/>
            <w:r>
              <w:rPr>
                <w:sz w:val="18"/>
              </w:rPr>
              <w:t>Vendors within 2 km often serve several societies, so a central vendor list and central checks need the multi-society design.</w:t>
            </w:r>
          </w:p>
        </w:tc>
        <w:tc>
          <w:tcPr>
            <w:tcW w:type="dxa" w:w="4535"/>
            <w:shd w:val="clear" w:color="auto" w:fill="F6F3EC"/>
          </w:tcPr>
          <w:p>
            <w:r/>
            <w:r>
              <w:rPr>
                <w:sz w:val="18"/>
              </w:rPr>
              <w:t>Decision 14; REQ-4.10.5 lets FacilityCore do checks centrally later.</w:t>
            </w:r>
          </w:p>
        </w:tc>
        <w:tc>
          <w:tcPr>
            <w:tcW w:type="dxa" w:w="907"/>
            <w:shd w:val="clear" w:color="auto" w:fill="F6F3EC"/>
          </w:tcPr>
          <w:p>
            <w:r/>
            <w:r>
              <w:rPr>
                <w:b/>
                <w:color w:val="B86E00"/>
                <w:sz w:val="18"/>
              </w:rPr>
              <w:t>Medium</w:t>
            </w:r>
          </w:p>
        </w:tc>
      </w:tr>
      <w:tr>
        <w:trPr>
          <w:cantSplit/>
        </w:trPr>
        <w:tc>
          <w:tcPr>
            <w:tcW w:type="dxa" w:w="454"/>
            <w:shd w:val="clear" w:color="auto" w:fill="FFFFFF"/>
          </w:tcPr>
          <w:p>
            <w:r/>
            <w:r>
              <w:rPr>
                <w:sz w:val="18"/>
              </w:rPr>
              <w:t>28</w:t>
            </w:r>
          </w:p>
        </w:tc>
        <w:tc>
          <w:tcPr>
            <w:tcW w:type="dxa" w:w="1928"/>
            <w:shd w:val="clear" w:color="auto" w:fill="FFFFFF"/>
          </w:tcPr>
          <w:p>
            <w:r/>
            <w:r>
              <w:rPr>
                <w:b/>
                <w:color w:val="0B1F3A"/>
                <w:sz w:val="18"/>
              </w:rPr>
              <w:t>Late-fee rule (core, not part of the new integrations)</w:t>
            </w:r>
          </w:p>
        </w:tc>
        <w:tc>
          <w:tcPr>
            <w:tcW w:type="dxa" w:w="2835"/>
            <w:shd w:val="clear" w:color="auto" w:fill="FFFFFF"/>
          </w:tcPr>
          <w:p>
            <w:r/>
            <w:r>
              <w:rPr>
                <w:sz w:val="18"/>
              </w:rPr>
              <w:t>“Growing” daily fee about 20% a year, compounded. Bylaws to be checked (Decision 10).</w:t>
            </w:r>
          </w:p>
        </w:tc>
        <w:tc>
          <w:tcPr>
            <w:tcW w:type="dxa" w:w="3515"/>
            <w:shd w:val="clear" w:color="auto" w:fill="FFFFFF"/>
          </w:tcPr>
          <w:p>
            <w:r/>
            <w:r>
              <w:rPr>
                <w:sz w:val="18"/>
              </w:rPr>
              <w:t>Many cooperative housing society bye-laws (for example Maharashtra model bye-laws) allow only simple interest on arrears, up to a set yearly limit. A compounding default may be challenged.</w:t>
            </w:r>
          </w:p>
        </w:tc>
        <w:tc>
          <w:tcPr>
            <w:tcW w:type="dxa" w:w="4535"/>
            <w:shd w:val="clear" w:color="auto" w:fill="FFFFFF"/>
          </w:tcPr>
          <w:p>
            <w:r/>
            <w:r>
              <w:rPr>
                <w:sz w:val="18"/>
              </w:rPr>
              <w:t>Not changed in v2.0. Recommend “Simple” plus a maximum limit as the default until the society’s bylaws are checked. Please verify.</w:t>
            </w:r>
          </w:p>
        </w:tc>
        <w:tc>
          <w:tcPr>
            <w:tcW w:type="dxa" w:w="907"/>
            <w:shd w:val="clear" w:color="auto" w:fill="FFFFFF"/>
          </w:tcPr>
          <w:p>
            <w:r/>
            <w:r>
              <w:rPr>
                <w:b/>
                <w:color w:val="B86E00"/>
                <w:sz w:val="18"/>
              </w:rPr>
              <w:t>Medium</w:t>
            </w:r>
          </w:p>
        </w:tc>
      </w:tr>
      <w:tr>
        <w:trPr>
          <w:cantSplit/>
        </w:trPr>
        <w:tc>
          <w:tcPr>
            <w:tcW w:type="dxa" w:w="454"/>
            <w:shd w:val="clear" w:color="auto" w:fill="F6F3EC"/>
          </w:tcPr>
          <w:p>
            <w:r/>
            <w:r>
              <w:rPr>
                <w:sz w:val="18"/>
              </w:rPr>
              <w:t>29</w:t>
            </w:r>
          </w:p>
        </w:tc>
        <w:tc>
          <w:tcPr>
            <w:tcW w:type="dxa" w:w="1928"/>
            <w:shd w:val="clear" w:color="auto" w:fill="F6F3EC"/>
          </w:tcPr>
          <w:p>
            <w:r/>
            <w:r>
              <w:rPr>
                <w:b/>
                <w:color w:val="0B1F3A"/>
                <w:sz w:val="18"/>
              </w:rPr>
              <w:t>Data retention and deletion (core)</w:t>
            </w:r>
          </w:p>
        </w:tc>
        <w:tc>
          <w:tcPr>
            <w:tcW w:type="dxa" w:w="2835"/>
            <w:shd w:val="clear" w:color="auto" w:fill="F6F3EC"/>
          </w:tcPr>
          <w:p>
            <w:r/>
            <w:r>
              <w:rPr>
                <w:sz w:val="18"/>
              </w:rPr>
              <w:t>Backups are kept for 30 days. No retention periods. No account deletion.</w:t>
            </w:r>
          </w:p>
        </w:tc>
        <w:tc>
          <w:tcPr>
            <w:tcW w:type="dxa" w:w="3515"/>
            <w:shd w:val="clear" w:color="auto" w:fill="F6F3EC"/>
          </w:tcPr>
          <w:p>
            <w:r/>
            <w:r>
              <w:rPr>
                <w:sz w:val="18"/>
              </w:rPr>
              <w:t>DPDP needs data to be deleted once its purpose is over, and people can ask to delete their data.</w:t>
            </w:r>
          </w:p>
        </w:tc>
        <w:tc>
          <w:tcPr>
            <w:tcW w:type="dxa" w:w="4535"/>
            <w:shd w:val="clear" w:color="auto" w:fill="F6F3EC"/>
          </w:tcPr>
          <w:p>
            <w:r/>
            <w:r>
              <w:rPr>
                <w:sz w:val="18"/>
              </w:rPr>
              <w:t>“How long data is kept” NFR row; REQ-4.16.4 data requests.</w:t>
            </w:r>
          </w:p>
        </w:tc>
        <w:tc>
          <w:tcPr>
            <w:tcW w:type="dxa" w:w="907"/>
            <w:shd w:val="clear" w:color="auto" w:fill="F6F3EC"/>
          </w:tcPr>
          <w:p>
            <w:r/>
            <w:r>
              <w:rPr>
                <w:b/>
                <w:color w:val="B86E00"/>
                <w:sz w:val="18"/>
              </w:rPr>
              <w:t>Medium</w:t>
            </w:r>
          </w:p>
        </w:tc>
      </w:tr>
      <w:tr>
        <w:trPr>
          <w:cantSplit/>
        </w:trPr>
        <w:tc>
          <w:tcPr>
            <w:tcW w:type="dxa" w:w="454"/>
            <w:shd w:val="clear" w:color="auto" w:fill="FFFFFF"/>
          </w:tcPr>
          <w:p>
            <w:r/>
            <w:r>
              <w:rPr>
                <w:sz w:val="18"/>
              </w:rPr>
              <w:t>30</w:t>
            </w:r>
          </w:p>
        </w:tc>
        <w:tc>
          <w:tcPr>
            <w:tcW w:type="dxa" w:w="1928"/>
            <w:shd w:val="clear" w:color="auto" w:fill="FFFFFF"/>
          </w:tcPr>
          <w:p>
            <w:r/>
            <w:r>
              <w:rPr>
                <w:b/>
                <w:color w:val="0B1F3A"/>
                <w:sz w:val="18"/>
              </w:rPr>
              <w:t>Document tidy-up</w:t>
            </w:r>
          </w:p>
        </w:tc>
        <w:tc>
          <w:tcPr>
            <w:tcW w:type="dxa" w:w="2835"/>
            <w:shd w:val="clear" w:color="auto" w:fill="FFFFFF"/>
          </w:tcPr>
          <w:p>
            <w:r/>
            <w:r>
              <w:rPr>
                <w:sz w:val="18"/>
              </w:rPr>
              <w:t>Contents shows “–” for section 1; Pricing is a sub-heading inside Risks; no change log; “Prepared by” is still a placeholder.</w:t>
            </w:r>
          </w:p>
        </w:tc>
        <w:tc>
          <w:tcPr>
            <w:tcW w:type="dxa" w:w="3515"/>
            <w:shd w:val="clear" w:color="auto" w:fill="FFFFFF"/>
          </w:tcPr>
          <w:p>
            <w:r/>
            <w:r>
              <w:rPr>
                <w:sz w:val="18"/>
              </w:rPr>
              <w:t>The structure does not match the contents list, and there is no version history.</w:t>
            </w:r>
          </w:p>
        </w:tc>
        <w:tc>
          <w:tcPr>
            <w:tcW w:type="dxa" w:w="4535"/>
            <w:shd w:val="clear" w:color="auto" w:fill="FFFFFF"/>
          </w:tcPr>
          <w:p>
            <w:r/>
            <w:r>
              <w:rPr>
                <w:sz w:val="18"/>
              </w:rPr>
              <w:t>Fixed in v2.0: Section 15 heading, contents numbering, Appendix B change log, version 2.0 in header. “Prepared by” left for you to fill in.</w:t>
            </w:r>
          </w:p>
        </w:tc>
        <w:tc>
          <w:tcPr>
            <w:tcW w:type="dxa" w:w="907"/>
            <w:shd w:val="clear" w:color="auto" w:fill="FFFFFF"/>
          </w:tcPr>
          <w:p>
            <w:r/>
            <w:r>
              <w:rPr>
                <w:b/>
                <w:color w:val="16335A"/>
                <w:sz w:val="18"/>
              </w:rPr>
              <w:t>Low</w:t>
            </w:r>
          </w:p>
        </w:tc>
      </w:tr>
    </w:tbl>
    <w:p>
      <w:pPr>
        <w:spacing w:after="80"/>
      </w:pPr>
      <w:r>
        <w:rPr>
          <w:b w:val="0"/>
          <w:i w:val="0"/>
          <w:color w:val="1F2937"/>
          <w:sz w:val="8"/>
        </w:rPr>
      </w:r>
    </w:p>
    <w:p>
      <w:pPr>
        <w:spacing w:after="60"/>
      </w:pPr>
      <w:r>
        <w:rPr>
          <w:b/>
          <w:i w:val="0"/>
          <w:color w:val="B8924A"/>
          <w:sz w:val="26"/>
        </w:rPr>
        <w:t>Decisions you need to make (full list with suggested answers in BRD v2.0, Section 11)</w:t>
      </w:r>
    </w:p>
    <w:tbl>
      <w:tblPr>
        <w:tblStyle w:val="TableGrid"/>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Layout w:type="fixed"/>
      </w:tblPr>
      <w:tblGrid>
        <w:gridCol w:w="1361"/>
        <w:gridCol w:w="8787"/>
        <w:gridCol w:w="3969"/>
      </w:tblGrid>
      <w:tr>
        <w:trPr>
          <w:tblHeader w:val="true"/>
        </w:trPr>
        <w:tc>
          <w:tcPr>
            <w:tcW w:type="dxa" w:w="1361"/>
            <w:shd w:val="clear" w:color="auto" w:fill="0B1F3A"/>
          </w:tcPr>
          <w:p>
            <w:r/>
            <w:r>
              <w:rPr>
                <w:b/>
                <w:color w:val="FFFFFF"/>
                <w:sz w:val="17"/>
              </w:rPr>
              <w:t>DECISION NO.</w:t>
            </w:r>
          </w:p>
        </w:tc>
        <w:tc>
          <w:tcPr>
            <w:tcW w:type="dxa" w:w="8787"/>
            <w:shd w:val="clear" w:color="auto" w:fill="0B1F3A"/>
          </w:tcPr>
          <w:p>
            <w:r/>
            <w:r>
              <w:rPr>
                <w:b/>
                <w:color w:val="FFFFFF"/>
                <w:sz w:val="17"/>
              </w:rPr>
              <w:t>QUESTION</w:t>
            </w:r>
          </w:p>
        </w:tc>
        <w:tc>
          <w:tcPr>
            <w:tcW w:type="dxa" w:w="3969"/>
            <w:shd w:val="clear" w:color="auto" w:fill="0B1F3A"/>
          </w:tcPr>
          <w:p>
            <w:r/>
            <w:r>
              <w:rPr>
                <w:b/>
                <w:color w:val="FFFFFF"/>
                <w:sz w:val="17"/>
              </w:rPr>
              <w:t>WHY IT MATTERS</w:t>
            </w:r>
          </w:p>
        </w:tc>
      </w:tr>
      <w:tr>
        <w:trPr>
          <w:cantSplit/>
        </w:trPr>
        <w:tc>
          <w:tcPr>
            <w:tcW w:type="dxa" w:w="1361"/>
            <w:shd w:val="clear" w:color="auto" w:fill="F6F3EC"/>
          </w:tcPr>
          <w:p>
            <w:r/>
            <w:r>
              <w:rPr>
                <w:b/>
                <w:color w:val="0B1F3A"/>
                <w:sz w:val="18"/>
              </w:rPr>
              <w:t>13</w:t>
            </w:r>
          </w:p>
        </w:tc>
        <w:tc>
          <w:tcPr>
            <w:tcW w:type="dxa" w:w="8787"/>
            <w:shd w:val="clear" w:color="auto" w:fill="F6F3EC"/>
          </w:tcPr>
          <w:p>
            <w:r/>
            <w:r>
              <w:rPr>
                <w:b/>
                <w:color w:val="0B1F3A"/>
                <w:sz w:val="18"/>
              </w:rPr>
              <w:t>Revenue from services: no commission (suggested), listing fee, or commission?</w:t>
            </w:r>
          </w:p>
        </w:tc>
        <w:tc>
          <w:tcPr>
            <w:tcW w:type="dxa" w:w="3969"/>
            <w:shd w:val="clear" w:color="auto" w:fill="F6F3EC"/>
          </w:tcPr>
          <w:p>
            <w:r/>
            <w:r>
              <w:rPr>
                <w:sz w:val="18"/>
              </w:rPr>
              <w:t>Changes payments, legal duties and positioning.</w:t>
            </w:r>
          </w:p>
        </w:tc>
      </w:tr>
      <w:tr>
        <w:trPr>
          <w:cantSplit/>
        </w:trPr>
        <w:tc>
          <w:tcPr>
            <w:tcW w:type="dxa" w:w="1361"/>
            <w:shd w:val="clear" w:color="auto" w:fill="FFFFFF"/>
          </w:tcPr>
          <w:p>
            <w:r/>
            <w:r>
              <w:rPr>
                <w:b/>
                <w:color w:val="0B1F3A"/>
                <w:sz w:val="18"/>
              </w:rPr>
              <w:t>17</w:t>
            </w:r>
          </w:p>
        </w:tc>
        <w:tc>
          <w:tcPr>
            <w:tcW w:type="dxa" w:w="8787"/>
            <w:shd w:val="clear" w:color="auto" w:fill="FFFFFF"/>
          </w:tcPr>
          <w:p>
            <w:r/>
            <w:r>
              <w:rPr>
                <w:b/>
                <w:color w:val="0B1F3A"/>
                <w:sz w:val="18"/>
              </w:rPr>
              <w:t>Do you really want gate security, which goes against the “not gate management” positioning? Suggested: yes, but optional, off by default, built last.</w:t>
            </w:r>
          </w:p>
        </w:tc>
        <w:tc>
          <w:tcPr>
            <w:tcW w:type="dxa" w:w="3969"/>
            <w:shd w:val="clear" w:color="auto" w:fill="FFFFFF"/>
          </w:tcPr>
          <w:p>
            <w:r/>
            <w:r>
              <w:rPr>
                <w:sz w:val="18"/>
              </w:rPr>
              <w:t>Biggest scope change.</w:t>
            </w:r>
          </w:p>
        </w:tc>
      </w:tr>
      <w:tr>
        <w:trPr>
          <w:cantSplit/>
        </w:trPr>
        <w:tc>
          <w:tcPr>
            <w:tcW w:type="dxa" w:w="1361"/>
            <w:shd w:val="clear" w:color="auto" w:fill="F6F3EC"/>
          </w:tcPr>
          <w:p>
            <w:r/>
            <w:r>
              <w:rPr>
                <w:b/>
                <w:color w:val="0B1F3A"/>
                <w:sz w:val="18"/>
              </w:rPr>
              <w:t>18</w:t>
            </w:r>
          </w:p>
        </w:tc>
        <w:tc>
          <w:tcPr>
            <w:tcW w:type="dxa" w:w="8787"/>
            <w:shd w:val="clear" w:color="auto" w:fill="F6F3EC"/>
          </w:tcPr>
          <w:p>
            <w:r/>
            <w:r>
              <w:rPr>
                <w:b/>
                <w:color w:val="0B1F3A"/>
                <w:sz w:val="18"/>
              </w:rPr>
              <w:t>Is face verification needed at launch, or are visitor approval and entry codes enough at first? Suggested: start without face check, add it after the pilot.</w:t>
            </w:r>
          </w:p>
        </w:tc>
        <w:tc>
          <w:tcPr>
            <w:tcW w:type="dxa" w:w="3969"/>
            <w:shd w:val="clear" w:color="auto" w:fill="F6F3EC"/>
          </w:tcPr>
          <w:p>
            <w:r/>
            <w:r>
              <w:rPr>
                <w:sz w:val="18"/>
              </w:rPr>
              <w:t>Highest privacy and cost risk.</w:t>
            </w:r>
          </w:p>
        </w:tc>
      </w:tr>
      <w:tr>
        <w:trPr>
          <w:cantSplit/>
        </w:trPr>
        <w:tc>
          <w:tcPr>
            <w:tcW w:type="dxa" w:w="1361"/>
            <w:shd w:val="clear" w:color="auto" w:fill="FFFFFF"/>
          </w:tcPr>
          <w:p>
            <w:r/>
            <w:r>
              <w:rPr>
                <w:b/>
                <w:color w:val="0B1F3A"/>
                <w:sz w:val="18"/>
              </w:rPr>
              <w:t>23</w:t>
            </w:r>
          </w:p>
        </w:tc>
        <w:tc>
          <w:tcPr>
            <w:tcW w:type="dxa" w:w="8787"/>
            <w:shd w:val="clear" w:color="auto" w:fill="FFFFFF"/>
          </w:tcPr>
          <w:p>
            <w:r/>
            <w:r>
              <w:rPr>
                <w:b/>
                <w:color w:val="0B1F3A"/>
                <w:sz w:val="18"/>
              </w:rPr>
              <w:t>Who is responsible for the data under DPDP (society or FacilityCore)?</w:t>
            </w:r>
          </w:p>
        </w:tc>
        <w:tc>
          <w:tcPr>
            <w:tcW w:type="dxa" w:w="3969"/>
            <w:shd w:val="clear" w:color="auto" w:fill="FFFFFF"/>
          </w:tcPr>
          <w:p>
            <w:r/>
            <w:r>
              <w:rPr>
                <w:sz w:val="18"/>
              </w:rPr>
              <w:t>Needed for contracts and consent notices.</w:t>
            </w:r>
          </w:p>
        </w:tc>
      </w:tr>
      <w:tr>
        <w:trPr>
          <w:cantSplit/>
        </w:trPr>
        <w:tc>
          <w:tcPr>
            <w:tcW w:type="dxa" w:w="1361"/>
            <w:shd w:val="clear" w:color="auto" w:fill="F6F3EC"/>
          </w:tcPr>
          <w:p>
            <w:r/>
            <w:r>
              <w:rPr>
                <w:b/>
                <w:color w:val="0B1F3A"/>
                <w:sz w:val="18"/>
              </w:rPr>
              <w:t>15 / 16</w:t>
            </w:r>
          </w:p>
        </w:tc>
        <w:tc>
          <w:tcPr>
            <w:tcW w:type="dxa" w:w="8787"/>
            <w:shd w:val="clear" w:color="auto" w:fill="F6F3EC"/>
          </w:tcPr>
          <w:p>
            <w:r/>
            <w:r>
              <w:rPr>
                <w:b/>
                <w:color w:val="0B1F3A"/>
                <w:sz w:val="18"/>
              </w:rPr>
              <w:t>What do “premium tower plant care” and “society clean-up” cover, and who pays (society or resident)?</w:t>
            </w:r>
          </w:p>
        </w:tc>
        <w:tc>
          <w:tcPr>
            <w:tcW w:type="dxa" w:w="3969"/>
            <w:shd w:val="clear" w:color="auto" w:fill="F6F3EC"/>
          </w:tcPr>
          <w:p>
            <w:r/>
            <w:r>
              <w:rPr>
                <w:sz w:val="18"/>
              </w:rPr>
              <w:t>Changes the booking and billing design.</w:t>
            </w:r>
          </w:p>
        </w:tc>
      </w:tr>
      <w:tr>
        <w:trPr>
          <w:cantSplit/>
        </w:trPr>
        <w:tc>
          <w:tcPr>
            <w:tcW w:type="dxa" w:w="1361"/>
            <w:shd w:val="clear" w:color="auto" w:fill="FFFFFF"/>
          </w:tcPr>
          <w:p>
            <w:r/>
            <w:r>
              <w:rPr>
                <w:b/>
                <w:color w:val="0B1F3A"/>
                <w:sz w:val="18"/>
              </w:rPr>
              <w:t>14</w:t>
            </w:r>
          </w:p>
        </w:tc>
        <w:tc>
          <w:tcPr>
            <w:tcW w:type="dxa" w:w="8787"/>
            <w:shd w:val="clear" w:color="auto" w:fill="FFFFFF"/>
          </w:tcPr>
          <w:p>
            <w:r/>
            <w:r>
              <w:rPr>
                <w:b/>
                <w:color w:val="0B1F3A"/>
                <w:sz w:val="18"/>
              </w:rPr>
              <w:t>Who checks vendors and maids: the society or FacilityCore centrally?</w:t>
            </w:r>
          </w:p>
        </w:tc>
        <w:tc>
          <w:tcPr>
            <w:tcW w:type="dxa" w:w="3969"/>
            <w:shd w:val="clear" w:color="auto" w:fill="FFFFFF"/>
          </w:tcPr>
          <w:p>
            <w:r/>
            <w:r>
              <w:rPr>
                <w:sz w:val="18"/>
              </w:rPr>
              <w:t>Changes operations and liability.</w:t>
            </w:r>
          </w:p>
        </w:tc>
      </w:tr>
      <w:tr>
        <w:trPr>
          <w:cantSplit/>
        </w:trPr>
        <w:tc>
          <w:tcPr>
            <w:tcW w:type="dxa" w:w="1361"/>
            <w:shd w:val="clear" w:color="auto" w:fill="F6F3EC"/>
          </w:tcPr>
          <w:p>
            <w:r/>
            <w:r>
              <w:rPr>
                <w:b/>
                <w:color w:val="0B1F3A"/>
                <w:sz w:val="18"/>
              </w:rPr>
              <w:t>19 / 20 / 21 / 22</w:t>
            </w:r>
          </w:p>
        </w:tc>
        <w:tc>
          <w:tcPr>
            <w:tcW w:type="dxa" w:w="8787"/>
            <w:shd w:val="clear" w:color="auto" w:fill="F6F3EC"/>
          </w:tcPr>
          <w:p>
            <w:r/>
            <w:r>
              <w:rPr>
                <w:b/>
                <w:color w:val="0B1F3A"/>
                <w:sz w:val="18"/>
              </w:rPr>
              <w:t>Gate phone and face check costs, the 2 km radius setting, unverified maids, how long logs are kept.</w:t>
            </w:r>
          </w:p>
        </w:tc>
        <w:tc>
          <w:tcPr>
            <w:tcW w:type="dxa" w:w="3969"/>
            <w:shd w:val="clear" w:color="auto" w:fill="F6F3EC"/>
          </w:tcPr>
          <w:p>
            <w:r/>
            <w:r>
              <w:rPr>
                <w:sz w:val="18"/>
              </w:rPr>
              <w:t>Settings and costs.</w:t>
            </w:r>
          </w:p>
        </w:tc>
      </w:tr>
    </w:tbl>
    <w:p>
      <w:pPr>
        <w:spacing w:after="80"/>
      </w:pPr>
      <w:r>
        <w:rPr>
          <w:b w:val="0"/>
          <w:i/>
          <w:color w:val="64708A"/>
          <w:sz w:val="17"/>
        </w:rPr>
        <w:t>Sources checked (17 October 2026): DPDP Rules 2025, G.S.R. 846(E) and G.S.R. 843(E) dated 13 Nov 2025 (MeitY), including Rule 7 on breach reporting; Code on Social Security 2020, s.114(4), in force 21 Nov 2025 (India Code, PIB). This is a business analysis, not legal advice. Please confirm with a lawyer and tax adviser before launch.</w:t>
      </w:r>
    </w:p>
    <w:sectPr w:rsidR="00FC693F" w:rsidRPr="0006063C" w:rsidSect="00034616">
      <w:headerReference w:type="default" r:id="rId9"/>
      <w:pgSz w:w="16838" w:h="11906"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08A"/>
        <w:sz w:val="16"/>
      </w:rPr>
      <w:t>FacilityCore  •  Gap Analysis  •  BRD v1.2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