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Employee Attrition Business Interpretation Report</w:t>
      </w:r>
    </w:p>
    <w:p>
      <w:pPr>
        <w:jc w:val="left"/>
      </w:pPr>
      <w:r>
        <w:rPr>
          <w:b/>
          <w:color w:val="4B4B4B"/>
          <w:sz w:val="22"/>
        </w:rPr>
        <w:t>Assignment 5439</w:t>
      </w:r>
    </w:p>
    <w:p>
      <w:r>
        <w:t>This report presents the verified local analysis, its business meaning, and the limits that must guide use and submission.</w:t>
      </w:r>
    </w:p>
    <w:p>
      <w:pPr>
        <w:pStyle w:val="Heading1"/>
      </w:pPr>
      <w:r>
        <w:t>Decision summary</w:t>
      </w:r>
    </w:p>
    <w:p>
      <w:r>
        <w:t>The verified model ranks attrition risk with ROC-AUC 0.812, but its 38.1% precision means many alerts will be false positives. HR should use the scores to prioritize voluntary, low-cost conversations and workload reviews. The model must never trigger dismissal, promotion denial, or punitive monitoring.</w:t>
      </w:r>
    </w:p>
    <w:p>
      <w:pPr>
        <w:pStyle w:val="Heading1"/>
      </w:pPr>
      <w:r>
        <w:t>Observed workforce patterns</w:t>
      </w:r>
    </w:p>
    <w:p>
      <w:pPr>
        <w:pStyle w:val="ListBullet"/>
      </w:pPr>
      <w:r>
        <w:t>Overtime, lower income, shorter experience, and limited tenure appear among the strongest model signals.</w:t>
      </w:r>
    </w:p>
    <w:p>
      <w:pPr>
        <w:pStyle w:val="ListBullet"/>
      </w:pPr>
      <w:r>
        <w:t>Travel, job role, stock options, and promotion history contribute to predicted risk after preprocessing.</w:t>
      </w:r>
    </w:p>
    <w:p>
      <w:pPr>
        <w:pStyle w:val="ListBullet"/>
      </w:pPr>
      <w:r>
        <w:t>These signals describe statistical associations in the sample; they do not prove why an employee left.</w:t>
      </w:r>
    </w:p>
    <w:p>
      <w:pPr>
        <w:pStyle w:val="Heading1"/>
      </w:pPr>
      <w:r>
        <w:t>Recommended pilot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2448"/>
            <w:shd w:fill="244A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3168"/>
            <w:shd w:fill="244A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b/>
                <w:color w:val="FFFFFF"/>
                <w:sz w:val="18"/>
              </w:rPr>
              <w:t>Reason</w:t>
            </w:r>
          </w:p>
        </w:tc>
        <w:tc>
          <w:tcPr>
            <w:tcW w:type="dxa" w:w="3600"/>
            <w:shd w:fill="244A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b/>
                <w:color w:val="FFFFFF"/>
                <w:sz w:val="18"/>
              </w:rPr>
              <w:t>Measure</w:t>
            </w:r>
          </w:p>
        </w:tc>
      </w:tr>
      <w:tr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40"/>
            </w:pPr>
            <w:r>
              <w:rPr>
                <w:sz w:val="17"/>
              </w:rPr>
              <w:t>Review recurring overtime</w:t>
            </w:r>
          </w:p>
        </w:tc>
        <w:tc>
          <w:tcPr>
            <w:tcW w:type="dxa" w:w="31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40"/>
            </w:pPr>
            <w:r>
              <w:rPr>
                <w:sz w:val="17"/>
              </w:rPr>
              <w:t>Overtime contributes strongly to predicted risk</w:t>
            </w:r>
          </w:p>
        </w:tc>
        <w:tc>
          <w:tcPr>
            <w:tcW w:type="dxa" w:w="36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40"/>
            </w:pPr>
            <w:r>
              <w:rPr>
                <w:sz w:val="17"/>
              </w:rPr>
              <w:t>Overtime hours and voluntary attrition by team</w:t>
            </w:r>
          </w:p>
        </w:tc>
      </w:tr>
      <w:tr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EAF1F5"/>
          </w:tcPr>
          <w:p>
            <w:pPr>
              <w:spacing w:after="40"/>
            </w:pPr>
            <w:r>
              <w:rPr>
                <w:sz w:val="17"/>
              </w:rPr>
              <w:t>Run stay interviews</w:t>
            </w:r>
          </w:p>
        </w:tc>
        <w:tc>
          <w:tcPr>
            <w:tcW w:type="dxa" w:w="31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EAF1F5"/>
          </w:tcPr>
          <w:p>
            <w:pPr>
              <w:spacing w:after="40"/>
            </w:pPr>
            <w:r>
              <w:rPr>
                <w:sz w:val="17"/>
              </w:rPr>
              <w:t>The model supports prioritization, not conclusions</w:t>
            </w:r>
          </w:p>
        </w:tc>
        <w:tc>
          <w:tcPr>
            <w:tcW w:type="dxa" w:w="36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EAF1F5"/>
          </w:tcPr>
          <w:p>
            <w:pPr>
              <w:spacing w:after="40"/>
            </w:pPr>
            <w:r>
              <w:rPr>
                <w:sz w:val="17"/>
              </w:rPr>
              <w:t>Participation and issues resolved</w:t>
            </w:r>
          </w:p>
        </w:tc>
      </w:tr>
      <w:tr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40"/>
            </w:pPr>
            <w:r>
              <w:rPr>
                <w:sz w:val="17"/>
              </w:rPr>
              <w:t>Review early-career progression</w:t>
            </w:r>
          </w:p>
        </w:tc>
        <w:tc>
          <w:tcPr>
            <w:tcW w:type="dxa" w:w="31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40"/>
            </w:pPr>
            <w:r>
              <w:rPr>
                <w:sz w:val="17"/>
              </w:rPr>
              <w:t>Experience and tenure signals concentrate risk</w:t>
            </w:r>
          </w:p>
        </w:tc>
        <w:tc>
          <w:tcPr>
            <w:tcW w:type="dxa" w:w="36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40"/>
            </w:pPr>
            <w:r>
              <w:rPr>
                <w:sz w:val="17"/>
              </w:rPr>
              <w:t>Promotion access and retention by tenure</w:t>
            </w:r>
          </w:p>
        </w:tc>
      </w:tr>
      <w:tr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EAF1F5"/>
          </w:tcPr>
          <w:p>
            <w:pPr>
              <w:spacing w:after="40"/>
            </w:pPr>
            <w:r>
              <w:rPr>
                <w:sz w:val="17"/>
              </w:rPr>
              <w:t>Audit subgroup performance</w:t>
            </w:r>
          </w:p>
        </w:tc>
        <w:tc>
          <w:tcPr>
            <w:tcW w:type="dxa" w:w="31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EAF1F5"/>
          </w:tcPr>
          <w:p>
            <w:pPr>
              <w:spacing w:after="40"/>
            </w:pPr>
            <w:r>
              <w:rPr>
                <w:sz w:val="17"/>
              </w:rPr>
              <w:t>Model errors may differ across groups</w:t>
            </w:r>
          </w:p>
        </w:tc>
        <w:tc>
          <w:tcPr>
            <w:tcW w:type="dxa" w:w="36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EAF1F5"/>
          </w:tcPr>
          <w:p>
            <w:pPr>
              <w:spacing w:after="40"/>
            </w:pPr>
            <w:r>
              <w:rPr>
                <w:sz w:val="17"/>
              </w:rPr>
              <w:t>Recall, precision, and calibration by subgroup</w:t>
            </w:r>
          </w:p>
        </w:tc>
      </w:tr>
    </w:tbl>
    <w:p/>
    <w:p>
      <w:pPr>
        <w:pStyle w:val="Heading1"/>
      </w:pPr>
      <w:r>
        <w:t>Responsible use</w:t>
      </w:r>
    </w:p>
    <w:p>
      <w:pPr>
        <w:pStyle w:val="ListBullet"/>
      </w:pPr>
      <w:r>
        <w:t>Restrict access to trained HR analysts and log model use.</w:t>
      </w:r>
    </w:p>
    <w:p>
      <w:pPr>
        <w:pStyle w:val="ListBullet"/>
      </w:pPr>
      <w:r>
        <w:t>Exclude protected attributes from automated decisions and examine whether proxy effects remain.</w:t>
      </w:r>
    </w:p>
    <w:p>
      <w:pPr>
        <w:pStyle w:val="ListBullet"/>
      </w:pPr>
      <w:r>
        <w:t>Offer the same supportive intervention independent of protected status.</w:t>
      </w:r>
    </w:p>
    <w:p>
      <w:pPr>
        <w:pStyle w:val="ListBullet"/>
      </w:pPr>
      <w:r>
        <w:t>Retrain only after data-quality, drift, and subgroup checks pass.</w:t>
      </w:r>
    </w:p>
    <w:p>
      <w:pPr>
        <w:pStyle w:val="Heading1"/>
      </w:pPr>
      <w:r>
        <w:t>Conclusion</w:t>
      </w:r>
    </w:p>
    <w:p>
      <w:r>
        <w:t>The project demonstrates a credible screening model on a teaching dataset. Its main value is disciplined prioritization and measurement. Any real deployment requires current organizational data, human oversight, privacy review, and a controlled pilot that measures outcomes rather than assuming benefit.</w:t>
      </w:r>
    </w:p>
    <w:sectPr w:rsidR="00FC693F" w:rsidRPr="0006063C" w:rsidSect="00034616">
      <w:footerReference w:type="default" r:id="rId9"/>
      <w:pgSz w:w="12240" w:h="15840"/>
      <w:pgMar w:top="1037" w:right="1123" w:bottom="1037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646464"/>
        <w:sz w:val="16"/>
      </w:rPr>
      <w:t>24UADPC401  Data Science Advanced Programming  IBM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3232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240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